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0582" w14:textId="77777777" w:rsidR="00120717" w:rsidRPr="00B93EE1" w:rsidRDefault="00120717" w:rsidP="00BB34F7">
      <w:pPr>
        <w:pStyle w:val="Title"/>
      </w:pPr>
      <w:r w:rsidRPr="00B93EE1">
        <w:t>TRADE POLICY REVIEW</w:t>
      </w:r>
    </w:p>
    <w:p w14:paraId="382B204C" w14:textId="77777777" w:rsidR="00120717" w:rsidRPr="00B93EE1" w:rsidRDefault="00120717" w:rsidP="00BB34F7">
      <w:pPr>
        <w:pStyle w:val="Title2"/>
      </w:pPr>
      <w:r w:rsidRPr="00B93EE1">
        <w:t>REPORT BY THE SECRETARIAT</w:t>
      </w:r>
    </w:p>
    <w:p w14:paraId="6982D5CE" w14:textId="77777777" w:rsidR="00120717" w:rsidRPr="00B93EE1" w:rsidRDefault="00120717" w:rsidP="00BB34F7">
      <w:pPr>
        <w:pStyle w:val="TitleCountry"/>
      </w:pPr>
      <w:r w:rsidRPr="00B93EE1">
        <w:t>New Zealand</w:t>
      </w:r>
    </w:p>
    <w:p w14:paraId="5B5123A4" w14:textId="77777777" w:rsidR="00120717" w:rsidRPr="00B93EE1" w:rsidRDefault="00120717" w:rsidP="00BB34F7">
      <w:r w:rsidRPr="00B93EE1">
        <w:t>This report, prepared for the sixth Trade Policy Review of New Zealand, has been drawn up by the WTO Secretariat on its own responsibility. The Secretariat has, as required by the Agreement establishing the Trade Policy Review Mechanism (Annex 3 of the Marrakesh Agreement Establishing the World Trade Organization), sought clarification from New Zealand on its trade policies and practices.</w:t>
      </w:r>
    </w:p>
    <w:p w14:paraId="52D12251" w14:textId="77777777" w:rsidR="00120717" w:rsidRPr="00B93EE1" w:rsidRDefault="00120717" w:rsidP="00BB34F7"/>
    <w:p w14:paraId="3C1E722A" w14:textId="41B3DD9F" w:rsidR="00120717" w:rsidRPr="00B93EE1" w:rsidRDefault="00120717" w:rsidP="00BB34F7">
      <w:r w:rsidRPr="00B93EE1">
        <w:t xml:space="preserve">Any technical questions arising from this report may be addressed to </w:t>
      </w:r>
      <w:r w:rsidR="00C926A7" w:rsidRPr="00B93EE1">
        <w:rPr>
          <w:rFonts w:cs="Arial"/>
        </w:rPr>
        <w:t>Ricardo Barba (</w:t>
      </w:r>
      <w:r w:rsidR="00C926A7" w:rsidRPr="00B93EE1">
        <w:t>tel. </w:t>
      </w:r>
      <w:r w:rsidR="00C926A7" w:rsidRPr="00B93EE1">
        <w:rPr>
          <w:rFonts w:cs="Arial"/>
        </w:rPr>
        <w:t>+41 22 739 5088), Ana Cristina Molina (</w:t>
      </w:r>
      <w:r w:rsidR="00C926A7" w:rsidRPr="00B93EE1">
        <w:t xml:space="preserve">tel. </w:t>
      </w:r>
      <w:r w:rsidR="00C926A7" w:rsidRPr="00B93EE1">
        <w:rPr>
          <w:rFonts w:cs="Arial"/>
        </w:rPr>
        <w:t>+41</w:t>
      </w:r>
      <w:r w:rsidR="008D2D1F" w:rsidRPr="00B93EE1">
        <w:rPr>
          <w:rFonts w:cs="Arial"/>
        </w:rPr>
        <w:t> </w:t>
      </w:r>
      <w:r w:rsidR="00C926A7" w:rsidRPr="00B93EE1">
        <w:rPr>
          <w:rFonts w:cs="Arial"/>
        </w:rPr>
        <w:t>22</w:t>
      </w:r>
      <w:r w:rsidR="008D2D1F" w:rsidRPr="00B93EE1">
        <w:rPr>
          <w:rFonts w:cs="Arial"/>
        </w:rPr>
        <w:t> </w:t>
      </w:r>
      <w:r w:rsidR="00C926A7" w:rsidRPr="00B93EE1">
        <w:rPr>
          <w:rFonts w:cs="Arial"/>
        </w:rPr>
        <w:t>739</w:t>
      </w:r>
      <w:r w:rsidR="008D2D1F" w:rsidRPr="00B93EE1">
        <w:rPr>
          <w:rFonts w:cs="Arial"/>
        </w:rPr>
        <w:t> </w:t>
      </w:r>
      <w:r w:rsidR="00C926A7" w:rsidRPr="00B93EE1">
        <w:rPr>
          <w:rFonts w:cs="Arial"/>
        </w:rPr>
        <w:t>6060), and Michael </w:t>
      </w:r>
      <w:proofErr w:type="spellStart"/>
      <w:r w:rsidR="00C926A7" w:rsidRPr="00B93EE1">
        <w:rPr>
          <w:rFonts w:cs="Arial"/>
        </w:rPr>
        <w:t>Kolie</w:t>
      </w:r>
      <w:proofErr w:type="spellEnd"/>
      <w:r w:rsidR="00C926A7" w:rsidRPr="00B93EE1">
        <w:rPr>
          <w:rFonts w:cs="Arial"/>
        </w:rPr>
        <w:t xml:space="preserve"> (</w:t>
      </w:r>
      <w:r w:rsidR="00C926A7" w:rsidRPr="00B93EE1">
        <w:t>tel. </w:t>
      </w:r>
      <w:r w:rsidR="00C926A7" w:rsidRPr="00B93EE1">
        <w:rPr>
          <w:rFonts w:cs="Arial"/>
        </w:rPr>
        <w:t>+41 22 739 5931)</w:t>
      </w:r>
      <w:r w:rsidRPr="00B93EE1">
        <w:t>.</w:t>
      </w:r>
    </w:p>
    <w:p w14:paraId="770E8EF2" w14:textId="77777777" w:rsidR="00120717" w:rsidRPr="00B93EE1" w:rsidRDefault="00120717" w:rsidP="00BB34F7"/>
    <w:p w14:paraId="048EC404" w14:textId="67A0D9D4" w:rsidR="00120717" w:rsidRPr="00B93EE1" w:rsidRDefault="00120717" w:rsidP="00BB34F7">
      <w:r w:rsidRPr="00B93EE1">
        <w:t>Document WT/</w:t>
      </w:r>
      <w:proofErr w:type="spellStart"/>
      <w:r w:rsidRPr="00B93EE1">
        <w:t>TPR</w:t>
      </w:r>
      <w:proofErr w:type="spellEnd"/>
      <w:r w:rsidRPr="00B93EE1">
        <w:t>/G/</w:t>
      </w:r>
      <w:r w:rsidR="00C926A7" w:rsidRPr="00B93EE1">
        <w:t>426</w:t>
      </w:r>
      <w:r w:rsidRPr="00B93EE1">
        <w:t xml:space="preserve"> contains the policy statement submitted by New</w:t>
      </w:r>
      <w:r w:rsidR="00C926A7" w:rsidRPr="00B93EE1">
        <w:t> </w:t>
      </w:r>
      <w:r w:rsidRPr="00B93EE1">
        <w:t>Zealand.</w:t>
      </w:r>
    </w:p>
    <w:p w14:paraId="740288B8" w14:textId="77777777" w:rsidR="00120717" w:rsidRPr="00B93EE1" w:rsidRDefault="00120717" w:rsidP="00BB34F7"/>
    <w:p w14:paraId="2043EEAF" w14:textId="77777777" w:rsidR="00120717" w:rsidRPr="00B93EE1" w:rsidRDefault="00120717" w:rsidP="00BB34F7">
      <w:pPr>
        <w:pBdr>
          <w:bottom w:val="single" w:sz="6" w:space="0" w:color="auto"/>
        </w:pBdr>
      </w:pPr>
      <w:r w:rsidRPr="00B93EE1">
        <w:fldChar w:fldCharType="begin"/>
      </w:r>
      <w:r w:rsidRPr="00B93EE1">
        <w:instrText xml:space="preserve"> ADVANCE  \y 700  </w:instrText>
      </w:r>
      <w:r w:rsidRPr="00B93EE1">
        <w:fldChar w:fldCharType="end"/>
      </w:r>
    </w:p>
    <w:p w14:paraId="69288285" w14:textId="77777777" w:rsidR="00120717" w:rsidRPr="00B93EE1" w:rsidRDefault="00120717" w:rsidP="00BB34F7">
      <w:pPr>
        <w:pBdr>
          <w:bottom w:val="single" w:sz="6" w:space="0" w:color="auto"/>
        </w:pBdr>
      </w:pPr>
    </w:p>
    <w:p w14:paraId="52240514" w14:textId="77777777" w:rsidR="00120717" w:rsidRPr="00B93EE1" w:rsidRDefault="00120717" w:rsidP="00BB34F7">
      <w:pPr>
        <w:pBdr>
          <w:bottom w:val="single" w:sz="6" w:space="0" w:color="auto"/>
        </w:pBdr>
      </w:pPr>
    </w:p>
    <w:p w14:paraId="4AE3A529" w14:textId="77777777" w:rsidR="00120717" w:rsidRPr="00B93EE1" w:rsidRDefault="00120717" w:rsidP="00BB34F7">
      <w:pPr>
        <w:pBdr>
          <w:bottom w:val="single" w:sz="6" w:space="0" w:color="auto"/>
        </w:pBdr>
      </w:pPr>
    </w:p>
    <w:p w14:paraId="1A43E805" w14:textId="77777777" w:rsidR="00120717" w:rsidRPr="00B93EE1" w:rsidRDefault="00120717" w:rsidP="00BB34F7">
      <w:pPr>
        <w:pBdr>
          <w:bottom w:val="single" w:sz="6" w:space="0" w:color="auto"/>
        </w:pBdr>
      </w:pPr>
    </w:p>
    <w:p w14:paraId="3A28BE4A" w14:textId="77777777" w:rsidR="00120717" w:rsidRPr="00B93EE1" w:rsidRDefault="00120717" w:rsidP="00BB34F7">
      <w:pPr>
        <w:pBdr>
          <w:bottom w:val="single" w:sz="6" w:space="0" w:color="auto"/>
        </w:pBdr>
      </w:pPr>
    </w:p>
    <w:p w14:paraId="4818F8BF" w14:textId="77777777" w:rsidR="00120717" w:rsidRPr="00B93EE1" w:rsidRDefault="00120717" w:rsidP="00BB34F7">
      <w:pPr>
        <w:pBdr>
          <w:bottom w:val="single" w:sz="6" w:space="0" w:color="auto"/>
        </w:pBdr>
      </w:pPr>
    </w:p>
    <w:p w14:paraId="010B8564" w14:textId="77777777" w:rsidR="00120717" w:rsidRPr="00B93EE1" w:rsidRDefault="00120717" w:rsidP="00BB34F7">
      <w:pPr>
        <w:pBdr>
          <w:bottom w:val="single" w:sz="6" w:space="0" w:color="auto"/>
        </w:pBdr>
      </w:pPr>
    </w:p>
    <w:p w14:paraId="3209042D" w14:textId="77777777" w:rsidR="00120717" w:rsidRPr="00B93EE1" w:rsidRDefault="00120717" w:rsidP="00BB34F7">
      <w:pPr>
        <w:pBdr>
          <w:bottom w:val="single" w:sz="6" w:space="0" w:color="auto"/>
        </w:pBdr>
      </w:pPr>
    </w:p>
    <w:p w14:paraId="1EF20AB1" w14:textId="77777777" w:rsidR="00120717" w:rsidRPr="00B93EE1" w:rsidRDefault="00120717" w:rsidP="00BB34F7">
      <w:pPr>
        <w:pBdr>
          <w:bottom w:val="single" w:sz="6" w:space="0" w:color="auto"/>
        </w:pBdr>
      </w:pPr>
    </w:p>
    <w:p w14:paraId="4690ED33" w14:textId="77777777" w:rsidR="00120717" w:rsidRPr="00B93EE1" w:rsidRDefault="00120717" w:rsidP="00BB34F7">
      <w:pPr>
        <w:pBdr>
          <w:bottom w:val="single" w:sz="6" w:space="0" w:color="auto"/>
        </w:pBdr>
      </w:pPr>
    </w:p>
    <w:p w14:paraId="40E884E6" w14:textId="77777777" w:rsidR="00120717" w:rsidRPr="00B93EE1" w:rsidRDefault="00120717" w:rsidP="00BB34F7">
      <w:pPr>
        <w:pBdr>
          <w:bottom w:val="single" w:sz="6" w:space="0" w:color="auto"/>
        </w:pBdr>
      </w:pPr>
    </w:p>
    <w:p w14:paraId="333F32BD" w14:textId="77777777" w:rsidR="00120717" w:rsidRPr="00B93EE1" w:rsidRDefault="00120717" w:rsidP="00BB34F7">
      <w:pPr>
        <w:pBdr>
          <w:bottom w:val="single" w:sz="6" w:space="0" w:color="auto"/>
        </w:pBdr>
      </w:pPr>
    </w:p>
    <w:p w14:paraId="1A8A4591" w14:textId="77777777" w:rsidR="00120717" w:rsidRPr="00B93EE1" w:rsidRDefault="00120717" w:rsidP="00BB34F7">
      <w:pPr>
        <w:pBdr>
          <w:bottom w:val="single" w:sz="6" w:space="0" w:color="auto"/>
        </w:pBdr>
      </w:pPr>
    </w:p>
    <w:p w14:paraId="459B9B66" w14:textId="77777777" w:rsidR="00120717" w:rsidRPr="00B93EE1" w:rsidRDefault="00120717" w:rsidP="00BB34F7">
      <w:pPr>
        <w:pBdr>
          <w:bottom w:val="single" w:sz="6" w:space="0" w:color="auto"/>
        </w:pBdr>
      </w:pPr>
    </w:p>
    <w:p w14:paraId="7DA57C15" w14:textId="77777777" w:rsidR="00120717" w:rsidRPr="00B93EE1" w:rsidRDefault="00120717" w:rsidP="00BB34F7">
      <w:pPr>
        <w:pBdr>
          <w:bottom w:val="single" w:sz="6" w:space="0" w:color="auto"/>
        </w:pBdr>
      </w:pPr>
    </w:p>
    <w:p w14:paraId="50961E46" w14:textId="77777777" w:rsidR="00120717" w:rsidRPr="00B93EE1" w:rsidRDefault="00120717" w:rsidP="00BB34F7">
      <w:pPr>
        <w:pBdr>
          <w:bottom w:val="single" w:sz="6" w:space="0" w:color="auto"/>
        </w:pBdr>
      </w:pPr>
    </w:p>
    <w:p w14:paraId="2A144BF5" w14:textId="77777777" w:rsidR="00120717" w:rsidRPr="00B93EE1" w:rsidRDefault="00120717" w:rsidP="00BB34F7">
      <w:pPr>
        <w:pBdr>
          <w:bottom w:val="single" w:sz="6" w:space="0" w:color="auto"/>
        </w:pBdr>
      </w:pPr>
    </w:p>
    <w:p w14:paraId="67B2B863" w14:textId="77777777" w:rsidR="00120717" w:rsidRPr="00B93EE1" w:rsidRDefault="00120717" w:rsidP="00BB34F7">
      <w:pPr>
        <w:pBdr>
          <w:bottom w:val="single" w:sz="6" w:space="0" w:color="auto"/>
        </w:pBdr>
      </w:pPr>
    </w:p>
    <w:p w14:paraId="4E58AB9E" w14:textId="77777777" w:rsidR="00120717" w:rsidRPr="00B93EE1" w:rsidRDefault="00120717" w:rsidP="00BB34F7">
      <w:pPr>
        <w:pBdr>
          <w:bottom w:val="single" w:sz="6" w:space="0" w:color="auto"/>
        </w:pBdr>
      </w:pPr>
    </w:p>
    <w:p w14:paraId="3ABCBDB1" w14:textId="77777777" w:rsidR="00120717" w:rsidRPr="00B93EE1" w:rsidRDefault="00120717" w:rsidP="00BB34F7">
      <w:pPr>
        <w:pBdr>
          <w:bottom w:val="single" w:sz="6" w:space="0" w:color="auto"/>
        </w:pBdr>
      </w:pPr>
    </w:p>
    <w:p w14:paraId="75C5FB5A" w14:textId="77777777" w:rsidR="00120717" w:rsidRPr="00B93EE1" w:rsidRDefault="00120717" w:rsidP="00BB34F7">
      <w:pPr>
        <w:pBdr>
          <w:bottom w:val="single" w:sz="6" w:space="0" w:color="auto"/>
        </w:pBdr>
      </w:pPr>
    </w:p>
    <w:p w14:paraId="4748938C" w14:textId="77777777" w:rsidR="00120717" w:rsidRPr="00B93EE1" w:rsidRDefault="00120717" w:rsidP="00BB34F7">
      <w:pPr>
        <w:pBdr>
          <w:bottom w:val="single" w:sz="6" w:space="0" w:color="auto"/>
        </w:pBdr>
      </w:pPr>
    </w:p>
    <w:p w14:paraId="46513268" w14:textId="77777777" w:rsidR="00120717" w:rsidRPr="00B93EE1" w:rsidRDefault="00120717" w:rsidP="00BB34F7">
      <w:pPr>
        <w:pBdr>
          <w:bottom w:val="single" w:sz="6" w:space="0" w:color="auto"/>
        </w:pBdr>
      </w:pPr>
    </w:p>
    <w:p w14:paraId="3407A3BD" w14:textId="77777777" w:rsidR="00120717" w:rsidRPr="00B93EE1" w:rsidRDefault="00120717" w:rsidP="00BB34F7">
      <w:pPr>
        <w:pBdr>
          <w:bottom w:val="single" w:sz="6" w:space="0" w:color="auto"/>
        </w:pBdr>
      </w:pPr>
    </w:p>
    <w:p w14:paraId="242148FA" w14:textId="77777777" w:rsidR="00120717" w:rsidRPr="00B93EE1" w:rsidRDefault="00120717" w:rsidP="00BB34F7">
      <w:pPr>
        <w:pBdr>
          <w:bottom w:val="single" w:sz="6" w:space="0" w:color="auto"/>
        </w:pBdr>
      </w:pPr>
    </w:p>
    <w:p w14:paraId="2BF964F4" w14:textId="77777777" w:rsidR="00120717" w:rsidRPr="00B93EE1" w:rsidRDefault="00120717" w:rsidP="00BB34F7">
      <w:pPr>
        <w:pBdr>
          <w:bottom w:val="single" w:sz="6" w:space="0" w:color="auto"/>
        </w:pBdr>
      </w:pPr>
    </w:p>
    <w:p w14:paraId="58EE8DA0" w14:textId="77777777" w:rsidR="00120717" w:rsidRPr="00B93EE1" w:rsidRDefault="00120717" w:rsidP="00BB34F7">
      <w:pPr>
        <w:pBdr>
          <w:bottom w:val="single" w:sz="6" w:space="0" w:color="auto"/>
        </w:pBdr>
      </w:pPr>
    </w:p>
    <w:p w14:paraId="52BC0911" w14:textId="77777777" w:rsidR="00120717" w:rsidRPr="00B93EE1" w:rsidRDefault="00120717" w:rsidP="00BB34F7">
      <w:pPr>
        <w:pBdr>
          <w:bottom w:val="single" w:sz="6" w:space="0" w:color="auto"/>
        </w:pBdr>
      </w:pPr>
    </w:p>
    <w:p w14:paraId="12B4B821" w14:textId="52F53B04" w:rsidR="00120717" w:rsidRPr="00B93EE1" w:rsidRDefault="00120717" w:rsidP="00BB34F7">
      <w:r w:rsidRPr="00B93EE1">
        <w:t>Note: This report is subject to restricted circulation and press embargo until the end of the first</w:t>
      </w:r>
      <w:r w:rsidR="001C795D">
        <w:t> </w:t>
      </w:r>
      <w:r w:rsidRPr="00B93EE1">
        <w:t>session of the meeting of the Trade Policy Review Body on New Zealand. This report was drafted in English.</w:t>
      </w:r>
    </w:p>
    <w:p w14:paraId="3A08937E" w14:textId="77777777" w:rsidR="00120717" w:rsidRPr="00B93EE1" w:rsidRDefault="00120717" w:rsidP="00BB34F7">
      <w:r w:rsidRPr="00B93EE1">
        <w:br w:type="page"/>
      </w:r>
    </w:p>
    <w:p w14:paraId="760F29E1" w14:textId="77777777" w:rsidR="00120717" w:rsidRPr="00B93EE1" w:rsidRDefault="00120717" w:rsidP="00BB34F7">
      <w:pPr>
        <w:pStyle w:val="TOCHeading"/>
      </w:pPr>
      <w:r w:rsidRPr="00B93EE1">
        <w:lastRenderedPageBreak/>
        <w:t>CONTENTS</w:t>
      </w:r>
    </w:p>
    <w:p w14:paraId="448B85DB" w14:textId="26A0D782" w:rsidR="003C53A8" w:rsidRDefault="00120717" w:rsidP="003C53A8">
      <w:pPr>
        <w:pStyle w:val="TOC1"/>
        <w:spacing w:before="120"/>
        <w:rPr>
          <w:rFonts w:asciiTheme="minorHAnsi" w:eastAsiaTheme="minorEastAsia" w:hAnsiTheme="minorHAnsi" w:cstheme="minorBidi"/>
          <w:b w:val="0"/>
          <w:caps w:val="0"/>
          <w:noProof/>
          <w:sz w:val="22"/>
          <w:szCs w:val="22"/>
          <w:lang w:val="fr-FR" w:eastAsia="fr-FR"/>
        </w:rPr>
      </w:pPr>
      <w:r w:rsidRPr="00B93EE1">
        <w:fldChar w:fldCharType="begin"/>
      </w:r>
      <w:r w:rsidRPr="00B93EE1">
        <w:instrText xml:space="preserve"> TOC \o "1-6" \h \z \u </w:instrText>
      </w:r>
      <w:r w:rsidRPr="00B93EE1">
        <w:fldChar w:fldCharType="separate"/>
      </w:r>
      <w:hyperlink w:anchor="_Toc97800111" w:history="1">
        <w:r w:rsidR="003C53A8" w:rsidRPr="00235D3C">
          <w:rPr>
            <w:rStyle w:val="Hyperlink"/>
            <w:noProof/>
          </w:rPr>
          <w:t>SUMMARY</w:t>
        </w:r>
        <w:r w:rsidR="003C53A8">
          <w:rPr>
            <w:noProof/>
            <w:webHidden/>
          </w:rPr>
          <w:tab/>
        </w:r>
        <w:r w:rsidR="003C53A8">
          <w:rPr>
            <w:noProof/>
            <w:webHidden/>
          </w:rPr>
          <w:fldChar w:fldCharType="begin"/>
        </w:r>
        <w:r w:rsidR="003C53A8">
          <w:rPr>
            <w:noProof/>
            <w:webHidden/>
          </w:rPr>
          <w:instrText xml:space="preserve"> PAGEREF _Toc97800111 \h </w:instrText>
        </w:r>
        <w:r w:rsidR="003C53A8">
          <w:rPr>
            <w:noProof/>
            <w:webHidden/>
          </w:rPr>
        </w:r>
        <w:r w:rsidR="003C53A8">
          <w:rPr>
            <w:noProof/>
            <w:webHidden/>
          </w:rPr>
          <w:fldChar w:fldCharType="separate"/>
        </w:r>
        <w:r w:rsidR="00F6061F">
          <w:rPr>
            <w:noProof/>
            <w:webHidden/>
          </w:rPr>
          <w:t>7</w:t>
        </w:r>
        <w:r w:rsidR="003C53A8">
          <w:rPr>
            <w:noProof/>
            <w:webHidden/>
          </w:rPr>
          <w:fldChar w:fldCharType="end"/>
        </w:r>
      </w:hyperlink>
    </w:p>
    <w:p w14:paraId="379AF85A" w14:textId="700BC8F7" w:rsidR="003C53A8" w:rsidRDefault="0012793B" w:rsidP="003C53A8">
      <w:pPr>
        <w:pStyle w:val="TOC1"/>
        <w:spacing w:before="120"/>
        <w:rPr>
          <w:rFonts w:asciiTheme="minorHAnsi" w:eastAsiaTheme="minorEastAsia" w:hAnsiTheme="minorHAnsi" w:cstheme="minorBidi"/>
          <w:b w:val="0"/>
          <w:caps w:val="0"/>
          <w:noProof/>
          <w:sz w:val="22"/>
          <w:szCs w:val="22"/>
          <w:lang w:val="fr-FR" w:eastAsia="fr-FR"/>
        </w:rPr>
      </w:pPr>
      <w:hyperlink w:anchor="_Toc97800112" w:history="1">
        <w:r w:rsidR="003C53A8" w:rsidRPr="00235D3C">
          <w:rPr>
            <w:rStyle w:val="Hyperlink"/>
            <w:noProof/>
          </w:rPr>
          <w:t>1  ECONOMIC ENVIRONMENT</w:t>
        </w:r>
        <w:r w:rsidR="003C53A8">
          <w:rPr>
            <w:noProof/>
            <w:webHidden/>
          </w:rPr>
          <w:tab/>
        </w:r>
        <w:r w:rsidR="003C53A8">
          <w:rPr>
            <w:noProof/>
            <w:webHidden/>
          </w:rPr>
          <w:fldChar w:fldCharType="begin"/>
        </w:r>
        <w:r w:rsidR="003C53A8">
          <w:rPr>
            <w:noProof/>
            <w:webHidden/>
          </w:rPr>
          <w:instrText xml:space="preserve"> PAGEREF _Toc97800112 \h </w:instrText>
        </w:r>
        <w:r w:rsidR="003C53A8">
          <w:rPr>
            <w:noProof/>
            <w:webHidden/>
          </w:rPr>
        </w:r>
        <w:r w:rsidR="003C53A8">
          <w:rPr>
            <w:noProof/>
            <w:webHidden/>
          </w:rPr>
          <w:fldChar w:fldCharType="separate"/>
        </w:r>
        <w:r w:rsidR="00F6061F">
          <w:rPr>
            <w:noProof/>
            <w:webHidden/>
          </w:rPr>
          <w:t>11</w:t>
        </w:r>
        <w:r w:rsidR="003C53A8">
          <w:rPr>
            <w:noProof/>
            <w:webHidden/>
          </w:rPr>
          <w:fldChar w:fldCharType="end"/>
        </w:r>
      </w:hyperlink>
    </w:p>
    <w:p w14:paraId="4F366DB6" w14:textId="099296FB" w:rsidR="003C53A8" w:rsidRDefault="0012793B" w:rsidP="003C53A8">
      <w:pPr>
        <w:pStyle w:val="TOC2"/>
        <w:rPr>
          <w:rFonts w:asciiTheme="minorHAnsi" w:eastAsiaTheme="minorEastAsia" w:hAnsiTheme="minorHAnsi" w:cstheme="minorBidi"/>
          <w:noProof/>
          <w:sz w:val="22"/>
          <w:szCs w:val="22"/>
          <w:lang w:val="fr-FR" w:eastAsia="fr-FR"/>
        </w:rPr>
      </w:pPr>
      <w:hyperlink w:anchor="_Toc97800113" w:history="1">
        <w:r w:rsidR="003C53A8" w:rsidRPr="00235D3C">
          <w:rPr>
            <w:rStyle w:val="Hyperlink"/>
            <w:noProof/>
          </w:rPr>
          <w:t>1.1  Main Features of the Economy</w:t>
        </w:r>
        <w:r w:rsidR="003C53A8">
          <w:rPr>
            <w:noProof/>
            <w:webHidden/>
          </w:rPr>
          <w:tab/>
        </w:r>
        <w:r w:rsidR="003C53A8">
          <w:rPr>
            <w:noProof/>
            <w:webHidden/>
          </w:rPr>
          <w:fldChar w:fldCharType="begin"/>
        </w:r>
        <w:r w:rsidR="003C53A8">
          <w:rPr>
            <w:noProof/>
            <w:webHidden/>
          </w:rPr>
          <w:instrText xml:space="preserve"> PAGEREF _Toc97800113 \h </w:instrText>
        </w:r>
        <w:r w:rsidR="003C53A8">
          <w:rPr>
            <w:noProof/>
            <w:webHidden/>
          </w:rPr>
        </w:r>
        <w:r w:rsidR="003C53A8">
          <w:rPr>
            <w:noProof/>
            <w:webHidden/>
          </w:rPr>
          <w:fldChar w:fldCharType="separate"/>
        </w:r>
        <w:r w:rsidR="00F6061F">
          <w:rPr>
            <w:noProof/>
            <w:webHidden/>
          </w:rPr>
          <w:t>11</w:t>
        </w:r>
        <w:r w:rsidR="003C53A8">
          <w:rPr>
            <w:noProof/>
            <w:webHidden/>
          </w:rPr>
          <w:fldChar w:fldCharType="end"/>
        </w:r>
      </w:hyperlink>
    </w:p>
    <w:p w14:paraId="761BB0DC" w14:textId="5D1439C9" w:rsidR="003C53A8" w:rsidRDefault="0012793B" w:rsidP="003C53A8">
      <w:pPr>
        <w:pStyle w:val="TOC2"/>
        <w:rPr>
          <w:rFonts w:asciiTheme="minorHAnsi" w:eastAsiaTheme="minorEastAsia" w:hAnsiTheme="minorHAnsi" w:cstheme="minorBidi"/>
          <w:noProof/>
          <w:sz w:val="22"/>
          <w:szCs w:val="22"/>
          <w:lang w:val="fr-FR" w:eastAsia="fr-FR"/>
        </w:rPr>
      </w:pPr>
      <w:hyperlink w:anchor="_Toc97800114" w:history="1">
        <w:r w:rsidR="003C53A8" w:rsidRPr="00235D3C">
          <w:rPr>
            <w:rStyle w:val="Hyperlink"/>
            <w:noProof/>
          </w:rPr>
          <w:t>1.2  Recent Economic Developments</w:t>
        </w:r>
        <w:r w:rsidR="003C53A8">
          <w:rPr>
            <w:noProof/>
            <w:webHidden/>
          </w:rPr>
          <w:tab/>
        </w:r>
        <w:r w:rsidR="003C53A8">
          <w:rPr>
            <w:noProof/>
            <w:webHidden/>
          </w:rPr>
          <w:fldChar w:fldCharType="begin"/>
        </w:r>
        <w:r w:rsidR="003C53A8">
          <w:rPr>
            <w:noProof/>
            <w:webHidden/>
          </w:rPr>
          <w:instrText xml:space="preserve"> PAGEREF _Toc97800114 \h </w:instrText>
        </w:r>
        <w:r w:rsidR="003C53A8">
          <w:rPr>
            <w:noProof/>
            <w:webHidden/>
          </w:rPr>
        </w:r>
        <w:r w:rsidR="003C53A8">
          <w:rPr>
            <w:noProof/>
            <w:webHidden/>
          </w:rPr>
          <w:fldChar w:fldCharType="separate"/>
        </w:r>
        <w:r w:rsidR="00F6061F">
          <w:rPr>
            <w:noProof/>
            <w:webHidden/>
          </w:rPr>
          <w:t>12</w:t>
        </w:r>
        <w:r w:rsidR="003C53A8">
          <w:rPr>
            <w:noProof/>
            <w:webHidden/>
          </w:rPr>
          <w:fldChar w:fldCharType="end"/>
        </w:r>
      </w:hyperlink>
    </w:p>
    <w:p w14:paraId="1F5CEEA5" w14:textId="39FF97BD" w:rsidR="003C53A8" w:rsidRDefault="0012793B" w:rsidP="003C53A8">
      <w:pPr>
        <w:pStyle w:val="TOC3"/>
        <w:rPr>
          <w:rFonts w:asciiTheme="minorHAnsi" w:eastAsiaTheme="minorEastAsia" w:hAnsiTheme="minorHAnsi" w:cstheme="minorBidi"/>
          <w:noProof/>
          <w:sz w:val="22"/>
          <w:szCs w:val="22"/>
          <w:lang w:val="fr-FR" w:eastAsia="fr-FR"/>
        </w:rPr>
      </w:pPr>
      <w:hyperlink w:anchor="_Toc97800115" w:history="1">
        <w:r w:rsidR="003C53A8" w:rsidRPr="00235D3C">
          <w:rPr>
            <w:rStyle w:val="Hyperlink"/>
            <w:noProof/>
          </w:rPr>
          <w:t>1.2.1  Monetary and exchange rate policies</w:t>
        </w:r>
        <w:r w:rsidR="003C53A8">
          <w:rPr>
            <w:noProof/>
            <w:webHidden/>
          </w:rPr>
          <w:tab/>
        </w:r>
        <w:r w:rsidR="003C53A8">
          <w:rPr>
            <w:noProof/>
            <w:webHidden/>
          </w:rPr>
          <w:fldChar w:fldCharType="begin"/>
        </w:r>
        <w:r w:rsidR="003C53A8">
          <w:rPr>
            <w:noProof/>
            <w:webHidden/>
          </w:rPr>
          <w:instrText xml:space="preserve"> PAGEREF _Toc97800115 \h </w:instrText>
        </w:r>
        <w:r w:rsidR="003C53A8">
          <w:rPr>
            <w:noProof/>
            <w:webHidden/>
          </w:rPr>
        </w:r>
        <w:r w:rsidR="003C53A8">
          <w:rPr>
            <w:noProof/>
            <w:webHidden/>
          </w:rPr>
          <w:fldChar w:fldCharType="separate"/>
        </w:r>
        <w:r w:rsidR="00F6061F">
          <w:rPr>
            <w:noProof/>
            <w:webHidden/>
          </w:rPr>
          <w:t>15</w:t>
        </w:r>
        <w:r w:rsidR="003C53A8">
          <w:rPr>
            <w:noProof/>
            <w:webHidden/>
          </w:rPr>
          <w:fldChar w:fldCharType="end"/>
        </w:r>
      </w:hyperlink>
    </w:p>
    <w:p w14:paraId="4B3BFA32" w14:textId="0FEE4C62" w:rsidR="003C53A8" w:rsidRDefault="0012793B" w:rsidP="003C53A8">
      <w:pPr>
        <w:pStyle w:val="TOC3"/>
        <w:rPr>
          <w:rFonts w:asciiTheme="minorHAnsi" w:eastAsiaTheme="minorEastAsia" w:hAnsiTheme="minorHAnsi" w:cstheme="minorBidi"/>
          <w:noProof/>
          <w:sz w:val="22"/>
          <w:szCs w:val="22"/>
          <w:lang w:val="fr-FR" w:eastAsia="fr-FR"/>
        </w:rPr>
      </w:pPr>
      <w:hyperlink w:anchor="_Toc97800116" w:history="1">
        <w:r w:rsidR="003C53A8" w:rsidRPr="00235D3C">
          <w:rPr>
            <w:rStyle w:val="Hyperlink"/>
            <w:noProof/>
          </w:rPr>
          <w:t>1.2.2  Fiscal policy</w:t>
        </w:r>
        <w:r w:rsidR="003C53A8">
          <w:rPr>
            <w:noProof/>
            <w:webHidden/>
          </w:rPr>
          <w:tab/>
        </w:r>
        <w:r w:rsidR="003C53A8">
          <w:rPr>
            <w:noProof/>
            <w:webHidden/>
          </w:rPr>
          <w:fldChar w:fldCharType="begin"/>
        </w:r>
        <w:r w:rsidR="003C53A8">
          <w:rPr>
            <w:noProof/>
            <w:webHidden/>
          </w:rPr>
          <w:instrText xml:space="preserve"> PAGEREF _Toc97800116 \h </w:instrText>
        </w:r>
        <w:r w:rsidR="003C53A8">
          <w:rPr>
            <w:noProof/>
            <w:webHidden/>
          </w:rPr>
        </w:r>
        <w:r w:rsidR="003C53A8">
          <w:rPr>
            <w:noProof/>
            <w:webHidden/>
          </w:rPr>
          <w:fldChar w:fldCharType="separate"/>
        </w:r>
        <w:r w:rsidR="00F6061F">
          <w:rPr>
            <w:noProof/>
            <w:webHidden/>
          </w:rPr>
          <w:t>17</w:t>
        </w:r>
        <w:r w:rsidR="003C53A8">
          <w:rPr>
            <w:noProof/>
            <w:webHidden/>
          </w:rPr>
          <w:fldChar w:fldCharType="end"/>
        </w:r>
      </w:hyperlink>
    </w:p>
    <w:p w14:paraId="56FA2A3A" w14:textId="2E1F7262" w:rsidR="003C53A8" w:rsidRDefault="0012793B" w:rsidP="003C53A8">
      <w:pPr>
        <w:pStyle w:val="TOC3"/>
        <w:rPr>
          <w:rFonts w:asciiTheme="minorHAnsi" w:eastAsiaTheme="minorEastAsia" w:hAnsiTheme="minorHAnsi" w:cstheme="minorBidi"/>
          <w:noProof/>
          <w:sz w:val="22"/>
          <w:szCs w:val="22"/>
          <w:lang w:val="fr-FR" w:eastAsia="fr-FR"/>
        </w:rPr>
      </w:pPr>
      <w:hyperlink w:anchor="_Toc97800117" w:history="1">
        <w:r w:rsidR="003C53A8" w:rsidRPr="00235D3C">
          <w:rPr>
            <w:rStyle w:val="Hyperlink"/>
            <w:noProof/>
          </w:rPr>
          <w:t>1.2.3  Balance of payments</w:t>
        </w:r>
        <w:r w:rsidR="003C53A8">
          <w:rPr>
            <w:noProof/>
            <w:webHidden/>
          </w:rPr>
          <w:tab/>
        </w:r>
        <w:r w:rsidR="003C53A8">
          <w:rPr>
            <w:noProof/>
            <w:webHidden/>
          </w:rPr>
          <w:fldChar w:fldCharType="begin"/>
        </w:r>
        <w:r w:rsidR="003C53A8">
          <w:rPr>
            <w:noProof/>
            <w:webHidden/>
          </w:rPr>
          <w:instrText xml:space="preserve"> PAGEREF _Toc97800117 \h </w:instrText>
        </w:r>
        <w:r w:rsidR="003C53A8">
          <w:rPr>
            <w:noProof/>
            <w:webHidden/>
          </w:rPr>
        </w:r>
        <w:r w:rsidR="003C53A8">
          <w:rPr>
            <w:noProof/>
            <w:webHidden/>
          </w:rPr>
          <w:fldChar w:fldCharType="separate"/>
        </w:r>
        <w:r w:rsidR="00F6061F">
          <w:rPr>
            <w:noProof/>
            <w:webHidden/>
          </w:rPr>
          <w:t>18</w:t>
        </w:r>
        <w:r w:rsidR="003C53A8">
          <w:rPr>
            <w:noProof/>
            <w:webHidden/>
          </w:rPr>
          <w:fldChar w:fldCharType="end"/>
        </w:r>
      </w:hyperlink>
    </w:p>
    <w:p w14:paraId="5632D9A5" w14:textId="0161D69E" w:rsidR="003C53A8" w:rsidRDefault="0012793B" w:rsidP="003C53A8">
      <w:pPr>
        <w:pStyle w:val="TOC2"/>
        <w:rPr>
          <w:rFonts w:asciiTheme="minorHAnsi" w:eastAsiaTheme="minorEastAsia" w:hAnsiTheme="minorHAnsi" w:cstheme="minorBidi"/>
          <w:noProof/>
          <w:sz w:val="22"/>
          <w:szCs w:val="22"/>
          <w:lang w:val="fr-FR" w:eastAsia="fr-FR"/>
        </w:rPr>
      </w:pPr>
      <w:hyperlink w:anchor="_Toc97800118" w:history="1">
        <w:r w:rsidR="003C53A8" w:rsidRPr="00235D3C">
          <w:rPr>
            <w:rStyle w:val="Hyperlink"/>
            <w:noProof/>
          </w:rPr>
          <w:t>1.3  Trade and Investment Performance</w:t>
        </w:r>
        <w:r w:rsidR="003C53A8">
          <w:rPr>
            <w:noProof/>
            <w:webHidden/>
          </w:rPr>
          <w:tab/>
        </w:r>
        <w:r w:rsidR="003C53A8">
          <w:rPr>
            <w:noProof/>
            <w:webHidden/>
          </w:rPr>
          <w:fldChar w:fldCharType="begin"/>
        </w:r>
        <w:r w:rsidR="003C53A8">
          <w:rPr>
            <w:noProof/>
            <w:webHidden/>
          </w:rPr>
          <w:instrText xml:space="preserve"> PAGEREF _Toc97800118 \h </w:instrText>
        </w:r>
        <w:r w:rsidR="003C53A8">
          <w:rPr>
            <w:noProof/>
            <w:webHidden/>
          </w:rPr>
        </w:r>
        <w:r w:rsidR="003C53A8">
          <w:rPr>
            <w:noProof/>
            <w:webHidden/>
          </w:rPr>
          <w:fldChar w:fldCharType="separate"/>
        </w:r>
        <w:r w:rsidR="00F6061F">
          <w:rPr>
            <w:noProof/>
            <w:webHidden/>
          </w:rPr>
          <w:t>19</w:t>
        </w:r>
        <w:r w:rsidR="003C53A8">
          <w:rPr>
            <w:noProof/>
            <w:webHidden/>
          </w:rPr>
          <w:fldChar w:fldCharType="end"/>
        </w:r>
      </w:hyperlink>
    </w:p>
    <w:p w14:paraId="77D48254" w14:textId="1DE1B648" w:rsidR="003C53A8" w:rsidRDefault="0012793B" w:rsidP="003C53A8">
      <w:pPr>
        <w:pStyle w:val="TOC3"/>
        <w:rPr>
          <w:rFonts w:asciiTheme="minorHAnsi" w:eastAsiaTheme="minorEastAsia" w:hAnsiTheme="minorHAnsi" w:cstheme="minorBidi"/>
          <w:noProof/>
          <w:sz w:val="22"/>
          <w:szCs w:val="22"/>
          <w:lang w:val="fr-FR" w:eastAsia="fr-FR"/>
        </w:rPr>
      </w:pPr>
      <w:hyperlink w:anchor="_Toc97800119" w:history="1">
        <w:r w:rsidR="003C53A8" w:rsidRPr="00235D3C">
          <w:rPr>
            <w:rStyle w:val="Hyperlink"/>
            <w:noProof/>
          </w:rPr>
          <w:t>1.3.1  Trade in goods</w:t>
        </w:r>
        <w:r w:rsidR="003C53A8">
          <w:rPr>
            <w:noProof/>
            <w:webHidden/>
          </w:rPr>
          <w:tab/>
        </w:r>
        <w:r w:rsidR="003C53A8">
          <w:rPr>
            <w:noProof/>
            <w:webHidden/>
          </w:rPr>
          <w:fldChar w:fldCharType="begin"/>
        </w:r>
        <w:r w:rsidR="003C53A8">
          <w:rPr>
            <w:noProof/>
            <w:webHidden/>
          </w:rPr>
          <w:instrText xml:space="preserve"> PAGEREF _Toc97800119 \h </w:instrText>
        </w:r>
        <w:r w:rsidR="003C53A8">
          <w:rPr>
            <w:noProof/>
            <w:webHidden/>
          </w:rPr>
        </w:r>
        <w:r w:rsidR="003C53A8">
          <w:rPr>
            <w:noProof/>
            <w:webHidden/>
          </w:rPr>
          <w:fldChar w:fldCharType="separate"/>
        </w:r>
        <w:r w:rsidR="00F6061F">
          <w:rPr>
            <w:noProof/>
            <w:webHidden/>
          </w:rPr>
          <w:t>19</w:t>
        </w:r>
        <w:r w:rsidR="003C53A8">
          <w:rPr>
            <w:noProof/>
            <w:webHidden/>
          </w:rPr>
          <w:fldChar w:fldCharType="end"/>
        </w:r>
      </w:hyperlink>
    </w:p>
    <w:p w14:paraId="2E98C63B" w14:textId="115096D2" w:rsidR="003C53A8" w:rsidRDefault="0012793B" w:rsidP="003C53A8">
      <w:pPr>
        <w:pStyle w:val="TOC3"/>
        <w:rPr>
          <w:rFonts w:asciiTheme="minorHAnsi" w:eastAsiaTheme="minorEastAsia" w:hAnsiTheme="minorHAnsi" w:cstheme="minorBidi"/>
          <w:noProof/>
          <w:sz w:val="22"/>
          <w:szCs w:val="22"/>
          <w:lang w:val="fr-FR" w:eastAsia="fr-FR"/>
        </w:rPr>
      </w:pPr>
      <w:hyperlink w:anchor="_Toc97800120" w:history="1">
        <w:r w:rsidR="003C53A8" w:rsidRPr="00235D3C">
          <w:rPr>
            <w:rStyle w:val="Hyperlink"/>
            <w:noProof/>
          </w:rPr>
          <w:t>1.3.2  Trade in services</w:t>
        </w:r>
        <w:r w:rsidR="003C53A8">
          <w:rPr>
            <w:noProof/>
            <w:webHidden/>
          </w:rPr>
          <w:tab/>
        </w:r>
        <w:r w:rsidR="003C53A8">
          <w:rPr>
            <w:noProof/>
            <w:webHidden/>
          </w:rPr>
          <w:fldChar w:fldCharType="begin"/>
        </w:r>
        <w:r w:rsidR="003C53A8">
          <w:rPr>
            <w:noProof/>
            <w:webHidden/>
          </w:rPr>
          <w:instrText xml:space="preserve"> PAGEREF _Toc97800120 \h </w:instrText>
        </w:r>
        <w:r w:rsidR="003C53A8">
          <w:rPr>
            <w:noProof/>
            <w:webHidden/>
          </w:rPr>
        </w:r>
        <w:r w:rsidR="003C53A8">
          <w:rPr>
            <w:noProof/>
            <w:webHidden/>
          </w:rPr>
          <w:fldChar w:fldCharType="separate"/>
        </w:r>
        <w:r w:rsidR="00F6061F">
          <w:rPr>
            <w:noProof/>
            <w:webHidden/>
          </w:rPr>
          <w:t>21</w:t>
        </w:r>
        <w:r w:rsidR="003C53A8">
          <w:rPr>
            <w:noProof/>
            <w:webHidden/>
          </w:rPr>
          <w:fldChar w:fldCharType="end"/>
        </w:r>
      </w:hyperlink>
    </w:p>
    <w:p w14:paraId="35F986B2" w14:textId="71E41AE7" w:rsidR="003C53A8" w:rsidRDefault="0012793B" w:rsidP="003C53A8">
      <w:pPr>
        <w:pStyle w:val="TOC3"/>
        <w:rPr>
          <w:rFonts w:asciiTheme="minorHAnsi" w:eastAsiaTheme="minorEastAsia" w:hAnsiTheme="minorHAnsi" w:cstheme="minorBidi"/>
          <w:noProof/>
          <w:sz w:val="22"/>
          <w:szCs w:val="22"/>
          <w:lang w:val="fr-FR" w:eastAsia="fr-FR"/>
        </w:rPr>
      </w:pPr>
      <w:hyperlink w:anchor="_Toc97800121" w:history="1">
        <w:r w:rsidR="003C53A8" w:rsidRPr="00235D3C">
          <w:rPr>
            <w:rStyle w:val="Hyperlink"/>
            <w:noProof/>
          </w:rPr>
          <w:t>1.3.3  Foreign direct investment</w:t>
        </w:r>
        <w:r w:rsidR="003C53A8">
          <w:rPr>
            <w:noProof/>
            <w:webHidden/>
          </w:rPr>
          <w:tab/>
        </w:r>
        <w:r w:rsidR="003C53A8">
          <w:rPr>
            <w:noProof/>
            <w:webHidden/>
          </w:rPr>
          <w:fldChar w:fldCharType="begin"/>
        </w:r>
        <w:r w:rsidR="003C53A8">
          <w:rPr>
            <w:noProof/>
            <w:webHidden/>
          </w:rPr>
          <w:instrText xml:space="preserve"> PAGEREF _Toc97800121 \h </w:instrText>
        </w:r>
        <w:r w:rsidR="003C53A8">
          <w:rPr>
            <w:noProof/>
            <w:webHidden/>
          </w:rPr>
        </w:r>
        <w:r w:rsidR="003C53A8">
          <w:rPr>
            <w:noProof/>
            <w:webHidden/>
          </w:rPr>
          <w:fldChar w:fldCharType="separate"/>
        </w:r>
        <w:r w:rsidR="00F6061F">
          <w:rPr>
            <w:noProof/>
            <w:webHidden/>
          </w:rPr>
          <w:t>22</w:t>
        </w:r>
        <w:r w:rsidR="003C53A8">
          <w:rPr>
            <w:noProof/>
            <w:webHidden/>
          </w:rPr>
          <w:fldChar w:fldCharType="end"/>
        </w:r>
      </w:hyperlink>
    </w:p>
    <w:p w14:paraId="40B13C85" w14:textId="4697A6BA" w:rsidR="003C53A8" w:rsidRDefault="0012793B" w:rsidP="003C53A8">
      <w:pPr>
        <w:pStyle w:val="TOC1"/>
        <w:spacing w:before="120"/>
        <w:rPr>
          <w:rFonts w:asciiTheme="minorHAnsi" w:eastAsiaTheme="minorEastAsia" w:hAnsiTheme="minorHAnsi" w:cstheme="minorBidi"/>
          <w:b w:val="0"/>
          <w:caps w:val="0"/>
          <w:noProof/>
          <w:sz w:val="22"/>
          <w:szCs w:val="22"/>
          <w:lang w:val="fr-FR" w:eastAsia="fr-FR"/>
        </w:rPr>
      </w:pPr>
      <w:hyperlink w:anchor="_Toc97800122" w:history="1">
        <w:r w:rsidR="003C53A8" w:rsidRPr="00235D3C">
          <w:rPr>
            <w:rStyle w:val="Hyperlink"/>
            <w:noProof/>
          </w:rPr>
          <w:t>2  TRADE AND INVESTMENT REGIMES</w:t>
        </w:r>
        <w:r w:rsidR="003C53A8">
          <w:rPr>
            <w:noProof/>
            <w:webHidden/>
          </w:rPr>
          <w:tab/>
        </w:r>
        <w:r w:rsidR="003C53A8">
          <w:rPr>
            <w:noProof/>
            <w:webHidden/>
          </w:rPr>
          <w:fldChar w:fldCharType="begin"/>
        </w:r>
        <w:r w:rsidR="003C53A8">
          <w:rPr>
            <w:noProof/>
            <w:webHidden/>
          </w:rPr>
          <w:instrText xml:space="preserve"> PAGEREF _Toc97800122 \h </w:instrText>
        </w:r>
        <w:r w:rsidR="003C53A8">
          <w:rPr>
            <w:noProof/>
            <w:webHidden/>
          </w:rPr>
        </w:r>
        <w:r w:rsidR="003C53A8">
          <w:rPr>
            <w:noProof/>
            <w:webHidden/>
          </w:rPr>
          <w:fldChar w:fldCharType="separate"/>
        </w:r>
        <w:r w:rsidR="00F6061F">
          <w:rPr>
            <w:noProof/>
            <w:webHidden/>
          </w:rPr>
          <w:t>25</w:t>
        </w:r>
        <w:r w:rsidR="003C53A8">
          <w:rPr>
            <w:noProof/>
            <w:webHidden/>
          </w:rPr>
          <w:fldChar w:fldCharType="end"/>
        </w:r>
      </w:hyperlink>
    </w:p>
    <w:p w14:paraId="6A6B9CB2" w14:textId="09DF8F91" w:rsidR="003C53A8" w:rsidRDefault="0012793B" w:rsidP="003C53A8">
      <w:pPr>
        <w:pStyle w:val="TOC2"/>
        <w:rPr>
          <w:rFonts w:asciiTheme="minorHAnsi" w:eastAsiaTheme="minorEastAsia" w:hAnsiTheme="minorHAnsi" w:cstheme="minorBidi"/>
          <w:noProof/>
          <w:sz w:val="22"/>
          <w:szCs w:val="22"/>
          <w:lang w:val="fr-FR" w:eastAsia="fr-FR"/>
        </w:rPr>
      </w:pPr>
      <w:hyperlink w:anchor="_Toc97800123" w:history="1">
        <w:r w:rsidR="003C53A8" w:rsidRPr="00235D3C">
          <w:rPr>
            <w:rStyle w:val="Hyperlink"/>
            <w:noProof/>
          </w:rPr>
          <w:t>2.1  General Framework</w:t>
        </w:r>
        <w:r w:rsidR="003C53A8">
          <w:rPr>
            <w:noProof/>
            <w:webHidden/>
          </w:rPr>
          <w:tab/>
        </w:r>
        <w:r w:rsidR="003C53A8">
          <w:rPr>
            <w:noProof/>
            <w:webHidden/>
          </w:rPr>
          <w:fldChar w:fldCharType="begin"/>
        </w:r>
        <w:r w:rsidR="003C53A8">
          <w:rPr>
            <w:noProof/>
            <w:webHidden/>
          </w:rPr>
          <w:instrText xml:space="preserve"> PAGEREF _Toc97800123 \h </w:instrText>
        </w:r>
        <w:r w:rsidR="003C53A8">
          <w:rPr>
            <w:noProof/>
            <w:webHidden/>
          </w:rPr>
        </w:r>
        <w:r w:rsidR="003C53A8">
          <w:rPr>
            <w:noProof/>
            <w:webHidden/>
          </w:rPr>
          <w:fldChar w:fldCharType="separate"/>
        </w:r>
        <w:r w:rsidR="00F6061F">
          <w:rPr>
            <w:noProof/>
            <w:webHidden/>
          </w:rPr>
          <w:t>25</w:t>
        </w:r>
        <w:r w:rsidR="003C53A8">
          <w:rPr>
            <w:noProof/>
            <w:webHidden/>
          </w:rPr>
          <w:fldChar w:fldCharType="end"/>
        </w:r>
      </w:hyperlink>
    </w:p>
    <w:p w14:paraId="3D674576" w14:textId="4588A7B1" w:rsidR="003C53A8" w:rsidRDefault="0012793B" w:rsidP="003C53A8">
      <w:pPr>
        <w:pStyle w:val="TOC2"/>
        <w:rPr>
          <w:rFonts w:asciiTheme="minorHAnsi" w:eastAsiaTheme="minorEastAsia" w:hAnsiTheme="minorHAnsi" w:cstheme="minorBidi"/>
          <w:noProof/>
          <w:sz w:val="22"/>
          <w:szCs w:val="22"/>
          <w:lang w:val="fr-FR" w:eastAsia="fr-FR"/>
        </w:rPr>
      </w:pPr>
      <w:hyperlink w:anchor="_Toc97800124" w:history="1">
        <w:r w:rsidR="003C53A8" w:rsidRPr="00235D3C">
          <w:rPr>
            <w:rStyle w:val="Hyperlink"/>
            <w:noProof/>
          </w:rPr>
          <w:t>2.2  Trade Policy Formulation and Objectives</w:t>
        </w:r>
        <w:r w:rsidR="003C53A8">
          <w:rPr>
            <w:noProof/>
            <w:webHidden/>
          </w:rPr>
          <w:tab/>
        </w:r>
        <w:r w:rsidR="003C53A8">
          <w:rPr>
            <w:noProof/>
            <w:webHidden/>
          </w:rPr>
          <w:fldChar w:fldCharType="begin"/>
        </w:r>
        <w:r w:rsidR="003C53A8">
          <w:rPr>
            <w:noProof/>
            <w:webHidden/>
          </w:rPr>
          <w:instrText xml:space="preserve"> PAGEREF _Toc97800124 \h </w:instrText>
        </w:r>
        <w:r w:rsidR="003C53A8">
          <w:rPr>
            <w:noProof/>
            <w:webHidden/>
          </w:rPr>
        </w:r>
        <w:r w:rsidR="003C53A8">
          <w:rPr>
            <w:noProof/>
            <w:webHidden/>
          </w:rPr>
          <w:fldChar w:fldCharType="separate"/>
        </w:r>
        <w:r w:rsidR="00F6061F">
          <w:rPr>
            <w:noProof/>
            <w:webHidden/>
          </w:rPr>
          <w:t>26</w:t>
        </w:r>
        <w:r w:rsidR="003C53A8">
          <w:rPr>
            <w:noProof/>
            <w:webHidden/>
          </w:rPr>
          <w:fldChar w:fldCharType="end"/>
        </w:r>
      </w:hyperlink>
    </w:p>
    <w:p w14:paraId="3DE08FD1" w14:textId="07907C1B" w:rsidR="003C53A8" w:rsidRDefault="0012793B" w:rsidP="003C53A8">
      <w:pPr>
        <w:pStyle w:val="TOC2"/>
        <w:rPr>
          <w:rFonts w:asciiTheme="minorHAnsi" w:eastAsiaTheme="minorEastAsia" w:hAnsiTheme="minorHAnsi" w:cstheme="minorBidi"/>
          <w:noProof/>
          <w:sz w:val="22"/>
          <w:szCs w:val="22"/>
          <w:lang w:val="fr-FR" w:eastAsia="fr-FR"/>
        </w:rPr>
      </w:pPr>
      <w:hyperlink w:anchor="_Toc97800125" w:history="1">
        <w:r w:rsidR="003C53A8" w:rsidRPr="00235D3C">
          <w:rPr>
            <w:rStyle w:val="Hyperlink"/>
            <w:noProof/>
          </w:rPr>
          <w:t>2.3  Trade Agreements and Arrangements</w:t>
        </w:r>
        <w:r w:rsidR="003C53A8">
          <w:rPr>
            <w:noProof/>
            <w:webHidden/>
          </w:rPr>
          <w:tab/>
        </w:r>
        <w:r w:rsidR="003C53A8">
          <w:rPr>
            <w:noProof/>
            <w:webHidden/>
          </w:rPr>
          <w:fldChar w:fldCharType="begin"/>
        </w:r>
        <w:r w:rsidR="003C53A8">
          <w:rPr>
            <w:noProof/>
            <w:webHidden/>
          </w:rPr>
          <w:instrText xml:space="preserve"> PAGEREF _Toc97800125 \h </w:instrText>
        </w:r>
        <w:r w:rsidR="003C53A8">
          <w:rPr>
            <w:noProof/>
            <w:webHidden/>
          </w:rPr>
        </w:r>
        <w:r w:rsidR="003C53A8">
          <w:rPr>
            <w:noProof/>
            <w:webHidden/>
          </w:rPr>
          <w:fldChar w:fldCharType="separate"/>
        </w:r>
        <w:r w:rsidR="00F6061F">
          <w:rPr>
            <w:noProof/>
            <w:webHidden/>
          </w:rPr>
          <w:t>27</w:t>
        </w:r>
        <w:r w:rsidR="003C53A8">
          <w:rPr>
            <w:noProof/>
            <w:webHidden/>
          </w:rPr>
          <w:fldChar w:fldCharType="end"/>
        </w:r>
      </w:hyperlink>
    </w:p>
    <w:p w14:paraId="6AFA177F" w14:textId="32988CFE" w:rsidR="003C53A8" w:rsidRDefault="0012793B" w:rsidP="003C53A8">
      <w:pPr>
        <w:pStyle w:val="TOC3"/>
        <w:rPr>
          <w:rFonts w:asciiTheme="minorHAnsi" w:eastAsiaTheme="minorEastAsia" w:hAnsiTheme="minorHAnsi" w:cstheme="minorBidi"/>
          <w:noProof/>
          <w:sz w:val="22"/>
          <w:szCs w:val="22"/>
          <w:lang w:val="fr-FR" w:eastAsia="fr-FR"/>
        </w:rPr>
      </w:pPr>
      <w:hyperlink w:anchor="_Toc97800126" w:history="1">
        <w:r w:rsidR="003C53A8" w:rsidRPr="00235D3C">
          <w:rPr>
            <w:rStyle w:val="Hyperlink"/>
            <w:noProof/>
          </w:rPr>
          <w:t>2.3.1  WTO</w:t>
        </w:r>
        <w:r w:rsidR="003C53A8">
          <w:rPr>
            <w:noProof/>
            <w:webHidden/>
          </w:rPr>
          <w:tab/>
        </w:r>
        <w:r w:rsidR="003C53A8">
          <w:rPr>
            <w:noProof/>
            <w:webHidden/>
          </w:rPr>
          <w:fldChar w:fldCharType="begin"/>
        </w:r>
        <w:r w:rsidR="003C53A8">
          <w:rPr>
            <w:noProof/>
            <w:webHidden/>
          </w:rPr>
          <w:instrText xml:space="preserve"> PAGEREF _Toc97800126 \h </w:instrText>
        </w:r>
        <w:r w:rsidR="003C53A8">
          <w:rPr>
            <w:noProof/>
            <w:webHidden/>
          </w:rPr>
        </w:r>
        <w:r w:rsidR="003C53A8">
          <w:rPr>
            <w:noProof/>
            <w:webHidden/>
          </w:rPr>
          <w:fldChar w:fldCharType="separate"/>
        </w:r>
        <w:r w:rsidR="00F6061F">
          <w:rPr>
            <w:noProof/>
            <w:webHidden/>
          </w:rPr>
          <w:t>27</w:t>
        </w:r>
        <w:r w:rsidR="003C53A8">
          <w:rPr>
            <w:noProof/>
            <w:webHidden/>
          </w:rPr>
          <w:fldChar w:fldCharType="end"/>
        </w:r>
      </w:hyperlink>
    </w:p>
    <w:p w14:paraId="1764436C" w14:textId="22571796" w:rsidR="003C53A8" w:rsidRDefault="0012793B" w:rsidP="003C53A8">
      <w:pPr>
        <w:pStyle w:val="TOC3"/>
        <w:rPr>
          <w:rFonts w:asciiTheme="minorHAnsi" w:eastAsiaTheme="minorEastAsia" w:hAnsiTheme="minorHAnsi" w:cstheme="minorBidi"/>
          <w:noProof/>
          <w:sz w:val="22"/>
          <w:szCs w:val="22"/>
          <w:lang w:val="fr-FR" w:eastAsia="fr-FR"/>
        </w:rPr>
      </w:pPr>
      <w:hyperlink w:anchor="_Toc97800127" w:history="1">
        <w:r w:rsidR="003C53A8" w:rsidRPr="00235D3C">
          <w:rPr>
            <w:rStyle w:val="Hyperlink"/>
            <w:noProof/>
          </w:rPr>
          <w:t>2.3.2  Regional and preferential trade agreements</w:t>
        </w:r>
        <w:r w:rsidR="003C53A8">
          <w:rPr>
            <w:noProof/>
            <w:webHidden/>
          </w:rPr>
          <w:tab/>
        </w:r>
        <w:r w:rsidR="003C53A8">
          <w:rPr>
            <w:noProof/>
            <w:webHidden/>
          </w:rPr>
          <w:fldChar w:fldCharType="begin"/>
        </w:r>
        <w:r w:rsidR="003C53A8">
          <w:rPr>
            <w:noProof/>
            <w:webHidden/>
          </w:rPr>
          <w:instrText xml:space="preserve"> PAGEREF _Toc97800127 \h </w:instrText>
        </w:r>
        <w:r w:rsidR="003C53A8">
          <w:rPr>
            <w:noProof/>
            <w:webHidden/>
          </w:rPr>
        </w:r>
        <w:r w:rsidR="003C53A8">
          <w:rPr>
            <w:noProof/>
            <w:webHidden/>
          </w:rPr>
          <w:fldChar w:fldCharType="separate"/>
        </w:r>
        <w:r w:rsidR="00F6061F">
          <w:rPr>
            <w:noProof/>
            <w:webHidden/>
          </w:rPr>
          <w:t>28</w:t>
        </w:r>
        <w:r w:rsidR="003C53A8">
          <w:rPr>
            <w:noProof/>
            <w:webHidden/>
          </w:rPr>
          <w:fldChar w:fldCharType="end"/>
        </w:r>
      </w:hyperlink>
    </w:p>
    <w:p w14:paraId="7C7B4971" w14:textId="75F6FB3B" w:rsidR="003C53A8" w:rsidRDefault="0012793B" w:rsidP="003C53A8">
      <w:pPr>
        <w:pStyle w:val="TOC3"/>
        <w:rPr>
          <w:rFonts w:asciiTheme="minorHAnsi" w:eastAsiaTheme="minorEastAsia" w:hAnsiTheme="minorHAnsi" w:cstheme="minorBidi"/>
          <w:noProof/>
          <w:sz w:val="22"/>
          <w:szCs w:val="22"/>
          <w:lang w:val="fr-FR" w:eastAsia="fr-FR"/>
        </w:rPr>
      </w:pPr>
      <w:hyperlink w:anchor="_Toc97800128" w:history="1">
        <w:r w:rsidR="003C53A8" w:rsidRPr="00235D3C">
          <w:rPr>
            <w:rStyle w:val="Hyperlink"/>
            <w:noProof/>
          </w:rPr>
          <w:t>2.3.3  Unilateral preferential regimes</w:t>
        </w:r>
        <w:r w:rsidR="003C53A8">
          <w:rPr>
            <w:noProof/>
            <w:webHidden/>
          </w:rPr>
          <w:tab/>
        </w:r>
        <w:r w:rsidR="003C53A8">
          <w:rPr>
            <w:noProof/>
            <w:webHidden/>
          </w:rPr>
          <w:fldChar w:fldCharType="begin"/>
        </w:r>
        <w:r w:rsidR="003C53A8">
          <w:rPr>
            <w:noProof/>
            <w:webHidden/>
          </w:rPr>
          <w:instrText xml:space="preserve"> PAGEREF _Toc97800128 \h </w:instrText>
        </w:r>
        <w:r w:rsidR="003C53A8">
          <w:rPr>
            <w:noProof/>
            <w:webHidden/>
          </w:rPr>
        </w:r>
        <w:r w:rsidR="003C53A8">
          <w:rPr>
            <w:noProof/>
            <w:webHidden/>
          </w:rPr>
          <w:fldChar w:fldCharType="separate"/>
        </w:r>
        <w:r w:rsidR="00F6061F">
          <w:rPr>
            <w:noProof/>
            <w:webHidden/>
          </w:rPr>
          <w:t>33</w:t>
        </w:r>
        <w:r w:rsidR="003C53A8">
          <w:rPr>
            <w:noProof/>
            <w:webHidden/>
          </w:rPr>
          <w:fldChar w:fldCharType="end"/>
        </w:r>
      </w:hyperlink>
    </w:p>
    <w:p w14:paraId="20BD71A2" w14:textId="19E3F370" w:rsidR="003C53A8" w:rsidRDefault="0012793B" w:rsidP="003C53A8">
      <w:pPr>
        <w:pStyle w:val="TOC3"/>
        <w:rPr>
          <w:rFonts w:asciiTheme="minorHAnsi" w:eastAsiaTheme="minorEastAsia" w:hAnsiTheme="minorHAnsi" w:cstheme="minorBidi"/>
          <w:noProof/>
          <w:sz w:val="22"/>
          <w:szCs w:val="22"/>
          <w:lang w:val="fr-FR" w:eastAsia="fr-FR"/>
        </w:rPr>
      </w:pPr>
      <w:hyperlink w:anchor="_Toc97800129" w:history="1">
        <w:r w:rsidR="003C53A8" w:rsidRPr="00235D3C">
          <w:rPr>
            <w:rStyle w:val="Hyperlink"/>
            <w:noProof/>
          </w:rPr>
          <w:t>2.3.4  Other agreements and arrangements</w:t>
        </w:r>
        <w:r w:rsidR="003C53A8">
          <w:rPr>
            <w:noProof/>
            <w:webHidden/>
          </w:rPr>
          <w:tab/>
        </w:r>
        <w:r w:rsidR="003C53A8">
          <w:rPr>
            <w:noProof/>
            <w:webHidden/>
          </w:rPr>
          <w:fldChar w:fldCharType="begin"/>
        </w:r>
        <w:r w:rsidR="003C53A8">
          <w:rPr>
            <w:noProof/>
            <w:webHidden/>
          </w:rPr>
          <w:instrText xml:space="preserve"> PAGEREF _Toc97800129 \h </w:instrText>
        </w:r>
        <w:r w:rsidR="003C53A8">
          <w:rPr>
            <w:noProof/>
            <w:webHidden/>
          </w:rPr>
        </w:r>
        <w:r w:rsidR="003C53A8">
          <w:rPr>
            <w:noProof/>
            <w:webHidden/>
          </w:rPr>
          <w:fldChar w:fldCharType="separate"/>
        </w:r>
        <w:r w:rsidR="00F6061F">
          <w:rPr>
            <w:noProof/>
            <w:webHidden/>
          </w:rPr>
          <w:t>33</w:t>
        </w:r>
        <w:r w:rsidR="003C53A8">
          <w:rPr>
            <w:noProof/>
            <w:webHidden/>
          </w:rPr>
          <w:fldChar w:fldCharType="end"/>
        </w:r>
      </w:hyperlink>
    </w:p>
    <w:p w14:paraId="1EBD17D0" w14:textId="2A17C17C" w:rsidR="003C53A8" w:rsidRDefault="0012793B" w:rsidP="003C53A8">
      <w:pPr>
        <w:pStyle w:val="TOC2"/>
        <w:rPr>
          <w:rFonts w:asciiTheme="minorHAnsi" w:eastAsiaTheme="minorEastAsia" w:hAnsiTheme="minorHAnsi" w:cstheme="minorBidi"/>
          <w:noProof/>
          <w:sz w:val="22"/>
          <w:szCs w:val="22"/>
          <w:lang w:val="fr-FR" w:eastAsia="fr-FR"/>
        </w:rPr>
      </w:pPr>
      <w:hyperlink w:anchor="_Toc97800130" w:history="1">
        <w:r w:rsidR="003C53A8" w:rsidRPr="00235D3C">
          <w:rPr>
            <w:rStyle w:val="Hyperlink"/>
            <w:noProof/>
          </w:rPr>
          <w:t>2.4  Foreign Investment Regime</w:t>
        </w:r>
        <w:r w:rsidR="003C53A8">
          <w:rPr>
            <w:noProof/>
            <w:webHidden/>
          </w:rPr>
          <w:tab/>
        </w:r>
        <w:r w:rsidR="003C53A8">
          <w:rPr>
            <w:noProof/>
            <w:webHidden/>
          </w:rPr>
          <w:fldChar w:fldCharType="begin"/>
        </w:r>
        <w:r w:rsidR="003C53A8">
          <w:rPr>
            <w:noProof/>
            <w:webHidden/>
          </w:rPr>
          <w:instrText xml:space="preserve"> PAGEREF _Toc97800130 \h </w:instrText>
        </w:r>
        <w:r w:rsidR="003C53A8">
          <w:rPr>
            <w:noProof/>
            <w:webHidden/>
          </w:rPr>
        </w:r>
        <w:r w:rsidR="003C53A8">
          <w:rPr>
            <w:noProof/>
            <w:webHidden/>
          </w:rPr>
          <w:fldChar w:fldCharType="separate"/>
        </w:r>
        <w:r w:rsidR="00F6061F">
          <w:rPr>
            <w:noProof/>
            <w:webHidden/>
          </w:rPr>
          <w:t>34</w:t>
        </w:r>
        <w:r w:rsidR="003C53A8">
          <w:rPr>
            <w:noProof/>
            <w:webHidden/>
          </w:rPr>
          <w:fldChar w:fldCharType="end"/>
        </w:r>
      </w:hyperlink>
    </w:p>
    <w:p w14:paraId="574756BC" w14:textId="45C21D42" w:rsidR="003C53A8" w:rsidRDefault="0012793B" w:rsidP="003C53A8">
      <w:pPr>
        <w:pStyle w:val="TOC3"/>
        <w:rPr>
          <w:rFonts w:asciiTheme="minorHAnsi" w:eastAsiaTheme="minorEastAsia" w:hAnsiTheme="minorHAnsi" w:cstheme="minorBidi"/>
          <w:noProof/>
          <w:sz w:val="22"/>
          <w:szCs w:val="22"/>
          <w:lang w:val="fr-FR" w:eastAsia="fr-FR"/>
        </w:rPr>
      </w:pPr>
      <w:hyperlink w:anchor="_Toc97800131" w:history="1">
        <w:r w:rsidR="003C53A8" w:rsidRPr="00235D3C">
          <w:rPr>
            <w:rStyle w:val="Hyperlink"/>
            <w:noProof/>
          </w:rPr>
          <w:t>2.4.1  Regulatory framework</w:t>
        </w:r>
        <w:r w:rsidR="003C53A8">
          <w:rPr>
            <w:noProof/>
            <w:webHidden/>
          </w:rPr>
          <w:tab/>
        </w:r>
        <w:r w:rsidR="003C53A8">
          <w:rPr>
            <w:noProof/>
            <w:webHidden/>
          </w:rPr>
          <w:fldChar w:fldCharType="begin"/>
        </w:r>
        <w:r w:rsidR="003C53A8">
          <w:rPr>
            <w:noProof/>
            <w:webHidden/>
          </w:rPr>
          <w:instrText xml:space="preserve"> PAGEREF _Toc97800131 \h </w:instrText>
        </w:r>
        <w:r w:rsidR="003C53A8">
          <w:rPr>
            <w:noProof/>
            <w:webHidden/>
          </w:rPr>
        </w:r>
        <w:r w:rsidR="003C53A8">
          <w:rPr>
            <w:noProof/>
            <w:webHidden/>
          </w:rPr>
          <w:fldChar w:fldCharType="separate"/>
        </w:r>
        <w:r w:rsidR="00F6061F">
          <w:rPr>
            <w:noProof/>
            <w:webHidden/>
          </w:rPr>
          <w:t>34</w:t>
        </w:r>
        <w:r w:rsidR="003C53A8">
          <w:rPr>
            <w:noProof/>
            <w:webHidden/>
          </w:rPr>
          <w:fldChar w:fldCharType="end"/>
        </w:r>
      </w:hyperlink>
    </w:p>
    <w:p w14:paraId="66D751C5" w14:textId="62058323" w:rsidR="003C53A8" w:rsidRDefault="0012793B" w:rsidP="003C53A8">
      <w:pPr>
        <w:pStyle w:val="TOC3"/>
        <w:rPr>
          <w:rFonts w:asciiTheme="minorHAnsi" w:eastAsiaTheme="minorEastAsia" w:hAnsiTheme="minorHAnsi" w:cstheme="minorBidi"/>
          <w:noProof/>
          <w:sz w:val="22"/>
          <w:szCs w:val="22"/>
          <w:lang w:val="fr-FR" w:eastAsia="fr-FR"/>
        </w:rPr>
      </w:pPr>
      <w:hyperlink w:anchor="_Toc97800132" w:history="1">
        <w:r w:rsidR="003C53A8" w:rsidRPr="00235D3C">
          <w:rPr>
            <w:rStyle w:val="Hyperlink"/>
            <w:noProof/>
          </w:rPr>
          <w:t>2.4.2  Other aspects of New Zealand's foreign investment regime</w:t>
        </w:r>
        <w:r w:rsidR="003C53A8">
          <w:rPr>
            <w:noProof/>
            <w:webHidden/>
          </w:rPr>
          <w:tab/>
        </w:r>
        <w:r w:rsidR="003C53A8">
          <w:rPr>
            <w:noProof/>
            <w:webHidden/>
          </w:rPr>
          <w:fldChar w:fldCharType="begin"/>
        </w:r>
        <w:r w:rsidR="003C53A8">
          <w:rPr>
            <w:noProof/>
            <w:webHidden/>
          </w:rPr>
          <w:instrText xml:space="preserve"> PAGEREF _Toc97800132 \h </w:instrText>
        </w:r>
        <w:r w:rsidR="003C53A8">
          <w:rPr>
            <w:noProof/>
            <w:webHidden/>
          </w:rPr>
        </w:r>
        <w:r w:rsidR="003C53A8">
          <w:rPr>
            <w:noProof/>
            <w:webHidden/>
          </w:rPr>
          <w:fldChar w:fldCharType="separate"/>
        </w:r>
        <w:r w:rsidR="00F6061F">
          <w:rPr>
            <w:noProof/>
            <w:webHidden/>
          </w:rPr>
          <w:t>37</w:t>
        </w:r>
        <w:r w:rsidR="003C53A8">
          <w:rPr>
            <w:noProof/>
            <w:webHidden/>
          </w:rPr>
          <w:fldChar w:fldCharType="end"/>
        </w:r>
      </w:hyperlink>
    </w:p>
    <w:p w14:paraId="6D68ECD9" w14:textId="6BAAF82E" w:rsidR="003C53A8" w:rsidRDefault="0012793B" w:rsidP="003C53A8">
      <w:pPr>
        <w:pStyle w:val="TOC1"/>
        <w:spacing w:before="120"/>
        <w:rPr>
          <w:rFonts w:asciiTheme="minorHAnsi" w:eastAsiaTheme="minorEastAsia" w:hAnsiTheme="minorHAnsi" w:cstheme="minorBidi"/>
          <w:b w:val="0"/>
          <w:caps w:val="0"/>
          <w:noProof/>
          <w:sz w:val="22"/>
          <w:szCs w:val="22"/>
          <w:lang w:val="fr-FR" w:eastAsia="fr-FR"/>
        </w:rPr>
      </w:pPr>
      <w:hyperlink w:anchor="_Toc97800133" w:history="1">
        <w:r w:rsidR="003C53A8" w:rsidRPr="00235D3C">
          <w:rPr>
            <w:rStyle w:val="Hyperlink"/>
            <w:noProof/>
          </w:rPr>
          <w:t>3  TRADE POLICIES AND PRACTICES BY MEASURE</w:t>
        </w:r>
        <w:r w:rsidR="003C53A8">
          <w:rPr>
            <w:noProof/>
            <w:webHidden/>
          </w:rPr>
          <w:tab/>
        </w:r>
        <w:r w:rsidR="003C53A8">
          <w:rPr>
            <w:noProof/>
            <w:webHidden/>
          </w:rPr>
          <w:fldChar w:fldCharType="begin"/>
        </w:r>
        <w:r w:rsidR="003C53A8">
          <w:rPr>
            <w:noProof/>
            <w:webHidden/>
          </w:rPr>
          <w:instrText xml:space="preserve"> PAGEREF _Toc97800133 \h </w:instrText>
        </w:r>
        <w:r w:rsidR="003C53A8">
          <w:rPr>
            <w:noProof/>
            <w:webHidden/>
          </w:rPr>
        </w:r>
        <w:r w:rsidR="003C53A8">
          <w:rPr>
            <w:noProof/>
            <w:webHidden/>
          </w:rPr>
          <w:fldChar w:fldCharType="separate"/>
        </w:r>
        <w:r w:rsidR="00F6061F">
          <w:rPr>
            <w:noProof/>
            <w:webHidden/>
          </w:rPr>
          <w:t>39</w:t>
        </w:r>
        <w:r w:rsidR="003C53A8">
          <w:rPr>
            <w:noProof/>
            <w:webHidden/>
          </w:rPr>
          <w:fldChar w:fldCharType="end"/>
        </w:r>
      </w:hyperlink>
    </w:p>
    <w:p w14:paraId="6D532B74" w14:textId="5330B79B" w:rsidR="003C53A8" w:rsidRDefault="0012793B" w:rsidP="003C53A8">
      <w:pPr>
        <w:pStyle w:val="TOC2"/>
        <w:rPr>
          <w:rFonts w:asciiTheme="minorHAnsi" w:eastAsiaTheme="minorEastAsia" w:hAnsiTheme="minorHAnsi" w:cstheme="minorBidi"/>
          <w:noProof/>
          <w:sz w:val="22"/>
          <w:szCs w:val="22"/>
          <w:lang w:val="fr-FR" w:eastAsia="fr-FR"/>
        </w:rPr>
      </w:pPr>
      <w:hyperlink w:anchor="_Toc97800134" w:history="1">
        <w:r w:rsidR="003C53A8" w:rsidRPr="00235D3C">
          <w:rPr>
            <w:rStyle w:val="Hyperlink"/>
            <w:noProof/>
          </w:rPr>
          <w:t>3.1  Measures Directly Affecting Imports</w:t>
        </w:r>
        <w:r w:rsidR="003C53A8">
          <w:rPr>
            <w:noProof/>
            <w:webHidden/>
          </w:rPr>
          <w:tab/>
        </w:r>
        <w:r w:rsidR="003C53A8">
          <w:rPr>
            <w:noProof/>
            <w:webHidden/>
          </w:rPr>
          <w:fldChar w:fldCharType="begin"/>
        </w:r>
        <w:r w:rsidR="003C53A8">
          <w:rPr>
            <w:noProof/>
            <w:webHidden/>
          </w:rPr>
          <w:instrText xml:space="preserve"> PAGEREF _Toc97800134 \h </w:instrText>
        </w:r>
        <w:r w:rsidR="003C53A8">
          <w:rPr>
            <w:noProof/>
            <w:webHidden/>
          </w:rPr>
        </w:r>
        <w:r w:rsidR="003C53A8">
          <w:rPr>
            <w:noProof/>
            <w:webHidden/>
          </w:rPr>
          <w:fldChar w:fldCharType="separate"/>
        </w:r>
        <w:r w:rsidR="00F6061F">
          <w:rPr>
            <w:noProof/>
            <w:webHidden/>
          </w:rPr>
          <w:t>39</w:t>
        </w:r>
        <w:r w:rsidR="003C53A8">
          <w:rPr>
            <w:noProof/>
            <w:webHidden/>
          </w:rPr>
          <w:fldChar w:fldCharType="end"/>
        </w:r>
      </w:hyperlink>
    </w:p>
    <w:p w14:paraId="2AB6ED44" w14:textId="767663BE" w:rsidR="003C53A8" w:rsidRDefault="0012793B" w:rsidP="003C53A8">
      <w:pPr>
        <w:pStyle w:val="TOC3"/>
        <w:rPr>
          <w:rFonts w:asciiTheme="minorHAnsi" w:eastAsiaTheme="minorEastAsia" w:hAnsiTheme="minorHAnsi" w:cstheme="minorBidi"/>
          <w:noProof/>
          <w:sz w:val="22"/>
          <w:szCs w:val="22"/>
          <w:lang w:val="fr-FR" w:eastAsia="fr-FR"/>
        </w:rPr>
      </w:pPr>
      <w:hyperlink w:anchor="_Toc97800135" w:history="1">
        <w:r w:rsidR="003C53A8" w:rsidRPr="00235D3C">
          <w:rPr>
            <w:rStyle w:val="Hyperlink"/>
            <w:noProof/>
          </w:rPr>
          <w:t>3.1.1  Customs procedures, valuation, and requirements</w:t>
        </w:r>
        <w:r w:rsidR="003C53A8">
          <w:rPr>
            <w:noProof/>
            <w:webHidden/>
          </w:rPr>
          <w:tab/>
        </w:r>
        <w:r w:rsidR="003C53A8">
          <w:rPr>
            <w:noProof/>
            <w:webHidden/>
          </w:rPr>
          <w:fldChar w:fldCharType="begin"/>
        </w:r>
        <w:r w:rsidR="003C53A8">
          <w:rPr>
            <w:noProof/>
            <w:webHidden/>
          </w:rPr>
          <w:instrText xml:space="preserve"> PAGEREF _Toc97800135 \h </w:instrText>
        </w:r>
        <w:r w:rsidR="003C53A8">
          <w:rPr>
            <w:noProof/>
            <w:webHidden/>
          </w:rPr>
        </w:r>
        <w:r w:rsidR="003C53A8">
          <w:rPr>
            <w:noProof/>
            <w:webHidden/>
          </w:rPr>
          <w:fldChar w:fldCharType="separate"/>
        </w:r>
        <w:r w:rsidR="00F6061F">
          <w:rPr>
            <w:noProof/>
            <w:webHidden/>
          </w:rPr>
          <w:t>39</w:t>
        </w:r>
        <w:r w:rsidR="003C53A8">
          <w:rPr>
            <w:noProof/>
            <w:webHidden/>
          </w:rPr>
          <w:fldChar w:fldCharType="end"/>
        </w:r>
      </w:hyperlink>
    </w:p>
    <w:p w14:paraId="46B90160" w14:textId="662C4B44" w:rsidR="003C53A8" w:rsidRDefault="0012793B" w:rsidP="003C53A8">
      <w:pPr>
        <w:pStyle w:val="TOC3"/>
        <w:rPr>
          <w:rFonts w:asciiTheme="minorHAnsi" w:eastAsiaTheme="minorEastAsia" w:hAnsiTheme="minorHAnsi" w:cstheme="minorBidi"/>
          <w:noProof/>
          <w:sz w:val="22"/>
          <w:szCs w:val="22"/>
          <w:lang w:val="fr-FR" w:eastAsia="fr-FR"/>
        </w:rPr>
      </w:pPr>
      <w:hyperlink w:anchor="_Toc97800136" w:history="1">
        <w:r w:rsidR="003C53A8" w:rsidRPr="00235D3C">
          <w:rPr>
            <w:rStyle w:val="Hyperlink"/>
            <w:noProof/>
          </w:rPr>
          <w:t>3.1.2  Rules of origin</w:t>
        </w:r>
        <w:r w:rsidR="003C53A8">
          <w:rPr>
            <w:noProof/>
            <w:webHidden/>
          </w:rPr>
          <w:tab/>
        </w:r>
        <w:r w:rsidR="003C53A8">
          <w:rPr>
            <w:noProof/>
            <w:webHidden/>
          </w:rPr>
          <w:fldChar w:fldCharType="begin"/>
        </w:r>
        <w:r w:rsidR="003C53A8">
          <w:rPr>
            <w:noProof/>
            <w:webHidden/>
          </w:rPr>
          <w:instrText xml:space="preserve"> PAGEREF _Toc97800136 \h </w:instrText>
        </w:r>
        <w:r w:rsidR="003C53A8">
          <w:rPr>
            <w:noProof/>
            <w:webHidden/>
          </w:rPr>
        </w:r>
        <w:r w:rsidR="003C53A8">
          <w:rPr>
            <w:noProof/>
            <w:webHidden/>
          </w:rPr>
          <w:fldChar w:fldCharType="separate"/>
        </w:r>
        <w:r w:rsidR="00F6061F">
          <w:rPr>
            <w:noProof/>
            <w:webHidden/>
          </w:rPr>
          <w:t>41</w:t>
        </w:r>
        <w:r w:rsidR="003C53A8">
          <w:rPr>
            <w:noProof/>
            <w:webHidden/>
          </w:rPr>
          <w:fldChar w:fldCharType="end"/>
        </w:r>
      </w:hyperlink>
    </w:p>
    <w:p w14:paraId="42769824" w14:textId="269F988C" w:rsidR="003C53A8" w:rsidRDefault="0012793B" w:rsidP="003C53A8">
      <w:pPr>
        <w:pStyle w:val="TOC3"/>
        <w:rPr>
          <w:rFonts w:asciiTheme="minorHAnsi" w:eastAsiaTheme="minorEastAsia" w:hAnsiTheme="minorHAnsi" w:cstheme="minorBidi"/>
          <w:noProof/>
          <w:sz w:val="22"/>
          <w:szCs w:val="22"/>
          <w:lang w:val="fr-FR" w:eastAsia="fr-FR"/>
        </w:rPr>
      </w:pPr>
      <w:hyperlink w:anchor="_Toc97800137" w:history="1">
        <w:r w:rsidR="003C53A8" w:rsidRPr="00235D3C">
          <w:rPr>
            <w:rStyle w:val="Hyperlink"/>
            <w:noProof/>
          </w:rPr>
          <w:t>3.1.3  Tariffs</w:t>
        </w:r>
        <w:r w:rsidR="003C53A8">
          <w:rPr>
            <w:noProof/>
            <w:webHidden/>
          </w:rPr>
          <w:tab/>
        </w:r>
        <w:r w:rsidR="003C53A8">
          <w:rPr>
            <w:noProof/>
            <w:webHidden/>
          </w:rPr>
          <w:fldChar w:fldCharType="begin"/>
        </w:r>
        <w:r w:rsidR="003C53A8">
          <w:rPr>
            <w:noProof/>
            <w:webHidden/>
          </w:rPr>
          <w:instrText xml:space="preserve"> PAGEREF _Toc97800137 \h </w:instrText>
        </w:r>
        <w:r w:rsidR="003C53A8">
          <w:rPr>
            <w:noProof/>
            <w:webHidden/>
          </w:rPr>
        </w:r>
        <w:r w:rsidR="003C53A8">
          <w:rPr>
            <w:noProof/>
            <w:webHidden/>
          </w:rPr>
          <w:fldChar w:fldCharType="separate"/>
        </w:r>
        <w:r w:rsidR="00F6061F">
          <w:rPr>
            <w:noProof/>
            <w:webHidden/>
          </w:rPr>
          <w:t>42</w:t>
        </w:r>
        <w:r w:rsidR="003C53A8">
          <w:rPr>
            <w:noProof/>
            <w:webHidden/>
          </w:rPr>
          <w:fldChar w:fldCharType="end"/>
        </w:r>
      </w:hyperlink>
    </w:p>
    <w:p w14:paraId="5AB775DE" w14:textId="65253002" w:rsidR="003C53A8" w:rsidRDefault="0012793B" w:rsidP="003C53A8">
      <w:pPr>
        <w:pStyle w:val="TOC4"/>
        <w:rPr>
          <w:rFonts w:asciiTheme="minorHAnsi" w:eastAsiaTheme="minorEastAsia" w:hAnsiTheme="minorHAnsi" w:cstheme="minorBidi"/>
          <w:noProof/>
          <w:sz w:val="22"/>
          <w:szCs w:val="22"/>
          <w:lang w:val="fr-FR" w:eastAsia="fr-FR"/>
        </w:rPr>
      </w:pPr>
      <w:hyperlink w:anchor="_Toc97800138" w:history="1">
        <w:r w:rsidR="003C53A8" w:rsidRPr="00235D3C">
          <w:rPr>
            <w:rStyle w:val="Hyperlink"/>
            <w:noProof/>
          </w:rPr>
          <w:t>3.1.3.1  Applied MFN tariff</w:t>
        </w:r>
        <w:r w:rsidR="003C53A8">
          <w:rPr>
            <w:noProof/>
            <w:webHidden/>
          </w:rPr>
          <w:tab/>
        </w:r>
        <w:r w:rsidR="003C53A8">
          <w:rPr>
            <w:noProof/>
            <w:webHidden/>
          </w:rPr>
          <w:fldChar w:fldCharType="begin"/>
        </w:r>
        <w:r w:rsidR="003C53A8">
          <w:rPr>
            <w:noProof/>
            <w:webHidden/>
          </w:rPr>
          <w:instrText xml:space="preserve"> PAGEREF _Toc97800138 \h </w:instrText>
        </w:r>
        <w:r w:rsidR="003C53A8">
          <w:rPr>
            <w:noProof/>
            <w:webHidden/>
          </w:rPr>
        </w:r>
        <w:r w:rsidR="003C53A8">
          <w:rPr>
            <w:noProof/>
            <w:webHidden/>
          </w:rPr>
          <w:fldChar w:fldCharType="separate"/>
        </w:r>
        <w:r w:rsidR="00F6061F">
          <w:rPr>
            <w:noProof/>
            <w:webHidden/>
          </w:rPr>
          <w:t>43</w:t>
        </w:r>
        <w:r w:rsidR="003C53A8">
          <w:rPr>
            <w:noProof/>
            <w:webHidden/>
          </w:rPr>
          <w:fldChar w:fldCharType="end"/>
        </w:r>
      </w:hyperlink>
    </w:p>
    <w:p w14:paraId="4B31A8DA" w14:textId="530E2EBC" w:rsidR="003C53A8" w:rsidRDefault="0012793B" w:rsidP="003C53A8">
      <w:pPr>
        <w:pStyle w:val="TOC4"/>
        <w:rPr>
          <w:rFonts w:asciiTheme="minorHAnsi" w:eastAsiaTheme="minorEastAsia" w:hAnsiTheme="minorHAnsi" w:cstheme="minorBidi"/>
          <w:noProof/>
          <w:sz w:val="22"/>
          <w:szCs w:val="22"/>
          <w:lang w:val="fr-FR" w:eastAsia="fr-FR"/>
        </w:rPr>
      </w:pPr>
      <w:hyperlink w:anchor="_Toc97800139" w:history="1">
        <w:r w:rsidR="003C53A8" w:rsidRPr="00235D3C">
          <w:rPr>
            <w:rStyle w:val="Hyperlink"/>
            <w:noProof/>
          </w:rPr>
          <w:t>3.1.3.2  Bound tariff</w:t>
        </w:r>
        <w:r w:rsidR="003C53A8">
          <w:rPr>
            <w:noProof/>
            <w:webHidden/>
          </w:rPr>
          <w:tab/>
        </w:r>
        <w:r w:rsidR="003C53A8">
          <w:rPr>
            <w:noProof/>
            <w:webHidden/>
          </w:rPr>
          <w:fldChar w:fldCharType="begin"/>
        </w:r>
        <w:r w:rsidR="003C53A8">
          <w:rPr>
            <w:noProof/>
            <w:webHidden/>
          </w:rPr>
          <w:instrText xml:space="preserve"> PAGEREF _Toc97800139 \h </w:instrText>
        </w:r>
        <w:r w:rsidR="003C53A8">
          <w:rPr>
            <w:noProof/>
            <w:webHidden/>
          </w:rPr>
        </w:r>
        <w:r w:rsidR="003C53A8">
          <w:rPr>
            <w:noProof/>
            <w:webHidden/>
          </w:rPr>
          <w:fldChar w:fldCharType="separate"/>
        </w:r>
        <w:r w:rsidR="00F6061F">
          <w:rPr>
            <w:noProof/>
            <w:webHidden/>
          </w:rPr>
          <w:t>45</w:t>
        </w:r>
        <w:r w:rsidR="003C53A8">
          <w:rPr>
            <w:noProof/>
            <w:webHidden/>
          </w:rPr>
          <w:fldChar w:fldCharType="end"/>
        </w:r>
      </w:hyperlink>
    </w:p>
    <w:p w14:paraId="4B279FEA" w14:textId="1FDE774E" w:rsidR="003C53A8" w:rsidRDefault="0012793B" w:rsidP="003C53A8">
      <w:pPr>
        <w:pStyle w:val="TOC4"/>
        <w:rPr>
          <w:rFonts w:asciiTheme="minorHAnsi" w:eastAsiaTheme="minorEastAsia" w:hAnsiTheme="minorHAnsi" w:cstheme="minorBidi"/>
          <w:noProof/>
          <w:sz w:val="22"/>
          <w:szCs w:val="22"/>
          <w:lang w:val="fr-FR" w:eastAsia="fr-FR"/>
        </w:rPr>
      </w:pPr>
      <w:hyperlink w:anchor="_Toc97800140" w:history="1">
        <w:r w:rsidR="003C53A8" w:rsidRPr="00235D3C">
          <w:rPr>
            <w:rStyle w:val="Hyperlink"/>
            <w:noProof/>
          </w:rPr>
          <w:t>3.1.3.3  Tariff preferences</w:t>
        </w:r>
        <w:r w:rsidR="003C53A8">
          <w:rPr>
            <w:noProof/>
            <w:webHidden/>
          </w:rPr>
          <w:tab/>
        </w:r>
        <w:r w:rsidR="003C53A8">
          <w:rPr>
            <w:noProof/>
            <w:webHidden/>
          </w:rPr>
          <w:fldChar w:fldCharType="begin"/>
        </w:r>
        <w:r w:rsidR="003C53A8">
          <w:rPr>
            <w:noProof/>
            <w:webHidden/>
          </w:rPr>
          <w:instrText xml:space="preserve"> PAGEREF _Toc97800140 \h </w:instrText>
        </w:r>
        <w:r w:rsidR="003C53A8">
          <w:rPr>
            <w:noProof/>
            <w:webHidden/>
          </w:rPr>
        </w:r>
        <w:r w:rsidR="003C53A8">
          <w:rPr>
            <w:noProof/>
            <w:webHidden/>
          </w:rPr>
          <w:fldChar w:fldCharType="separate"/>
        </w:r>
        <w:r w:rsidR="00F6061F">
          <w:rPr>
            <w:noProof/>
            <w:webHidden/>
          </w:rPr>
          <w:t>46</w:t>
        </w:r>
        <w:r w:rsidR="003C53A8">
          <w:rPr>
            <w:noProof/>
            <w:webHidden/>
          </w:rPr>
          <w:fldChar w:fldCharType="end"/>
        </w:r>
      </w:hyperlink>
    </w:p>
    <w:p w14:paraId="4A2EC35A" w14:textId="7D0B0CEB" w:rsidR="003C53A8" w:rsidRDefault="0012793B" w:rsidP="003C53A8">
      <w:pPr>
        <w:pStyle w:val="TOC4"/>
        <w:rPr>
          <w:rFonts w:asciiTheme="minorHAnsi" w:eastAsiaTheme="minorEastAsia" w:hAnsiTheme="minorHAnsi" w:cstheme="minorBidi"/>
          <w:noProof/>
          <w:sz w:val="22"/>
          <w:szCs w:val="22"/>
          <w:lang w:val="fr-FR" w:eastAsia="fr-FR"/>
        </w:rPr>
      </w:pPr>
      <w:hyperlink w:anchor="_Toc97800141" w:history="1">
        <w:r w:rsidR="003C53A8" w:rsidRPr="00235D3C">
          <w:rPr>
            <w:rStyle w:val="Hyperlink"/>
            <w:noProof/>
          </w:rPr>
          <w:t>3.1.3.4  Tariff concessions</w:t>
        </w:r>
        <w:r w:rsidR="003C53A8">
          <w:rPr>
            <w:noProof/>
            <w:webHidden/>
          </w:rPr>
          <w:tab/>
        </w:r>
        <w:r w:rsidR="003C53A8">
          <w:rPr>
            <w:noProof/>
            <w:webHidden/>
          </w:rPr>
          <w:fldChar w:fldCharType="begin"/>
        </w:r>
        <w:r w:rsidR="003C53A8">
          <w:rPr>
            <w:noProof/>
            <w:webHidden/>
          </w:rPr>
          <w:instrText xml:space="preserve"> PAGEREF _Toc97800141 \h </w:instrText>
        </w:r>
        <w:r w:rsidR="003C53A8">
          <w:rPr>
            <w:noProof/>
            <w:webHidden/>
          </w:rPr>
        </w:r>
        <w:r w:rsidR="003C53A8">
          <w:rPr>
            <w:noProof/>
            <w:webHidden/>
          </w:rPr>
          <w:fldChar w:fldCharType="separate"/>
        </w:r>
        <w:r w:rsidR="00F6061F">
          <w:rPr>
            <w:noProof/>
            <w:webHidden/>
          </w:rPr>
          <w:t>47</w:t>
        </w:r>
        <w:r w:rsidR="003C53A8">
          <w:rPr>
            <w:noProof/>
            <w:webHidden/>
          </w:rPr>
          <w:fldChar w:fldCharType="end"/>
        </w:r>
      </w:hyperlink>
    </w:p>
    <w:p w14:paraId="7F092A62" w14:textId="496CAE93" w:rsidR="003C53A8" w:rsidRDefault="0012793B" w:rsidP="003C53A8">
      <w:pPr>
        <w:pStyle w:val="TOC3"/>
        <w:rPr>
          <w:rFonts w:asciiTheme="minorHAnsi" w:eastAsiaTheme="minorEastAsia" w:hAnsiTheme="minorHAnsi" w:cstheme="minorBidi"/>
          <w:noProof/>
          <w:sz w:val="22"/>
          <w:szCs w:val="22"/>
          <w:lang w:val="fr-FR" w:eastAsia="fr-FR"/>
        </w:rPr>
      </w:pPr>
      <w:hyperlink w:anchor="_Toc97800142" w:history="1">
        <w:r w:rsidR="003C53A8" w:rsidRPr="00235D3C">
          <w:rPr>
            <w:rStyle w:val="Hyperlink"/>
            <w:noProof/>
          </w:rPr>
          <w:t>3.1.4  Other charges affecting imports</w:t>
        </w:r>
        <w:r w:rsidR="003C53A8">
          <w:rPr>
            <w:noProof/>
            <w:webHidden/>
          </w:rPr>
          <w:tab/>
        </w:r>
        <w:r w:rsidR="003C53A8">
          <w:rPr>
            <w:noProof/>
            <w:webHidden/>
          </w:rPr>
          <w:fldChar w:fldCharType="begin"/>
        </w:r>
        <w:r w:rsidR="003C53A8">
          <w:rPr>
            <w:noProof/>
            <w:webHidden/>
          </w:rPr>
          <w:instrText xml:space="preserve"> PAGEREF _Toc97800142 \h </w:instrText>
        </w:r>
        <w:r w:rsidR="003C53A8">
          <w:rPr>
            <w:noProof/>
            <w:webHidden/>
          </w:rPr>
        </w:r>
        <w:r w:rsidR="003C53A8">
          <w:rPr>
            <w:noProof/>
            <w:webHidden/>
          </w:rPr>
          <w:fldChar w:fldCharType="separate"/>
        </w:r>
        <w:r w:rsidR="00F6061F">
          <w:rPr>
            <w:noProof/>
            <w:webHidden/>
          </w:rPr>
          <w:t>47</w:t>
        </w:r>
        <w:r w:rsidR="003C53A8">
          <w:rPr>
            <w:noProof/>
            <w:webHidden/>
          </w:rPr>
          <w:fldChar w:fldCharType="end"/>
        </w:r>
      </w:hyperlink>
    </w:p>
    <w:p w14:paraId="1DABF7E0" w14:textId="433B480F" w:rsidR="003C53A8" w:rsidRDefault="0012793B" w:rsidP="003C53A8">
      <w:pPr>
        <w:pStyle w:val="TOC4"/>
        <w:rPr>
          <w:rFonts w:asciiTheme="minorHAnsi" w:eastAsiaTheme="minorEastAsia" w:hAnsiTheme="minorHAnsi" w:cstheme="minorBidi"/>
          <w:noProof/>
          <w:sz w:val="22"/>
          <w:szCs w:val="22"/>
          <w:lang w:val="fr-FR" w:eastAsia="fr-FR"/>
        </w:rPr>
      </w:pPr>
      <w:hyperlink w:anchor="_Toc97800143" w:history="1">
        <w:r w:rsidR="003C53A8" w:rsidRPr="00235D3C">
          <w:rPr>
            <w:rStyle w:val="Hyperlink"/>
            <w:noProof/>
          </w:rPr>
          <w:t>3.1.4.1  Internal taxes</w:t>
        </w:r>
        <w:r w:rsidR="003C53A8">
          <w:rPr>
            <w:noProof/>
            <w:webHidden/>
          </w:rPr>
          <w:tab/>
        </w:r>
        <w:r w:rsidR="003C53A8">
          <w:rPr>
            <w:noProof/>
            <w:webHidden/>
          </w:rPr>
          <w:fldChar w:fldCharType="begin"/>
        </w:r>
        <w:r w:rsidR="003C53A8">
          <w:rPr>
            <w:noProof/>
            <w:webHidden/>
          </w:rPr>
          <w:instrText xml:space="preserve"> PAGEREF _Toc97800143 \h </w:instrText>
        </w:r>
        <w:r w:rsidR="003C53A8">
          <w:rPr>
            <w:noProof/>
            <w:webHidden/>
          </w:rPr>
        </w:r>
        <w:r w:rsidR="003C53A8">
          <w:rPr>
            <w:noProof/>
            <w:webHidden/>
          </w:rPr>
          <w:fldChar w:fldCharType="separate"/>
        </w:r>
        <w:r w:rsidR="00F6061F">
          <w:rPr>
            <w:noProof/>
            <w:webHidden/>
          </w:rPr>
          <w:t>48</w:t>
        </w:r>
        <w:r w:rsidR="003C53A8">
          <w:rPr>
            <w:noProof/>
            <w:webHidden/>
          </w:rPr>
          <w:fldChar w:fldCharType="end"/>
        </w:r>
      </w:hyperlink>
    </w:p>
    <w:p w14:paraId="69511308" w14:textId="758A186B" w:rsidR="003C53A8" w:rsidRDefault="0012793B" w:rsidP="003C53A8">
      <w:pPr>
        <w:pStyle w:val="TOC3"/>
        <w:rPr>
          <w:rFonts w:asciiTheme="minorHAnsi" w:eastAsiaTheme="minorEastAsia" w:hAnsiTheme="minorHAnsi" w:cstheme="minorBidi"/>
          <w:noProof/>
          <w:sz w:val="22"/>
          <w:szCs w:val="22"/>
          <w:lang w:val="fr-FR" w:eastAsia="fr-FR"/>
        </w:rPr>
      </w:pPr>
      <w:hyperlink w:anchor="_Toc97800144" w:history="1">
        <w:r w:rsidR="003C53A8" w:rsidRPr="00235D3C">
          <w:rPr>
            <w:rStyle w:val="Hyperlink"/>
            <w:noProof/>
          </w:rPr>
          <w:t>3.1.5  Import prohibitions, restrictions, and licensing</w:t>
        </w:r>
        <w:r w:rsidR="003C53A8">
          <w:rPr>
            <w:noProof/>
            <w:webHidden/>
          </w:rPr>
          <w:tab/>
        </w:r>
        <w:r w:rsidR="003C53A8">
          <w:rPr>
            <w:noProof/>
            <w:webHidden/>
          </w:rPr>
          <w:fldChar w:fldCharType="begin"/>
        </w:r>
        <w:r w:rsidR="003C53A8">
          <w:rPr>
            <w:noProof/>
            <w:webHidden/>
          </w:rPr>
          <w:instrText xml:space="preserve"> PAGEREF _Toc97800144 \h </w:instrText>
        </w:r>
        <w:r w:rsidR="003C53A8">
          <w:rPr>
            <w:noProof/>
            <w:webHidden/>
          </w:rPr>
        </w:r>
        <w:r w:rsidR="003C53A8">
          <w:rPr>
            <w:noProof/>
            <w:webHidden/>
          </w:rPr>
          <w:fldChar w:fldCharType="separate"/>
        </w:r>
        <w:r w:rsidR="00F6061F">
          <w:rPr>
            <w:noProof/>
            <w:webHidden/>
          </w:rPr>
          <w:t>49</w:t>
        </w:r>
        <w:r w:rsidR="003C53A8">
          <w:rPr>
            <w:noProof/>
            <w:webHidden/>
          </w:rPr>
          <w:fldChar w:fldCharType="end"/>
        </w:r>
      </w:hyperlink>
    </w:p>
    <w:p w14:paraId="6653FEC2" w14:textId="185B92AA" w:rsidR="003C53A8" w:rsidRDefault="0012793B" w:rsidP="003C53A8">
      <w:pPr>
        <w:pStyle w:val="TOC3"/>
        <w:rPr>
          <w:rFonts w:asciiTheme="minorHAnsi" w:eastAsiaTheme="minorEastAsia" w:hAnsiTheme="minorHAnsi" w:cstheme="minorBidi"/>
          <w:noProof/>
          <w:sz w:val="22"/>
          <w:szCs w:val="22"/>
          <w:lang w:val="fr-FR" w:eastAsia="fr-FR"/>
        </w:rPr>
      </w:pPr>
      <w:hyperlink w:anchor="_Toc97800145" w:history="1">
        <w:r w:rsidR="003C53A8" w:rsidRPr="00235D3C">
          <w:rPr>
            <w:rStyle w:val="Hyperlink"/>
            <w:noProof/>
          </w:rPr>
          <w:t>3.1.6  Anti-dumping, countervailing, and safeguard measures</w:t>
        </w:r>
        <w:r w:rsidR="003C53A8">
          <w:rPr>
            <w:noProof/>
            <w:webHidden/>
          </w:rPr>
          <w:tab/>
        </w:r>
        <w:r w:rsidR="003C53A8">
          <w:rPr>
            <w:noProof/>
            <w:webHidden/>
          </w:rPr>
          <w:fldChar w:fldCharType="begin"/>
        </w:r>
        <w:r w:rsidR="003C53A8">
          <w:rPr>
            <w:noProof/>
            <w:webHidden/>
          </w:rPr>
          <w:instrText xml:space="preserve"> PAGEREF _Toc97800145 \h </w:instrText>
        </w:r>
        <w:r w:rsidR="003C53A8">
          <w:rPr>
            <w:noProof/>
            <w:webHidden/>
          </w:rPr>
        </w:r>
        <w:r w:rsidR="003C53A8">
          <w:rPr>
            <w:noProof/>
            <w:webHidden/>
          </w:rPr>
          <w:fldChar w:fldCharType="separate"/>
        </w:r>
        <w:r w:rsidR="00F6061F">
          <w:rPr>
            <w:noProof/>
            <w:webHidden/>
          </w:rPr>
          <w:t>49</w:t>
        </w:r>
        <w:r w:rsidR="003C53A8">
          <w:rPr>
            <w:noProof/>
            <w:webHidden/>
          </w:rPr>
          <w:fldChar w:fldCharType="end"/>
        </w:r>
      </w:hyperlink>
    </w:p>
    <w:p w14:paraId="3F61450C" w14:textId="5ADDC4F3" w:rsidR="003C53A8" w:rsidRDefault="0012793B" w:rsidP="003C53A8">
      <w:pPr>
        <w:pStyle w:val="TOC4"/>
        <w:rPr>
          <w:rFonts w:asciiTheme="minorHAnsi" w:eastAsiaTheme="minorEastAsia" w:hAnsiTheme="minorHAnsi" w:cstheme="minorBidi"/>
          <w:noProof/>
          <w:sz w:val="22"/>
          <w:szCs w:val="22"/>
          <w:lang w:val="fr-FR" w:eastAsia="fr-FR"/>
        </w:rPr>
      </w:pPr>
      <w:hyperlink w:anchor="_Toc97800146" w:history="1">
        <w:r w:rsidR="003C53A8" w:rsidRPr="00235D3C">
          <w:rPr>
            <w:rStyle w:val="Hyperlink"/>
            <w:noProof/>
          </w:rPr>
          <w:t>3.1.6.1  Safeguards</w:t>
        </w:r>
        <w:r w:rsidR="003C53A8">
          <w:rPr>
            <w:noProof/>
            <w:webHidden/>
          </w:rPr>
          <w:tab/>
        </w:r>
        <w:r w:rsidR="003C53A8">
          <w:rPr>
            <w:noProof/>
            <w:webHidden/>
          </w:rPr>
          <w:fldChar w:fldCharType="begin"/>
        </w:r>
        <w:r w:rsidR="003C53A8">
          <w:rPr>
            <w:noProof/>
            <w:webHidden/>
          </w:rPr>
          <w:instrText xml:space="preserve"> PAGEREF _Toc97800146 \h </w:instrText>
        </w:r>
        <w:r w:rsidR="003C53A8">
          <w:rPr>
            <w:noProof/>
            <w:webHidden/>
          </w:rPr>
        </w:r>
        <w:r w:rsidR="003C53A8">
          <w:rPr>
            <w:noProof/>
            <w:webHidden/>
          </w:rPr>
          <w:fldChar w:fldCharType="separate"/>
        </w:r>
        <w:r w:rsidR="00F6061F">
          <w:rPr>
            <w:noProof/>
            <w:webHidden/>
          </w:rPr>
          <w:t>51</w:t>
        </w:r>
        <w:r w:rsidR="003C53A8">
          <w:rPr>
            <w:noProof/>
            <w:webHidden/>
          </w:rPr>
          <w:fldChar w:fldCharType="end"/>
        </w:r>
      </w:hyperlink>
    </w:p>
    <w:p w14:paraId="11A2BEC5" w14:textId="0E14733D" w:rsidR="003C53A8" w:rsidRDefault="0012793B" w:rsidP="003C53A8">
      <w:pPr>
        <w:pStyle w:val="TOC2"/>
        <w:rPr>
          <w:rFonts w:asciiTheme="minorHAnsi" w:eastAsiaTheme="minorEastAsia" w:hAnsiTheme="minorHAnsi" w:cstheme="minorBidi"/>
          <w:noProof/>
          <w:sz w:val="22"/>
          <w:szCs w:val="22"/>
          <w:lang w:val="fr-FR" w:eastAsia="fr-FR"/>
        </w:rPr>
      </w:pPr>
      <w:hyperlink w:anchor="_Toc97800147" w:history="1">
        <w:r w:rsidR="003C53A8" w:rsidRPr="00235D3C">
          <w:rPr>
            <w:rStyle w:val="Hyperlink"/>
            <w:noProof/>
          </w:rPr>
          <w:t>3.2  Measures Directly Affecting Exports</w:t>
        </w:r>
        <w:r w:rsidR="003C53A8">
          <w:rPr>
            <w:noProof/>
            <w:webHidden/>
          </w:rPr>
          <w:tab/>
        </w:r>
        <w:r w:rsidR="003C53A8">
          <w:rPr>
            <w:noProof/>
            <w:webHidden/>
          </w:rPr>
          <w:fldChar w:fldCharType="begin"/>
        </w:r>
        <w:r w:rsidR="003C53A8">
          <w:rPr>
            <w:noProof/>
            <w:webHidden/>
          </w:rPr>
          <w:instrText xml:space="preserve"> PAGEREF _Toc97800147 \h </w:instrText>
        </w:r>
        <w:r w:rsidR="003C53A8">
          <w:rPr>
            <w:noProof/>
            <w:webHidden/>
          </w:rPr>
        </w:r>
        <w:r w:rsidR="003C53A8">
          <w:rPr>
            <w:noProof/>
            <w:webHidden/>
          </w:rPr>
          <w:fldChar w:fldCharType="separate"/>
        </w:r>
        <w:r w:rsidR="00F6061F">
          <w:rPr>
            <w:noProof/>
            <w:webHidden/>
          </w:rPr>
          <w:t>52</w:t>
        </w:r>
        <w:r w:rsidR="003C53A8">
          <w:rPr>
            <w:noProof/>
            <w:webHidden/>
          </w:rPr>
          <w:fldChar w:fldCharType="end"/>
        </w:r>
      </w:hyperlink>
    </w:p>
    <w:p w14:paraId="2B7D4424" w14:textId="07F1F8CD" w:rsidR="003C53A8" w:rsidRDefault="0012793B" w:rsidP="003C53A8">
      <w:pPr>
        <w:pStyle w:val="TOC3"/>
        <w:rPr>
          <w:rFonts w:asciiTheme="minorHAnsi" w:eastAsiaTheme="minorEastAsia" w:hAnsiTheme="minorHAnsi" w:cstheme="minorBidi"/>
          <w:noProof/>
          <w:sz w:val="22"/>
          <w:szCs w:val="22"/>
          <w:lang w:val="fr-FR" w:eastAsia="fr-FR"/>
        </w:rPr>
      </w:pPr>
      <w:hyperlink w:anchor="_Toc97800148" w:history="1">
        <w:r w:rsidR="003C53A8" w:rsidRPr="00235D3C">
          <w:rPr>
            <w:rStyle w:val="Hyperlink"/>
            <w:noProof/>
          </w:rPr>
          <w:t>3.2.1  Customs procedures and requirements</w:t>
        </w:r>
        <w:r w:rsidR="003C53A8">
          <w:rPr>
            <w:noProof/>
            <w:webHidden/>
          </w:rPr>
          <w:tab/>
        </w:r>
        <w:r w:rsidR="003C53A8">
          <w:rPr>
            <w:noProof/>
            <w:webHidden/>
          </w:rPr>
          <w:fldChar w:fldCharType="begin"/>
        </w:r>
        <w:r w:rsidR="003C53A8">
          <w:rPr>
            <w:noProof/>
            <w:webHidden/>
          </w:rPr>
          <w:instrText xml:space="preserve"> PAGEREF _Toc97800148 \h </w:instrText>
        </w:r>
        <w:r w:rsidR="003C53A8">
          <w:rPr>
            <w:noProof/>
            <w:webHidden/>
          </w:rPr>
        </w:r>
        <w:r w:rsidR="003C53A8">
          <w:rPr>
            <w:noProof/>
            <w:webHidden/>
          </w:rPr>
          <w:fldChar w:fldCharType="separate"/>
        </w:r>
        <w:r w:rsidR="00F6061F">
          <w:rPr>
            <w:noProof/>
            <w:webHidden/>
          </w:rPr>
          <w:t>52</w:t>
        </w:r>
        <w:r w:rsidR="003C53A8">
          <w:rPr>
            <w:noProof/>
            <w:webHidden/>
          </w:rPr>
          <w:fldChar w:fldCharType="end"/>
        </w:r>
      </w:hyperlink>
    </w:p>
    <w:p w14:paraId="7FABD1DF" w14:textId="497A4B50" w:rsidR="003C53A8" w:rsidRDefault="0012793B" w:rsidP="003C53A8">
      <w:pPr>
        <w:pStyle w:val="TOC3"/>
        <w:rPr>
          <w:rFonts w:asciiTheme="minorHAnsi" w:eastAsiaTheme="minorEastAsia" w:hAnsiTheme="minorHAnsi" w:cstheme="minorBidi"/>
          <w:noProof/>
          <w:sz w:val="22"/>
          <w:szCs w:val="22"/>
          <w:lang w:val="fr-FR" w:eastAsia="fr-FR"/>
        </w:rPr>
      </w:pPr>
      <w:hyperlink w:anchor="_Toc97800149" w:history="1">
        <w:r w:rsidR="003C53A8" w:rsidRPr="00235D3C">
          <w:rPr>
            <w:rStyle w:val="Hyperlink"/>
            <w:noProof/>
          </w:rPr>
          <w:t>3.2.2  Taxes, charges, and levies</w:t>
        </w:r>
        <w:r w:rsidR="003C53A8">
          <w:rPr>
            <w:noProof/>
            <w:webHidden/>
          </w:rPr>
          <w:tab/>
        </w:r>
        <w:r w:rsidR="003C53A8">
          <w:rPr>
            <w:noProof/>
            <w:webHidden/>
          </w:rPr>
          <w:fldChar w:fldCharType="begin"/>
        </w:r>
        <w:r w:rsidR="003C53A8">
          <w:rPr>
            <w:noProof/>
            <w:webHidden/>
          </w:rPr>
          <w:instrText xml:space="preserve"> PAGEREF _Toc97800149 \h </w:instrText>
        </w:r>
        <w:r w:rsidR="003C53A8">
          <w:rPr>
            <w:noProof/>
            <w:webHidden/>
          </w:rPr>
        </w:r>
        <w:r w:rsidR="003C53A8">
          <w:rPr>
            <w:noProof/>
            <w:webHidden/>
          </w:rPr>
          <w:fldChar w:fldCharType="separate"/>
        </w:r>
        <w:r w:rsidR="00F6061F">
          <w:rPr>
            <w:noProof/>
            <w:webHidden/>
          </w:rPr>
          <w:t>52</w:t>
        </w:r>
        <w:r w:rsidR="003C53A8">
          <w:rPr>
            <w:noProof/>
            <w:webHidden/>
          </w:rPr>
          <w:fldChar w:fldCharType="end"/>
        </w:r>
      </w:hyperlink>
    </w:p>
    <w:p w14:paraId="7D9F4C12" w14:textId="27441966" w:rsidR="003C53A8" w:rsidRDefault="0012793B" w:rsidP="003C53A8">
      <w:pPr>
        <w:pStyle w:val="TOC3"/>
        <w:rPr>
          <w:rFonts w:asciiTheme="minorHAnsi" w:eastAsiaTheme="minorEastAsia" w:hAnsiTheme="minorHAnsi" w:cstheme="minorBidi"/>
          <w:noProof/>
          <w:sz w:val="22"/>
          <w:szCs w:val="22"/>
          <w:lang w:val="fr-FR" w:eastAsia="fr-FR"/>
        </w:rPr>
      </w:pPr>
      <w:hyperlink w:anchor="_Toc97800150" w:history="1">
        <w:r w:rsidR="003C53A8" w:rsidRPr="00235D3C">
          <w:rPr>
            <w:rStyle w:val="Hyperlink"/>
            <w:noProof/>
          </w:rPr>
          <w:t>3.2.3  Export prohibitions, restrictions, and licensing</w:t>
        </w:r>
        <w:r w:rsidR="003C53A8">
          <w:rPr>
            <w:noProof/>
            <w:webHidden/>
          </w:rPr>
          <w:tab/>
        </w:r>
        <w:r w:rsidR="003C53A8">
          <w:rPr>
            <w:noProof/>
            <w:webHidden/>
          </w:rPr>
          <w:fldChar w:fldCharType="begin"/>
        </w:r>
        <w:r w:rsidR="003C53A8">
          <w:rPr>
            <w:noProof/>
            <w:webHidden/>
          </w:rPr>
          <w:instrText xml:space="preserve"> PAGEREF _Toc97800150 \h </w:instrText>
        </w:r>
        <w:r w:rsidR="003C53A8">
          <w:rPr>
            <w:noProof/>
            <w:webHidden/>
          </w:rPr>
        </w:r>
        <w:r w:rsidR="003C53A8">
          <w:rPr>
            <w:noProof/>
            <w:webHidden/>
          </w:rPr>
          <w:fldChar w:fldCharType="separate"/>
        </w:r>
        <w:r w:rsidR="00F6061F">
          <w:rPr>
            <w:noProof/>
            <w:webHidden/>
          </w:rPr>
          <w:t>52</w:t>
        </w:r>
        <w:r w:rsidR="003C53A8">
          <w:rPr>
            <w:noProof/>
            <w:webHidden/>
          </w:rPr>
          <w:fldChar w:fldCharType="end"/>
        </w:r>
      </w:hyperlink>
    </w:p>
    <w:p w14:paraId="63365CAD" w14:textId="1151377B" w:rsidR="003C53A8" w:rsidRDefault="0012793B" w:rsidP="003C53A8">
      <w:pPr>
        <w:pStyle w:val="TOC3"/>
        <w:rPr>
          <w:rFonts w:asciiTheme="minorHAnsi" w:eastAsiaTheme="minorEastAsia" w:hAnsiTheme="minorHAnsi" w:cstheme="minorBidi"/>
          <w:noProof/>
          <w:sz w:val="22"/>
          <w:szCs w:val="22"/>
          <w:lang w:val="fr-FR" w:eastAsia="fr-FR"/>
        </w:rPr>
      </w:pPr>
      <w:hyperlink w:anchor="_Toc97800151" w:history="1">
        <w:r w:rsidR="003C53A8" w:rsidRPr="00235D3C">
          <w:rPr>
            <w:rStyle w:val="Hyperlink"/>
            <w:noProof/>
          </w:rPr>
          <w:t>3.2.4  Export support and promotion</w:t>
        </w:r>
        <w:r w:rsidR="003C53A8">
          <w:rPr>
            <w:noProof/>
            <w:webHidden/>
          </w:rPr>
          <w:tab/>
        </w:r>
        <w:r w:rsidR="003C53A8">
          <w:rPr>
            <w:noProof/>
            <w:webHidden/>
          </w:rPr>
          <w:fldChar w:fldCharType="begin"/>
        </w:r>
        <w:r w:rsidR="003C53A8">
          <w:rPr>
            <w:noProof/>
            <w:webHidden/>
          </w:rPr>
          <w:instrText xml:space="preserve"> PAGEREF _Toc97800151 \h </w:instrText>
        </w:r>
        <w:r w:rsidR="003C53A8">
          <w:rPr>
            <w:noProof/>
            <w:webHidden/>
          </w:rPr>
        </w:r>
        <w:r w:rsidR="003C53A8">
          <w:rPr>
            <w:noProof/>
            <w:webHidden/>
          </w:rPr>
          <w:fldChar w:fldCharType="separate"/>
        </w:r>
        <w:r w:rsidR="00F6061F">
          <w:rPr>
            <w:noProof/>
            <w:webHidden/>
          </w:rPr>
          <w:t>53</w:t>
        </w:r>
        <w:r w:rsidR="003C53A8">
          <w:rPr>
            <w:noProof/>
            <w:webHidden/>
          </w:rPr>
          <w:fldChar w:fldCharType="end"/>
        </w:r>
      </w:hyperlink>
    </w:p>
    <w:p w14:paraId="378E48B7" w14:textId="61D33399" w:rsidR="003C53A8" w:rsidRDefault="0012793B" w:rsidP="003C53A8">
      <w:pPr>
        <w:pStyle w:val="TOC3"/>
        <w:rPr>
          <w:rFonts w:asciiTheme="minorHAnsi" w:eastAsiaTheme="minorEastAsia" w:hAnsiTheme="minorHAnsi" w:cstheme="minorBidi"/>
          <w:noProof/>
          <w:sz w:val="22"/>
          <w:szCs w:val="22"/>
          <w:lang w:val="fr-FR" w:eastAsia="fr-FR"/>
        </w:rPr>
      </w:pPr>
      <w:hyperlink w:anchor="_Toc97800152" w:history="1">
        <w:r w:rsidR="003C53A8" w:rsidRPr="00235D3C">
          <w:rPr>
            <w:rStyle w:val="Hyperlink"/>
            <w:noProof/>
          </w:rPr>
          <w:t>3.2.5  Export finance, insurance, and guarantees</w:t>
        </w:r>
        <w:r w:rsidR="003C53A8">
          <w:rPr>
            <w:noProof/>
            <w:webHidden/>
          </w:rPr>
          <w:tab/>
        </w:r>
        <w:r w:rsidR="003C53A8">
          <w:rPr>
            <w:noProof/>
            <w:webHidden/>
          </w:rPr>
          <w:fldChar w:fldCharType="begin"/>
        </w:r>
        <w:r w:rsidR="003C53A8">
          <w:rPr>
            <w:noProof/>
            <w:webHidden/>
          </w:rPr>
          <w:instrText xml:space="preserve"> PAGEREF _Toc97800152 \h </w:instrText>
        </w:r>
        <w:r w:rsidR="003C53A8">
          <w:rPr>
            <w:noProof/>
            <w:webHidden/>
          </w:rPr>
        </w:r>
        <w:r w:rsidR="003C53A8">
          <w:rPr>
            <w:noProof/>
            <w:webHidden/>
          </w:rPr>
          <w:fldChar w:fldCharType="separate"/>
        </w:r>
        <w:r w:rsidR="00F6061F">
          <w:rPr>
            <w:noProof/>
            <w:webHidden/>
          </w:rPr>
          <w:t>54</w:t>
        </w:r>
        <w:r w:rsidR="003C53A8">
          <w:rPr>
            <w:noProof/>
            <w:webHidden/>
          </w:rPr>
          <w:fldChar w:fldCharType="end"/>
        </w:r>
      </w:hyperlink>
    </w:p>
    <w:p w14:paraId="68887596" w14:textId="71BEDCCE" w:rsidR="003C53A8" w:rsidRDefault="0012793B" w:rsidP="003C53A8">
      <w:pPr>
        <w:pStyle w:val="TOC2"/>
        <w:rPr>
          <w:rFonts w:asciiTheme="minorHAnsi" w:eastAsiaTheme="minorEastAsia" w:hAnsiTheme="minorHAnsi" w:cstheme="minorBidi"/>
          <w:noProof/>
          <w:sz w:val="22"/>
          <w:szCs w:val="22"/>
          <w:lang w:val="fr-FR" w:eastAsia="fr-FR"/>
        </w:rPr>
      </w:pPr>
      <w:hyperlink w:anchor="_Toc97800153" w:history="1">
        <w:r w:rsidR="003C53A8" w:rsidRPr="00235D3C">
          <w:rPr>
            <w:rStyle w:val="Hyperlink"/>
            <w:noProof/>
          </w:rPr>
          <w:t>3.3  Measures Affecting Production and Trade</w:t>
        </w:r>
        <w:r w:rsidR="003C53A8">
          <w:rPr>
            <w:noProof/>
            <w:webHidden/>
          </w:rPr>
          <w:tab/>
        </w:r>
        <w:r w:rsidR="003C53A8">
          <w:rPr>
            <w:noProof/>
            <w:webHidden/>
          </w:rPr>
          <w:fldChar w:fldCharType="begin"/>
        </w:r>
        <w:r w:rsidR="003C53A8">
          <w:rPr>
            <w:noProof/>
            <w:webHidden/>
          </w:rPr>
          <w:instrText xml:space="preserve"> PAGEREF _Toc97800153 \h </w:instrText>
        </w:r>
        <w:r w:rsidR="003C53A8">
          <w:rPr>
            <w:noProof/>
            <w:webHidden/>
          </w:rPr>
        </w:r>
        <w:r w:rsidR="003C53A8">
          <w:rPr>
            <w:noProof/>
            <w:webHidden/>
          </w:rPr>
          <w:fldChar w:fldCharType="separate"/>
        </w:r>
        <w:r w:rsidR="00F6061F">
          <w:rPr>
            <w:noProof/>
            <w:webHidden/>
          </w:rPr>
          <w:t>54</w:t>
        </w:r>
        <w:r w:rsidR="003C53A8">
          <w:rPr>
            <w:noProof/>
            <w:webHidden/>
          </w:rPr>
          <w:fldChar w:fldCharType="end"/>
        </w:r>
      </w:hyperlink>
    </w:p>
    <w:p w14:paraId="5613E4EA" w14:textId="20E099BE" w:rsidR="003C53A8" w:rsidRDefault="0012793B" w:rsidP="003C53A8">
      <w:pPr>
        <w:pStyle w:val="TOC3"/>
        <w:rPr>
          <w:rFonts w:asciiTheme="minorHAnsi" w:eastAsiaTheme="minorEastAsia" w:hAnsiTheme="minorHAnsi" w:cstheme="minorBidi"/>
          <w:noProof/>
          <w:sz w:val="22"/>
          <w:szCs w:val="22"/>
          <w:lang w:val="fr-FR" w:eastAsia="fr-FR"/>
        </w:rPr>
      </w:pPr>
      <w:hyperlink w:anchor="_Toc97800154" w:history="1">
        <w:r w:rsidR="003C53A8" w:rsidRPr="00235D3C">
          <w:rPr>
            <w:rStyle w:val="Hyperlink"/>
            <w:noProof/>
          </w:rPr>
          <w:t>3.3.1  Incentives</w:t>
        </w:r>
        <w:r w:rsidR="003C53A8">
          <w:rPr>
            <w:noProof/>
            <w:webHidden/>
          </w:rPr>
          <w:tab/>
        </w:r>
        <w:r w:rsidR="003C53A8">
          <w:rPr>
            <w:noProof/>
            <w:webHidden/>
          </w:rPr>
          <w:fldChar w:fldCharType="begin"/>
        </w:r>
        <w:r w:rsidR="003C53A8">
          <w:rPr>
            <w:noProof/>
            <w:webHidden/>
          </w:rPr>
          <w:instrText xml:space="preserve"> PAGEREF _Toc97800154 \h </w:instrText>
        </w:r>
        <w:r w:rsidR="003C53A8">
          <w:rPr>
            <w:noProof/>
            <w:webHidden/>
          </w:rPr>
        </w:r>
        <w:r w:rsidR="003C53A8">
          <w:rPr>
            <w:noProof/>
            <w:webHidden/>
          </w:rPr>
          <w:fldChar w:fldCharType="separate"/>
        </w:r>
        <w:r w:rsidR="00F6061F">
          <w:rPr>
            <w:noProof/>
            <w:webHidden/>
          </w:rPr>
          <w:t>54</w:t>
        </w:r>
        <w:r w:rsidR="003C53A8">
          <w:rPr>
            <w:noProof/>
            <w:webHidden/>
          </w:rPr>
          <w:fldChar w:fldCharType="end"/>
        </w:r>
      </w:hyperlink>
    </w:p>
    <w:p w14:paraId="5441D4A6" w14:textId="4BFBE568" w:rsidR="003C53A8" w:rsidRDefault="0012793B" w:rsidP="003C53A8">
      <w:pPr>
        <w:pStyle w:val="TOC3"/>
        <w:rPr>
          <w:rFonts w:asciiTheme="minorHAnsi" w:eastAsiaTheme="minorEastAsia" w:hAnsiTheme="minorHAnsi" w:cstheme="minorBidi"/>
          <w:noProof/>
          <w:sz w:val="22"/>
          <w:szCs w:val="22"/>
          <w:lang w:val="fr-FR" w:eastAsia="fr-FR"/>
        </w:rPr>
      </w:pPr>
      <w:hyperlink w:anchor="_Toc97800155" w:history="1">
        <w:r w:rsidR="003C53A8" w:rsidRPr="00235D3C">
          <w:rPr>
            <w:rStyle w:val="Hyperlink"/>
            <w:noProof/>
          </w:rPr>
          <w:t>3.3.2  Subsidies and other government assistance</w:t>
        </w:r>
        <w:r w:rsidR="003C53A8">
          <w:rPr>
            <w:noProof/>
            <w:webHidden/>
          </w:rPr>
          <w:tab/>
        </w:r>
        <w:r w:rsidR="003C53A8">
          <w:rPr>
            <w:noProof/>
            <w:webHidden/>
          </w:rPr>
          <w:fldChar w:fldCharType="begin"/>
        </w:r>
        <w:r w:rsidR="003C53A8">
          <w:rPr>
            <w:noProof/>
            <w:webHidden/>
          </w:rPr>
          <w:instrText xml:space="preserve"> PAGEREF _Toc97800155 \h </w:instrText>
        </w:r>
        <w:r w:rsidR="003C53A8">
          <w:rPr>
            <w:noProof/>
            <w:webHidden/>
          </w:rPr>
        </w:r>
        <w:r w:rsidR="003C53A8">
          <w:rPr>
            <w:noProof/>
            <w:webHidden/>
          </w:rPr>
          <w:fldChar w:fldCharType="separate"/>
        </w:r>
        <w:r w:rsidR="00F6061F">
          <w:rPr>
            <w:noProof/>
            <w:webHidden/>
          </w:rPr>
          <w:t>56</w:t>
        </w:r>
        <w:r w:rsidR="003C53A8">
          <w:rPr>
            <w:noProof/>
            <w:webHidden/>
          </w:rPr>
          <w:fldChar w:fldCharType="end"/>
        </w:r>
      </w:hyperlink>
    </w:p>
    <w:p w14:paraId="7C87D6DE" w14:textId="5E2886D5" w:rsidR="003C53A8" w:rsidRDefault="0012793B" w:rsidP="003C53A8">
      <w:pPr>
        <w:pStyle w:val="TOC3"/>
        <w:rPr>
          <w:rFonts w:asciiTheme="minorHAnsi" w:eastAsiaTheme="minorEastAsia" w:hAnsiTheme="minorHAnsi" w:cstheme="minorBidi"/>
          <w:noProof/>
          <w:sz w:val="22"/>
          <w:szCs w:val="22"/>
          <w:lang w:val="fr-FR" w:eastAsia="fr-FR"/>
        </w:rPr>
      </w:pPr>
      <w:hyperlink w:anchor="_Toc97800156" w:history="1">
        <w:r w:rsidR="003C53A8" w:rsidRPr="00235D3C">
          <w:rPr>
            <w:rStyle w:val="Hyperlink"/>
            <w:noProof/>
          </w:rPr>
          <w:t>3.3.3  Standards and other technical requirements</w:t>
        </w:r>
        <w:r w:rsidR="003C53A8">
          <w:rPr>
            <w:noProof/>
            <w:webHidden/>
          </w:rPr>
          <w:tab/>
        </w:r>
        <w:r w:rsidR="003C53A8">
          <w:rPr>
            <w:noProof/>
            <w:webHidden/>
          </w:rPr>
          <w:fldChar w:fldCharType="begin"/>
        </w:r>
        <w:r w:rsidR="003C53A8">
          <w:rPr>
            <w:noProof/>
            <w:webHidden/>
          </w:rPr>
          <w:instrText xml:space="preserve"> PAGEREF _Toc97800156 \h </w:instrText>
        </w:r>
        <w:r w:rsidR="003C53A8">
          <w:rPr>
            <w:noProof/>
            <w:webHidden/>
          </w:rPr>
        </w:r>
        <w:r w:rsidR="003C53A8">
          <w:rPr>
            <w:noProof/>
            <w:webHidden/>
          </w:rPr>
          <w:fldChar w:fldCharType="separate"/>
        </w:r>
        <w:r w:rsidR="00F6061F">
          <w:rPr>
            <w:noProof/>
            <w:webHidden/>
          </w:rPr>
          <w:t>56</w:t>
        </w:r>
        <w:r w:rsidR="003C53A8">
          <w:rPr>
            <w:noProof/>
            <w:webHidden/>
          </w:rPr>
          <w:fldChar w:fldCharType="end"/>
        </w:r>
      </w:hyperlink>
    </w:p>
    <w:p w14:paraId="024AF871" w14:textId="42401159" w:rsidR="003C53A8" w:rsidRDefault="0012793B" w:rsidP="003C53A8">
      <w:pPr>
        <w:pStyle w:val="TOC4"/>
        <w:rPr>
          <w:rFonts w:asciiTheme="minorHAnsi" w:eastAsiaTheme="minorEastAsia" w:hAnsiTheme="minorHAnsi" w:cstheme="minorBidi"/>
          <w:noProof/>
          <w:sz w:val="22"/>
          <w:szCs w:val="22"/>
          <w:lang w:val="fr-FR" w:eastAsia="fr-FR"/>
        </w:rPr>
      </w:pPr>
      <w:hyperlink w:anchor="_Toc97800157" w:history="1">
        <w:r w:rsidR="003C53A8" w:rsidRPr="00235D3C">
          <w:rPr>
            <w:rStyle w:val="Hyperlink"/>
            <w:noProof/>
          </w:rPr>
          <w:t>3.3.3.1  Standardization</w:t>
        </w:r>
        <w:r w:rsidR="003C53A8">
          <w:rPr>
            <w:noProof/>
            <w:webHidden/>
          </w:rPr>
          <w:tab/>
        </w:r>
        <w:r w:rsidR="003C53A8">
          <w:rPr>
            <w:noProof/>
            <w:webHidden/>
          </w:rPr>
          <w:fldChar w:fldCharType="begin"/>
        </w:r>
        <w:r w:rsidR="003C53A8">
          <w:rPr>
            <w:noProof/>
            <w:webHidden/>
          </w:rPr>
          <w:instrText xml:space="preserve"> PAGEREF _Toc97800157 \h </w:instrText>
        </w:r>
        <w:r w:rsidR="003C53A8">
          <w:rPr>
            <w:noProof/>
            <w:webHidden/>
          </w:rPr>
        </w:r>
        <w:r w:rsidR="003C53A8">
          <w:rPr>
            <w:noProof/>
            <w:webHidden/>
          </w:rPr>
          <w:fldChar w:fldCharType="separate"/>
        </w:r>
        <w:r w:rsidR="00F6061F">
          <w:rPr>
            <w:noProof/>
            <w:webHidden/>
          </w:rPr>
          <w:t>56</w:t>
        </w:r>
        <w:r w:rsidR="003C53A8">
          <w:rPr>
            <w:noProof/>
            <w:webHidden/>
          </w:rPr>
          <w:fldChar w:fldCharType="end"/>
        </w:r>
      </w:hyperlink>
    </w:p>
    <w:p w14:paraId="1129A8D9" w14:textId="7C2840C1" w:rsidR="003C53A8" w:rsidRDefault="0012793B" w:rsidP="003C53A8">
      <w:pPr>
        <w:pStyle w:val="TOC4"/>
        <w:rPr>
          <w:rFonts w:asciiTheme="minorHAnsi" w:eastAsiaTheme="minorEastAsia" w:hAnsiTheme="minorHAnsi" w:cstheme="minorBidi"/>
          <w:noProof/>
          <w:sz w:val="22"/>
          <w:szCs w:val="22"/>
          <w:lang w:val="fr-FR" w:eastAsia="fr-FR"/>
        </w:rPr>
      </w:pPr>
      <w:hyperlink w:anchor="_Toc97800158" w:history="1">
        <w:r w:rsidR="003C53A8" w:rsidRPr="00235D3C">
          <w:rPr>
            <w:rStyle w:val="Hyperlink"/>
            <w:noProof/>
          </w:rPr>
          <w:t>3.3.3.2  Conformance system</w:t>
        </w:r>
        <w:r w:rsidR="003C53A8">
          <w:rPr>
            <w:noProof/>
            <w:webHidden/>
          </w:rPr>
          <w:tab/>
        </w:r>
        <w:r w:rsidR="003C53A8">
          <w:rPr>
            <w:noProof/>
            <w:webHidden/>
          </w:rPr>
          <w:fldChar w:fldCharType="begin"/>
        </w:r>
        <w:r w:rsidR="003C53A8">
          <w:rPr>
            <w:noProof/>
            <w:webHidden/>
          </w:rPr>
          <w:instrText xml:space="preserve"> PAGEREF _Toc97800158 \h </w:instrText>
        </w:r>
        <w:r w:rsidR="003C53A8">
          <w:rPr>
            <w:noProof/>
            <w:webHidden/>
          </w:rPr>
        </w:r>
        <w:r w:rsidR="003C53A8">
          <w:rPr>
            <w:noProof/>
            <w:webHidden/>
          </w:rPr>
          <w:fldChar w:fldCharType="separate"/>
        </w:r>
        <w:r w:rsidR="00F6061F">
          <w:rPr>
            <w:noProof/>
            <w:webHidden/>
          </w:rPr>
          <w:t>59</w:t>
        </w:r>
        <w:r w:rsidR="003C53A8">
          <w:rPr>
            <w:noProof/>
            <w:webHidden/>
          </w:rPr>
          <w:fldChar w:fldCharType="end"/>
        </w:r>
      </w:hyperlink>
    </w:p>
    <w:p w14:paraId="063F3D3E" w14:textId="5AADA9E2" w:rsidR="003C53A8" w:rsidRDefault="0012793B" w:rsidP="003C53A8">
      <w:pPr>
        <w:pStyle w:val="TOC4"/>
        <w:rPr>
          <w:rFonts w:asciiTheme="minorHAnsi" w:eastAsiaTheme="minorEastAsia" w:hAnsiTheme="minorHAnsi" w:cstheme="minorBidi"/>
          <w:noProof/>
          <w:sz w:val="22"/>
          <w:szCs w:val="22"/>
          <w:lang w:val="fr-FR" w:eastAsia="fr-FR"/>
        </w:rPr>
      </w:pPr>
      <w:hyperlink w:anchor="_Toc97800159" w:history="1">
        <w:r w:rsidR="003C53A8" w:rsidRPr="00235D3C">
          <w:rPr>
            <w:rStyle w:val="Hyperlink"/>
            <w:noProof/>
          </w:rPr>
          <w:t>3.3.3.3  Labelling and marking</w:t>
        </w:r>
        <w:r w:rsidR="003C53A8">
          <w:rPr>
            <w:noProof/>
            <w:webHidden/>
          </w:rPr>
          <w:tab/>
        </w:r>
        <w:r w:rsidR="003C53A8">
          <w:rPr>
            <w:noProof/>
            <w:webHidden/>
          </w:rPr>
          <w:fldChar w:fldCharType="begin"/>
        </w:r>
        <w:r w:rsidR="003C53A8">
          <w:rPr>
            <w:noProof/>
            <w:webHidden/>
          </w:rPr>
          <w:instrText xml:space="preserve"> PAGEREF _Toc97800159 \h </w:instrText>
        </w:r>
        <w:r w:rsidR="003C53A8">
          <w:rPr>
            <w:noProof/>
            <w:webHidden/>
          </w:rPr>
        </w:r>
        <w:r w:rsidR="003C53A8">
          <w:rPr>
            <w:noProof/>
            <w:webHidden/>
          </w:rPr>
          <w:fldChar w:fldCharType="separate"/>
        </w:r>
        <w:r w:rsidR="00F6061F">
          <w:rPr>
            <w:noProof/>
            <w:webHidden/>
          </w:rPr>
          <w:t>61</w:t>
        </w:r>
        <w:r w:rsidR="003C53A8">
          <w:rPr>
            <w:noProof/>
            <w:webHidden/>
          </w:rPr>
          <w:fldChar w:fldCharType="end"/>
        </w:r>
      </w:hyperlink>
    </w:p>
    <w:p w14:paraId="431D24AD" w14:textId="5D973570" w:rsidR="003C53A8" w:rsidRDefault="0012793B" w:rsidP="003C53A8">
      <w:pPr>
        <w:pStyle w:val="TOC3"/>
        <w:rPr>
          <w:rFonts w:asciiTheme="minorHAnsi" w:eastAsiaTheme="minorEastAsia" w:hAnsiTheme="minorHAnsi" w:cstheme="minorBidi"/>
          <w:noProof/>
          <w:sz w:val="22"/>
          <w:szCs w:val="22"/>
          <w:lang w:val="fr-FR" w:eastAsia="fr-FR"/>
        </w:rPr>
      </w:pPr>
      <w:hyperlink w:anchor="_Toc97800160" w:history="1">
        <w:r w:rsidR="003C53A8" w:rsidRPr="00235D3C">
          <w:rPr>
            <w:rStyle w:val="Hyperlink"/>
            <w:noProof/>
          </w:rPr>
          <w:t>3.3.4  Sanitary and phytosanitary requirements</w:t>
        </w:r>
        <w:r w:rsidR="003C53A8">
          <w:rPr>
            <w:noProof/>
            <w:webHidden/>
          </w:rPr>
          <w:tab/>
        </w:r>
        <w:r w:rsidR="003C53A8">
          <w:rPr>
            <w:noProof/>
            <w:webHidden/>
          </w:rPr>
          <w:fldChar w:fldCharType="begin"/>
        </w:r>
        <w:r w:rsidR="003C53A8">
          <w:rPr>
            <w:noProof/>
            <w:webHidden/>
          </w:rPr>
          <w:instrText xml:space="preserve"> PAGEREF _Toc97800160 \h </w:instrText>
        </w:r>
        <w:r w:rsidR="003C53A8">
          <w:rPr>
            <w:noProof/>
            <w:webHidden/>
          </w:rPr>
        </w:r>
        <w:r w:rsidR="003C53A8">
          <w:rPr>
            <w:noProof/>
            <w:webHidden/>
          </w:rPr>
          <w:fldChar w:fldCharType="separate"/>
        </w:r>
        <w:r w:rsidR="00F6061F">
          <w:rPr>
            <w:noProof/>
            <w:webHidden/>
          </w:rPr>
          <w:t>62</w:t>
        </w:r>
        <w:r w:rsidR="003C53A8">
          <w:rPr>
            <w:noProof/>
            <w:webHidden/>
          </w:rPr>
          <w:fldChar w:fldCharType="end"/>
        </w:r>
      </w:hyperlink>
    </w:p>
    <w:p w14:paraId="5014E0AE" w14:textId="6799938B" w:rsidR="003C53A8" w:rsidRDefault="0012793B" w:rsidP="003C53A8">
      <w:pPr>
        <w:pStyle w:val="TOC4"/>
        <w:rPr>
          <w:rFonts w:asciiTheme="minorHAnsi" w:eastAsiaTheme="minorEastAsia" w:hAnsiTheme="minorHAnsi" w:cstheme="minorBidi"/>
          <w:noProof/>
          <w:sz w:val="22"/>
          <w:szCs w:val="22"/>
          <w:lang w:val="fr-FR" w:eastAsia="fr-FR"/>
        </w:rPr>
      </w:pPr>
      <w:hyperlink w:anchor="_Toc97800161" w:history="1">
        <w:r w:rsidR="003C53A8" w:rsidRPr="00235D3C">
          <w:rPr>
            <w:rStyle w:val="Hyperlink"/>
            <w:noProof/>
          </w:rPr>
          <w:t>3.3.4.1  General framework</w:t>
        </w:r>
        <w:r w:rsidR="003C53A8">
          <w:rPr>
            <w:noProof/>
            <w:webHidden/>
          </w:rPr>
          <w:tab/>
        </w:r>
        <w:r w:rsidR="003C53A8">
          <w:rPr>
            <w:noProof/>
            <w:webHidden/>
          </w:rPr>
          <w:fldChar w:fldCharType="begin"/>
        </w:r>
        <w:r w:rsidR="003C53A8">
          <w:rPr>
            <w:noProof/>
            <w:webHidden/>
          </w:rPr>
          <w:instrText xml:space="preserve"> PAGEREF _Toc97800161 \h </w:instrText>
        </w:r>
        <w:r w:rsidR="003C53A8">
          <w:rPr>
            <w:noProof/>
            <w:webHidden/>
          </w:rPr>
        </w:r>
        <w:r w:rsidR="003C53A8">
          <w:rPr>
            <w:noProof/>
            <w:webHidden/>
          </w:rPr>
          <w:fldChar w:fldCharType="separate"/>
        </w:r>
        <w:r w:rsidR="00F6061F">
          <w:rPr>
            <w:noProof/>
            <w:webHidden/>
          </w:rPr>
          <w:t>62</w:t>
        </w:r>
        <w:r w:rsidR="003C53A8">
          <w:rPr>
            <w:noProof/>
            <w:webHidden/>
          </w:rPr>
          <w:fldChar w:fldCharType="end"/>
        </w:r>
      </w:hyperlink>
    </w:p>
    <w:p w14:paraId="4BFC5943" w14:textId="74803FB7" w:rsidR="003C53A8" w:rsidRDefault="0012793B" w:rsidP="003C53A8">
      <w:pPr>
        <w:pStyle w:val="TOC4"/>
        <w:rPr>
          <w:rFonts w:asciiTheme="minorHAnsi" w:eastAsiaTheme="minorEastAsia" w:hAnsiTheme="minorHAnsi" w:cstheme="minorBidi"/>
          <w:noProof/>
          <w:sz w:val="22"/>
          <w:szCs w:val="22"/>
          <w:lang w:val="fr-FR" w:eastAsia="fr-FR"/>
        </w:rPr>
      </w:pPr>
      <w:hyperlink w:anchor="_Toc97800162" w:history="1">
        <w:r w:rsidR="003C53A8" w:rsidRPr="00235D3C">
          <w:rPr>
            <w:rStyle w:val="Hyperlink"/>
            <w:noProof/>
          </w:rPr>
          <w:t>3.3.4.2  Food products</w:t>
        </w:r>
        <w:r w:rsidR="003C53A8">
          <w:rPr>
            <w:noProof/>
            <w:webHidden/>
          </w:rPr>
          <w:tab/>
        </w:r>
        <w:r w:rsidR="003C53A8">
          <w:rPr>
            <w:noProof/>
            <w:webHidden/>
          </w:rPr>
          <w:fldChar w:fldCharType="begin"/>
        </w:r>
        <w:r w:rsidR="003C53A8">
          <w:rPr>
            <w:noProof/>
            <w:webHidden/>
          </w:rPr>
          <w:instrText xml:space="preserve"> PAGEREF _Toc97800162 \h </w:instrText>
        </w:r>
        <w:r w:rsidR="003C53A8">
          <w:rPr>
            <w:noProof/>
            <w:webHidden/>
          </w:rPr>
        </w:r>
        <w:r w:rsidR="003C53A8">
          <w:rPr>
            <w:noProof/>
            <w:webHidden/>
          </w:rPr>
          <w:fldChar w:fldCharType="separate"/>
        </w:r>
        <w:r w:rsidR="00F6061F">
          <w:rPr>
            <w:noProof/>
            <w:webHidden/>
          </w:rPr>
          <w:t>64</w:t>
        </w:r>
        <w:r w:rsidR="003C53A8">
          <w:rPr>
            <w:noProof/>
            <w:webHidden/>
          </w:rPr>
          <w:fldChar w:fldCharType="end"/>
        </w:r>
      </w:hyperlink>
    </w:p>
    <w:p w14:paraId="2AF94851" w14:textId="385BE8DB" w:rsidR="003C53A8" w:rsidRDefault="0012793B" w:rsidP="003C53A8">
      <w:pPr>
        <w:pStyle w:val="TOC4"/>
        <w:rPr>
          <w:rFonts w:asciiTheme="minorHAnsi" w:eastAsiaTheme="minorEastAsia" w:hAnsiTheme="minorHAnsi" w:cstheme="minorBidi"/>
          <w:noProof/>
          <w:sz w:val="22"/>
          <w:szCs w:val="22"/>
          <w:lang w:val="fr-FR" w:eastAsia="fr-FR"/>
        </w:rPr>
      </w:pPr>
      <w:hyperlink w:anchor="_Toc97800163" w:history="1">
        <w:r w:rsidR="003C53A8" w:rsidRPr="00235D3C">
          <w:rPr>
            <w:rStyle w:val="Hyperlink"/>
            <w:noProof/>
          </w:rPr>
          <w:t>3.3.4.3  Animal and plant products</w:t>
        </w:r>
        <w:r w:rsidR="003C53A8">
          <w:rPr>
            <w:noProof/>
            <w:webHidden/>
          </w:rPr>
          <w:tab/>
        </w:r>
        <w:r w:rsidR="003C53A8">
          <w:rPr>
            <w:noProof/>
            <w:webHidden/>
          </w:rPr>
          <w:fldChar w:fldCharType="begin"/>
        </w:r>
        <w:r w:rsidR="003C53A8">
          <w:rPr>
            <w:noProof/>
            <w:webHidden/>
          </w:rPr>
          <w:instrText xml:space="preserve"> PAGEREF _Toc97800163 \h </w:instrText>
        </w:r>
        <w:r w:rsidR="003C53A8">
          <w:rPr>
            <w:noProof/>
            <w:webHidden/>
          </w:rPr>
        </w:r>
        <w:r w:rsidR="003C53A8">
          <w:rPr>
            <w:noProof/>
            <w:webHidden/>
          </w:rPr>
          <w:fldChar w:fldCharType="separate"/>
        </w:r>
        <w:r w:rsidR="00F6061F">
          <w:rPr>
            <w:noProof/>
            <w:webHidden/>
          </w:rPr>
          <w:t>67</w:t>
        </w:r>
        <w:r w:rsidR="003C53A8">
          <w:rPr>
            <w:noProof/>
            <w:webHidden/>
          </w:rPr>
          <w:fldChar w:fldCharType="end"/>
        </w:r>
      </w:hyperlink>
    </w:p>
    <w:p w14:paraId="38581142" w14:textId="6A1AA352" w:rsidR="003C53A8" w:rsidRDefault="0012793B" w:rsidP="003C53A8">
      <w:pPr>
        <w:pStyle w:val="TOC4"/>
        <w:rPr>
          <w:rFonts w:asciiTheme="minorHAnsi" w:eastAsiaTheme="minorEastAsia" w:hAnsiTheme="minorHAnsi" w:cstheme="minorBidi"/>
          <w:noProof/>
          <w:sz w:val="22"/>
          <w:szCs w:val="22"/>
          <w:lang w:val="fr-FR" w:eastAsia="fr-FR"/>
        </w:rPr>
      </w:pPr>
      <w:hyperlink w:anchor="_Toc97800164" w:history="1">
        <w:r w:rsidR="003C53A8" w:rsidRPr="00235D3C">
          <w:rPr>
            <w:rStyle w:val="Hyperlink"/>
            <w:noProof/>
          </w:rPr>
          <w:t>3.3.4.4  Genetically modified organisms (GMOs)</w:t>
        </w:r>
        <w:r w:rsidR="003C53A8">
          <w:rPr>
            <w:noProof/>
            <w:webHidden/>
          </w:rPr>
          <w:tab/>
        </w:r>
        <w:r w:rsidR="003C53A8">
          <w:rPr>
            <w:noProof/>
            <w:webHidden/>
          </w:rPr>
          <w:fldChar w:fldCharType="begin"/>
        </w:r>
        <w:r w:rsidR="003C53A8">
          <w:rPr>
            <w:noProof/>
            <w:webHidden/>
          </w:rPr>
          <w:instrText xml:space="preserve"> PAGEREF _Toc97800164 \h </w:instrText>
        </w:r>
        <w:r w:rsidR="003C53A8">
          <w:rPr>
            <w:noProof/>
            <w:webHidden/>
          </w:rPr>
        </w:r>
        <w:r w:rsidR="003C53A8">
          <w:rPr>
            <w:noProof/>
            <w:webHidden/>
          </w:rPr>
          <w:fldChar w:fldCharType="separate"/>
        </w:r>
        <w:r w:rsidR="00F6061F">
          <w:rPr>
            <w:noProof/>
            <w:webHidden/>
          </w:rPr>
          <w:t>67</w:t>
        </w:r>
        <w:r w:rsidR="003C53A8">
          <w:rPr>
            <w:noProof/>
            <w:webHidden/>
          </w:rPr>
          <w:fldChar w:fldCharType="end"/>
        </w:r>
      </w:hyperlink>
    </w:p>
    <w:p w14:paraId="259AF5E8" w14:textId="02DED80C" w:rsidR="003C53A8" w:rsidRDefault="0012793B" w:rsidP="003C53A8">
      <w:pPr>
        <w:pStyle w:val="TOC3"/>
        <w:rPr>
          <w:rFonts w:asciiTheme="minorHAnsi" w:eastAsiaTheme="minorEastAsia" w:hAnsiTheme="minorHAnsi" w:cstheme="minorBidi"/>
          <w:noProof/>
          <w:sz w:val="22"/>
          <w:szCs w:val="22"/>
          <w:lang w:val="fr-FR" w:eastAsia="fr-FR"/>
        </w:rPr>
      </w:pPr>
      <w:hyperlink w:anchor="_Toc97800165" w:history="1">
        <w:r w:rsidR="003C53A8" w:rsidRPr="00235D3C">
          <w:rPr>
            <w:rStyle w:val="Hyperlink"/>
            <w:noProof/>
          </w:rPr>
          <w:t>3.3.5  Competition policy and price controls</w:t>
        </w:r>
        <w:r w:rsidR="003C53A8">
          <w:rPr>
            <w:noProof/>
            <w:webHidden/>
          </w:rPr>
          <w:tab/>
        </w:r>
        <w:r w:rsidR="003C53A8">
          <w:rPr>
            <w:noProof/>
            <w:webHidden/>
          </w:rPr>
          <w:fldChar w:fldCharType="begin"/>
        </w:r>
        <w:r w:rsidR="003C53A8">
          <w:rPr>
            <w:noProof/>
            <w:webHidden/>
          </w:rPr>
          <w:instrText xml:space="preserve"> PAGEREF _Toc97800165 \h </w:instrText>
        </w:r>
        <w:r w:rsidR="003C53A8">
          <w:rPr>
            <w:noProof/>
            <w:webHidden/>
          </w:rPr>
        </w:r>
        <w:r w:rsidR="003C53A8">
          <w:rPr>
            <w:noProof/>
            <w:webHidden/>
          </w:rPr>
          <w:fldChar w:fldCharType="separate"/>
        </w:r>
        <w:r w:rsidR="00F6061F">
          <w:rPr>
            <w:noProof/>
            <w:webHidden/>
          </w:rPr>
          <w:t>68</w:t>
        </w:r>
        <w:r w:rsidR="003C53A8">
          <w:rPr>
            <w:noProof/>
            <w:webHidden/>
          </w:rPr>
          <w:fldChar w:fldCharType="end"/>
        </w:r>
      </w:hyperlink>
    </w:p>
    <w:p w14:paraId="44D89275" w14:textId="1222E89B" w:rsidR="003C53A8" w:rsidRDefault="0012793B" w:rsidP="003C53A8">
      <w:pPr>
        <w:pStyle w:val="TOC4"/>
        <w:rPr>
          <w:rFonts w:asciiTheme="minorHAnsi" w:eastAsiaTheme="minorEastAsia" w:hAnsiTheme="minorHAnsi" w:cstheme="minorBidi"/>
          <w:noProof/>
          <w:sz w:val="22"/>
          <w:szCs w:val="22"/>
          <w:lang w:val="fr-FR" w:eastAsia="fr-FR"/>
        </w:rPr>
      </w:pPr>
      <w:hyperlink w:anchor="_Toc97800166" w:history="1">
        <w:r w:rsidR="003C53A8" w:rsidRPr="00235D3C">
          <w:rPr>
            <w:rStyle w:val="Hyperlink"/>
            <w:noProof/>
          </w:rPr>
          <w:t>3.3.5.1  Competition policy</w:t>
        </w:r>
        <w:r w:rsidR="003C53A8">
          <w:rPr>
            <w:noProof/>
            <w:webHidden/>
          </w:rPr>
          <w:tab/>
        </w:r>
        <w:r w:rsidR="003C53A8">
          <w:rPr>
            <w:noProof/>
            <w:webHidden/>
          </w:rPr>
          <w:fldChar w:fldCharType="begin"/>
        </w:r>
        <w:r w:rsidR="003C53A8">
          <w:rPr>
            <w:noProof/>
            <w:webHidden/>
          </w:rPr>
          <w:instrText xml:space="preserve"> PAGEREF _Toc97800166 \h </w:instrText>
        </w:r>
        <w:r w:rsidR="003C53A8">
          <w:rPr>
            <w:noProof/>
            <w:webHidden/>
          </w:rPr>
        </w:r>
        <w:r w:rsidR="003C53A8">
          <w:rPr>
            <w:noProof/>
            <w:webHidden/>
          </w:rPr>
          <w:fldChar w:fldCharType="separate"/>
        </w:r>
        <w:r w:rsidR="00F6061F">
          <w:rPr>
            <w:noProof/>
            <w:webHidden/>
          </w:rPr>
          <w:t>68</w:t>
        </w:r>
        <w:r w:rsidR="003C53A8">
          <w:rPr>
            <w:noProof/>
            <w:webHidden/>
          </w:rPr>
          <w:fldChar w:fldCharType="end"/>
        </w:r>
      </w:hyperlink>
    </w:p>
    <w:p w14:paraId="43776FCA" w14:textId="3D483968" w:rsidR="003C53A8" w:rsidRDefault="0012793B" w:rsidP="003C53A8">
      <w:pPr>
        <w:pStyle w:val="TOC5"/>
        <w:rPr>
          <w:rFonts w:asciiTheme="minorHAnsi" w:eastAsiaTheme="minorEastAsia" w:hAnsiTheme="minorHAnsi" w:cstheme="minorBidi"/>
          <w:noProof/>
          <w:sz w:val="22"/>
          <w:szCs w:val="22"/>
          <w:lang w:val="fr-FR" w:eastAsia="fr-FR"/>
        </w:rPr>
      </w:pPr>
      <w:hyperlink w:anchor="_Toc97800167" w:history="1">
        <w:r w:rsidR="003C53A8" w:rsidRPr="00235D3C">
          <w:rPr>
            <w:rStyle w:val="Hyperlink"/>
            <w:noProof/>
          </w:rPr>
          <w:t>3.3.5.1.1  Enforcement</w:t>
        </w:r>
        <w:r w:rsidR="003C53A8">
          <w:rPr>
            <w:noProof/>
            <w:webHidden/>
          </w:rPr>
          <w:tab/>
        </w:r>
        <w:r w:rsidR="003C53A8">
          <w:rPr>
            <w:noProof/>
            <w:webHidden/>
          </w:rPr>
          <w:fldChar w:fldCharType="begin"/>
        </w:r>
        <w:r w:rsidR="003C53A8">
          <w:rPr>
            <w:noProof/>
            <w:webHidden/>
          </w:rPr>
          <w:instrText xml:space="preserve"> PAGEREF _Toc97800167 \h </w:instrText>
        </w:r>
        <w:r w:rsidR="003C53A8">
          <w:rPr>
            <w:noProof/>
            <w:webHidden/>
          </w:rPr>
        </w:r>
        <w:r w:rsidR="003C53A8">
          <w:rPr>
            <w:noProof/>
            <w:webHidden/>
          </w:rPr>
          <w:fldChar w:fldCharType="separate"/>
        </w:r>
        <w:r w:rsidR="00F6061F">
          <w:rPr>
            <w:noProof/>
            <w:webHidden/>
          </w:rPr>
          <w:t>70</w:t>
        </w:r>
        <w:r w:rsidR="003C53A8">
          <w:rPr>
            <w:noProof/>
            <w:webHidden/>
          </w:rPr>
          <w:fldChar w:fldCharType="end"/>
        </w:r>
      </w:hyperlink>
    </w:p>
    <w:p w14:paraId="580877B1" w14:textId="7E894EF6" w:rsidR="003C53A8" w:rsidRDefault="0012793B" w:rsidP="003C53A8">
      <w:pPr>
        <w:pStyle w:val="TOC5"/>
        <w:rPr>
          <w:rFonts w:asciiTheme="minorHAnsi" w:eastAsiaTheme="minorEastAsia" w:hAnsiTheme="minorHAnsi" w:cstheme="minorBidi"/>
          <w:noProof/>
          <w:sz w:val="22"/>
          <w:szCs w:val="22"/>
          <w:lang w:val="fr-FR" w:eastAsia="fr-FR"/>
        </w:rPr>
      </w:pPr>
      <w:hyperlink w:anchor="_Toc97800168" w:history="1">
        <w:r w:rsidR="003C53A8" w:rsidRPr="00235D3C">
          <w:rPr>
            <w:rStyle w:val="Hyperlink"/>
            <w:noProof/>
          </w:rPr>
          <w:t>3.3.5.1.2  International cooperation</w:t>
        </w:r>
        <w:r w:rsidR="003C53A8">
          <w:rPr>
            <w:noProof/>
            <w:webHidden/>
          </w:rPr>
          <w:tab/>
        </w:r>
        <w:r w:rsidR="003C53A8">
          <w:rPr>
            <w:noProof/>
            <w:webHidden/>
          </w:rPr>
          <w:fldChar w:fldCharType="begin"/>
        </w:r>
        <w:r w:rsidR="003C53A8">
          <w:rPr>
            <w:noProof/>
            <w:webHidden/>
          </w:rPr>
          <w:instrText xml:space="preserve"> PAGEREF _Toc97800168 \h </w:instrText>
        </w:r>
        <w:r w:rsidR="003C53A8">
          <w:rPr>
            <w:noProof/>
            <w:webHidden/>
          </w:rPr>
        </w:r>
        <w:r w:rsidR="003C53A8">
          <w:rPr>
            <w:noProof/>
            <w:webHidden/>
          </w:rPr>
          <w:fldChar w:fldCharType="separate"/>
        </w:r>
        <w:r w:rsidR="00F6061F">
          <w:rPr>
            <w:noProof/>
            <w:webHidden/>
          </w:rPr>
          <w:t>71</w:t>
        </w:r>
        <w:r w:rsidR="003C53A8">
          <w:rPr>
            <w:noProof/>
            <w:webHidden/>
          </w:rPr>
          <w:fldChar w:fldCharType="end"/>
        </w:r>
      </w:hyperlink>
    </w:p>
    <w:p w14:paraId="57E49CF0" w14:textId="637BCEC8" w:rsidR="003C53A8" w:rsidRDefault="0012793B" w:rsidP="003C53A8">
      <w:pPr>
        <w:pStyle w:val="TOC4"/>
        <w:rPr>
          <w:rFonts w:asciiTheme="minorHAnsi" w:eastAsiaTheme="minorEastAsia" w:hAnsiTheme="minorHAnsi" w:cstheme="minorBidi"/>
          <w:noProof/>
          <w:sz w:val="22"/>
          <w:szCs w:val="22"/>
          <w:lang w:val="fr-FR" w:eastAsia="fr-FR"/>
        </w:rPr>
      </w:pPr>
      <w:hyperlink w:anchor="_Toc97800169" w:history="1">
        <w:r w:rsidR="003C53A8" w:rsidRPr="00235D3C">
          <w:rPr>
            <w:rStyle w:val="Hyperlink"/>
            <w:noProof/>
          </w:rPr>
          <w:t>3.3.5.2  Price controls</w:t>
        </w:r>
        <w:r w:rsidR="003C53A8">
          <w:rPr>
            <w:noProof/>
            <w:webHidden/>
          </w:rPr>
          <w:tab/>
        </w:r>
        <w:r w:rsidR="003C53A8">
          <w:rPr>
            <w:noProof/>
            <w:webHidden/>
          </w:rPr>
          <w:fldChar w:fldCharType="begin"/>
        </w:r>
        <w:r w:rsidR="003C53A8">
          <w:rPr>
            <w:noProof/>
            <w:webHidden/>
          </w:rPr>
          <w:instrText xml:space="preserve"> PAGEREF _Toc97800169 \h </w:instrText>
        </w:r>
        <w:r w:rsidR="003C53A8">
          <w:rPr>
            <w:noProof/>
            <w:webHidden/>
          </w:rPr>
        </w:r>
        <w:r w:rsidR="003C53A8">
          <w:rPr>
            <w:noProof/>
            <w:webHidden/>
          </w:rPr>
          <w:fldChar w:fldCharType="separate"/>
        </w:r>
        <w:r w:rsidR="00F6061F">
          <w:rPr>
            <w:noProof/>
            <w:webHidden/>
          </w:rPr>
          <w:t>72</w:t>
        </w:r>
        <w:r w:rsidR="003C53A8">
          <w:rPr>
            <w:noProof/>
            <w:webHidden/>
          </w:rPr>
          <w:fldChar w:fldCharType="end"/>
        </w:r>
      </w:hyperlink>
    </w:p>
    <w:p w14:paraId="786582A5" w14:textId="1298A164" w:rsidR="003C53A8" w:rsidRDefault="0012793B" w:rsidP="003C53A8">
      <w:pPr>
        <w:pStyle w:val="TOC3"/>
        <w:rPr>
          <w:rFonts w:asciiTheme="minorHAnsi" w:eastAsiaTheme="minorEastAsia" w:hAnsiTheme="minorHAnsi" w:cstheme="minorBidi"/>
          <w:noProof/>
          <w:sz w:val="22"/>
          <w:szCs w:val="22"/>
          <w:lang w:val="fr-FR" w:eastAsia="fr-FR"/>
        </w:rPr>
      </w:pPr>
      <w:hyperlink w:anchor="_Toc97800170" w:history="1">
        <w:r w:rsidR="003C53A8" w:rsidRPr="00235D3C">
          <w:rPr>
            <w:rStyle w:val="Hyperlink"/>
            <w:noProof/>
          </w:rPr>
          <w:t>3.3.6  State trading, state-owned enterprises, and privatization</w:t>
        </w:r>
        <w:r w:rsidR="003C53A8">
          <w:rPr>
            <w:noProof/>
            <w:webHidden/>
          </w:rPr>
          <w:tab/>
        </w:r>
        <w:r w:rsidR="003C53A8">
          <w:rPr>
            <w:noProof/>
            <w:webHidden/>
          </w:rPr>
          <w:fldChar w:fldCharType="begin"/>
        </w:r>
        <w:r w:rsidR="003C53A8">
          <w:rPr>
            <w:noProof/>
            <w:webHidden/>
          </w:rPr>
          <w:instrText xml:space="preserve"> PAGEREF _Toc97800170 \h </w:instrText>
        </w:r>
        <w:r w:rsidR="003C53A8">
          <w:rPr>
            <w:noProof/>
            <w:webHidden/>
          </w:rPr>
        </w:r>
        <w:r w:rsidR="003C53A8">
          <w:rPr>
            <w:noProof/>
            <w:webHidden/>
          </w:rPr>
          <w:fldChar w:fldCharType="separate"/>
        </w:r>
        <w:r w:rsidR="00F6061F">
          <w:rPr>
            <w:noProof/>
            <w:webHidden/>
          </w:rPr>
          <w:t>73</w:t>
        </w:r>
        <w:r w:rsidR="003C53A8">
          <w:rPr>
            <w:noProof/>
            <w:webHidden/>
          </w:rPr>
          <w:fldChar w:fldCharType="end"/>
        </w:r>
      </w:hyperlink>
    </w:p>
    <w:p w14:paraId="6951DD83" w14:textId="5254D090" w:rsidR="003C53A8" w:rsidRDefault="0012793B" w:rsidP="003C53A8">
      <w:pPr>
        <w:pStyle w:val="TOC3"/>
        <w:rPr>
          <w:rFonts w:asciiTheme="minorHAnsi" w:eastAsiaTheme="minorEastAsia" w:hAnsiTheme="minorHAnsi" w:cstheme="minorBidi"/>
          <w:noProof/>
          <w:sz w:val="22"/>
          <w:szCs w:val="22"/>
          <w:lang w:val="fr-FR" w:eastAsia="fr-FR"/>
        </w:rPr>
      </w:pPr>
      <w:hyperlink w:anchor="_Toc97800171" w:history="1">
        <w:r w:rsidR="003C53A8" w:rsidRPr="00235D3C">
          <w:rPr>
            <w:rStyle w:val="Hyperlink"/>
            <w:noProof/>
          </w:rPr>
          <w:t>3.3.7  Government procurement</w:t>
        </w:r>
        <w:r w:rsidR="003C53A8">
          <w:rPr>
            <w:noProof/>
            <w:webHidden/>
          </w:rPr>
          <w:tab/>
        </w:r>
        <w:r w:rsidR="003C53A8">
          <w:rPr>
            <w:noProof/>
            <w:webHidden/>
          </w:rPr>
          <w:fldChar w:fldCharType="begin"/>
        </w:r>
        <w:r w:rsidR="003C53A8">
          <w:rPr>
            <w:noProof/>
            <w:webHidden/>
          </w:rPr>
          <w:instrText xml:space="preserve"> PAGEREF _Toc97800171 \h </w:instrText>
        </w:r>
        <w:r w:rsidR="003C53A8">
          <w:rPr>
            <w:noProof/>
            <w:webHidden/>
          </w:rPr>
        </w:r>
        <w:r w:rsidR="003C53A8">
          <w:rPr>
            <w:noProof/>
            <w:webHidden/>
          </w:rPr>
          <w:fldChar w:fldCharType="separate"/>
        </w:r>
        <w:r w:rsidR="00F6061F">
          <w:rPr>
            <w:noProof/>
            <w:webHidden/>
          </w:rPr>
          <w:t>74</w:t>
        </w:r>
        <w:r w:rsidR="003C53A8">
          <w:rPr>
            <w:noProof/>
            <w:webHidden/>
          </w:rPr>
          <w:fldChar w:fldCharType="end"/>
        </w:r>
      </w:hyperlink>
    </w:p>
    <w:p w14:paraId="04ABE840" w14:textId="35FCA106" w:rsidR="003C53A8" w:rsidRDefault="0012793B" w:rsidP="003C53A8">
      <w:pPr>
        <w:pStyle w:val="TOC4"/>
        <w:rPr>
          <w:rFonts w:asciiTheme="minorHAnsi" w:eastAsiaTheme="minorEastAsia" w:hAnsiTheme="minorHAnsi" w:cstheme="minorBidi"/>
          <w:noProof/>
          <w:sz w:val="22"/>
          <w:szCs w:val="22"/>
          <w:lang w:val="fr-FR" w:eastAsia="fr-FR"/>
        </w:rPr>
      </w:pPr>
      <w:hyperlink w:anchor="_Toc97800172" w:history="1">
        <w:r w:rsidR="003C53A8" w:rsidRPr="00235D3C">
          <w:rPr>
            <w:rStyle w:val="Hyperlink"/>
            <w:noProof/>
          </w:rPr>
          <w:t>3.3.7.1 </w:t>
        </w:r>
        <w:r w:rsidR="003C53A8" w:rsidRPr="00235D3C">
          <w:rPr>
            <w:rStyle w:val="Hyperlink"/>
            <w:rFonts w:eastAsia="Times New Roman"/>
            <w:noProof/>
          </w:rPr>
          <w:t xml:space="preserve"> Thresholds and exemptions</w:t>
        </w:r>
        <w:r w:rsidR="003C53A8">
          <w:rPr>
            <w:noProof/>
            <w:webHidden/>
          </w:rPr>
          <w:tab/>
        </w:r>
        <w:r w:rsidR="003C53A8">
          <w:rPr>
            <w:noProof/>
            <w:webHidden/>
          </w:rPr>
          <w:fldChar w:fldCharType="begin"/>
        </w:r>
        <w:r w:rsidR="003C53A8">
          <w:rPr>
            <w:noProof/>
            <w:webHidden/>
          </w:rPr>
          <w:instrText xml:space="preserve"> PAGEREF _Toc97800172 \h </w:instrText>
        </w:r>
        <w:r w:rsidR="003C53A8">
          <w:rPr>
            <w:noProof/>
            <w:webHidden/>
          </w:rPr>
        </w:r>
        <w:r w:rsidR="003C53A8">
          <w:rPr>
            <w:noProof/>
            <w:webHidden/>
          </w:rPr>
          <w:fldChar w:fldCharType="separate"/>
        </w:r>
        <w:r w:rsidR="00F6061F">
          <w:rPr>
            <w:noProof/>
            <w:webHidden/>
          </w:rPr>
          <w:t>77</w:t>
        </w:r>
        <w:r w:rsidR="003C53A8">
          <w:rPr>
            <w:noProof/>
            <w:webHidden/>
          </w:rPr>
          <w:fldChar w:fldCharType="end"/>
        </w:r>
      </w:hyperlink>
    </w:p>
    <w:p w14:paraId="51F983D0" w14:textId="7EC28067" w:rsidR="003C53A8" w:rsidRDefault="0012793B" w:rsidP="003C53A8">
      <w:pPr>
        <w:pStyle w:val="TOC4"/>
        <w:rPr>
          <w:rFonts w:asciiTheme="minorHAnsi" w:eastAsiaTheme="minorEastAsia" w:hAnsiTheme="minorHAnsi" w:cstheme="minorBidi"/>
          <w:noProof/>
          <w:sz w:val="22"/>
          <w:szCs w:val="22"/>
          <w:lang w:val="fr-FR" w:eastAsia="fr-FR"/>
        </w:rPr>
      </w:pPr>
      <w:hyperlink w:anchor="_Toc97800173" w:history="1">
        <w:r w:rsidR="003C53A8" w:rsidRPr="00235D3C">
          <w:rPr>
            <w:rStyle w:val="Hyperlink"/>
            <w:noProof/>
          </w:rPr>
          <w:t>3.3.7.2 </w:t>
        </w:r>
        <w:r w:rsidR="003C53A8" w:rsidRPr="00235D3C">
          <w:rPr>
            <w:rStyle w:val="Hyperlink"/>
            <w:rFonts w:eastAsia="Times New Roman"/>
            <w:noProof/>
          </w:rPr>
          <w:t xml:space="preserve"> International cooperation</w:t>
        </w:r>
        <w:r w:rsidR="003C53A8">
          <w:rPr>
            <w:noProof/>
            <w:webHidden/>
          </w:rPr>
          <w:tab/>
        </w:r>
        <w:r w:rsidR="003C53A8">
          <w:rPr>
            <w:noProof/>
            <w:webHidden/>
          </w:rPr>
          <w:fldChar w:fldCharType="begin"/>
        </w:r>
        <w:r w:rsidR="003C53A8">
          <w:rPr>
            <w:noProof/>
            <w:webHidden/>
          </w:rPr>
          <w:instrText xml:space="preserve"> PAGEREF _Toc97800173 \h </w:instrText>
        </w:r>
        <w:r w:rsidR="003C53A8">
          <w:rPr>
            <w:noProof/>
            <w:webHidden/>
          </w:rPr>
        </w:r>
        <w:r w:rsidR="003C53A8">
          <w:rPr>
            <w:noProof/>
            <w:webHidden/>
          </w:rPr>
          <w:fldChar w:fldCharType="separate"/>
        </w:r>
        <w:r w:rsidR="00F6061F">
          <w:rPr>
            <w:noProof/>
            <w:webHidden/>
          </w:rPr>
          <w:t>78</w:t>
        </w:r>
        <w:r w:rsidR="003C53A8">
          <w:rPr>
            <w:noProof/>
            <w:webHidden/>
          </w:rPr>
          <w:fldChar w:fldCharType="end"/>
        </w:r>
      </w:hyperlink>
    </w:p>
    <w:p w14:paraId="6C42B4FA" w14:textId="22D05E98" w:rsidR="003C53A8" w:rsidRDefault="0012793B" w:rsidP="003C53A8">
      <w:pPr>
        <w:pStyle w:val="TOC3"/>
        <w:rPr>
          <w:rFonts w:asciiTheme="minorHAnsi" w:eastAsiaTheme="minorEastAsia" w:hAnsiTheme="minorHAnsi" w:cstheme="minorBidi"/>
          <w:noProof/>
          <w:sz w:val="22"/>
          <w:szCs w:val="22"/>
          <w:lang w:val="fr-FR" w:eastAsia="fr-FR"/>
        </w:rPr>
      </w:pPr>
      <w:hyperlink w:anchor="_Toc97800174" w:history="1">
        <w:r w:rsidR="003C53A8" w:rsidRPr="00235D3C">
          <w:rPr>
            <w:rStyle w:val="Hyperlink"/>
            <w:noProof/>
          </w:rPr>
          <w:t>3.3.8 </w:t>
        </w:r>
        <w:r w:rsidR="003C53A8" w:rsidRPr="00235D3C">
          <w:rPr>
            <w:rStyle w:val="Hyperlink"/>
            <w:rFonts w:eastAsia="Times New Roman"/>
            <w:noProof/>
          </w:rPr>
          <w:t xml:space="preserve"> Intellectual property rights</w:t>
        </w:r>
        <w:r w:rsidR="003C53A8">
          <w:rPr>
            <w:noProof/>
            <w:webHidden/>
          </w:rPr>
          <w:tab/>
        </w:r>
        <w:r w:rsidR="003C53A8">
          <w:rPr>
            <w:noProof/>
            <w:webHidden/>
          </w:rPr>
          <w:fldChar w:fldCharType="begin"/>
        </w:r>
        <w:r w:rsidR="003C53A8">
          <w:rPr>
            <w:noProof/>
            <w:webHidden/>
          </w:rPr>
          <w:instrText xml:space="preserve"> PAGEREF _Toc97800174 \h </w:instrText>
        </w:r>
        <w:r w:rsidR="003C53A8">
          <w:rPr>
            <w:noProof/>
            <w:webHidden/>
          </w:rPr>
        </w:r>
        <w:r w:rsidR="003C53A8">
          <w:rPr>
            <w:noProof/>
            <w:webHidden/>
          </w:rPr>
          <w:fldChar w:fldCharType="separate"/>
        </w:r>
        <w:r w:rsidR="00F6061F">
          <w:rPr>
            <w:noProof/>
            <w:webHidden/>
          </w:rPr>
          <w:t>78</w:t>
        </w:r>
        <w:r w:rsidR="003C53A8">
          <w:rPr>
            <w:noProof/>
            <w:webHidden/>
          </w:rPr>
          <w:fldChar w:fldCharType="end"/>
        </w:r>
      </w:hyperlink>
    </w:p>
    <w:p w14:paraId="5625C2AB" w14:textId="520B949C" w:rsidR="003C53A8" w:rsidRDefault="0012793B" w:rsidP="003C53A8">
      <w:pPr>
        <w:pStyle w:val="TOC4"/>
        <w:rPr>
          <w:rFonts w:asciiTheme="minorHAnsi" w:eastAsiaTheme="minorEastAsia" w:hAnsiTheme="minorHAnsi" w:cstheme="minorBidi"/>
          <w:noProof/>
          <w:sz w:val="22"/>
          <w:szCs w:val="22"/>
          <w:lang w:val="fr-FR" w:eastAsia="fr-FR"/>
        </w:rPr>
      </w:pPr>
      <w:hyperlink w:anchor="_Toc97800175" w:history="1">
        <w:r w:rsidR="003C53A8" w:rsidRPr="00235D3C">
          <w:rPr>
            <w:rStyle w:val="Hyperlink"/>
            <w:noProof/>
          </w:rPr>
          <w:t>3.3.8.1 </w:t>
        </w:r>
        <w:r w:rsidR="003C53A8" w:rsidRPr="00235D3C">
          <w:rPr>
            <w:rStyle w:val="Hyperlink"/>
            <w:rFonts w:eastAsia="Times New Roman"/>
            <w:noProof/>
          </w:rPr>
          <w:t xml:space="preserve"> Overview</w:t>
        </w:r>
        <w:r w:rsidR="003C53A8">
          <w:rPr>
            <w:noProof/>
            <w:webHidden/>
          </w:rPr>
          <w:tab/>
        </w:r>
        <w:r w:rsidR="003C53A8">
          <w:rPr>
            <w:noProof/>
            <w:webHidden/>
          </w:rPr>
          <w:fldChar w:fldCharType="begin"/>
        </w:r>
        <w:r w:rsidR="003C53A8">
          <w:rPr>
            <w:noProof/>
            <w:webHidden/>
          </w:rPr>
          <w:instrText xml:space="preserve"> PAGEREF _Toc97800175 \h </w:instrText>
        </w:r>
        <w:r w:rsidR="003C53A8">
          <w:rPr>
            <w:noProof/>
            <w:webHidden/>
          </w:rPr>
        </w:r>
        <w:r w:rsidR="003C53A8">
          <w:rPr>
            <w:noProof/>
            <w:webHidden/>
          </w:rPr>
          <w:fldChar w:fldCharType="separate"/>
        </w:r>
        <w:r w:rsidR="00F6061F">
          <w:rPr>
            <w:noProof/>
            <w:webHidden/>
          </w:rPr>
          <w:t>78</w:t>
        </w:r>
        <w:r w:rsidR="003C53A8">
          <w:rPr>
            <w:noProof/>
            <w:webHidden/>
          </w:rPr>
          <w:fldChar w:fldCharType="end"/>
        </w:r>
      </w:hyperlink>
    </w:p>
    <w:p w14:paraId="01AA1109" w14:textId="7A16A586" w:rsidR="003C53A8" w:rsidRDefault="0012793B" w:rsidP="003C53A8">
      <w:pPr>
        <w:pStyle w:val="TOC4"/>
        <w:rPr>
          <w:rFonts w:asciiTheme="minorHAnsi" w:eastAsiaTheme="minorEastAsia" w:hAnsiTheme="minorHAnsi" w:cstheme="minorBidi"/>
          <w:noProof/>
          <w:sz w:val="22"/>
          <w:szCs w:val="22"/>
          <w:lang w:val="fr-FR" w:eastAsia="fr-FR"/>
        </w:rPr>
      </w:pPr>
      <w:hyperlink w:anchor="_Toc97800176" w:history="1">
        <w:r w:rsidR="003C53A8" w:rsidRPr="00235D3C">
          <w:rPr>
            <w:rStyle w:val="Hyperlink"/>
            <w:noProof/>
          </w:rPr>
          <w:t>3.3.8.2 </w:t>
        </w:r>
        <w:r w:rsidR="003C53A8" w:rsidRPr="00235D3C">
          <w:rPr>
            <w:rStyle w:val="Hyperlink"/>
            <w:rFonts w:eastAsia="Times New Roman"/>
            <w:noProof/>
          </w:rPr>
          <w:t xml:space="preserve"> Policies on promotion and commercialization of innovation</w:t>
        </w:r>
        <w:r w:rsidR="003C53A8">
          <w:rPr>
            <w:noProof/>
            <w:webHidden/>
          </w:rPr>
          <w:tab/>
        </w:r>
        <w:r w:rsidR="003C53A8">
          <w:rPr>
            <w:noProof/>
            <w:webHidden/>
          </w:rPr>
          <w:fldChar w:fldCharType="begin"/>
        </w:r>
        <w:r w:rsidR="003C53A8">
          <w:rPr>
            <w:noProof/>
            <w:webHidden/>
          </w:rPr>
          <w:instrText xml:space="preserve"> PAGEREF _Toc97800176 \h </w:instrText>
        </w:r>
        <w:r w:rsidR="003C53A8">
          <w:rPr>
            <w:noProof/>
            <w:webHidden/>
          </w:rPr>
        </w:r>
        <w:r w:rsidR="003C53A8">
          <w:rPr>
            <w:noProof/>
            <w:webHidden/>
          </w:rPr>
          <w:fldChar w:fldCharType="separate"/>
        </w:r>
        <w:r w:rsidR="00F6061F">
          <w:rPr>
            <w:noProof/>
            <w:webHidden/>
          </w:rPr>
          <w:t>79</w:t>
        </w:r>
        <w:r w:rsidR="003C53A8">
          <w:rPr>
            <w:noProof/>
            <w:webHidden/>
          </w:rPr>
          <w:fldChar w:fldCharType="end"/>
        </w:r>
      </w:hyperlink>
    </w:p>
    <w:p w14:paraId="745C43DC" w14:textId="0CB18821" w:rsidR="003C53A8" w:rsidRDefault="0012793B" w:rsidP="003C53A8">
      <w:pPr>
        <w:pStyle w:val="TOC4"/>
        <w:rPr>
          <w:rFonts w:asciiTheme="minorHAnsi" w:eastAsiaTheme="minorEastAsia" w:hAnsiTheme="minorHAnsi" w:cstheme="minorBidi"/>
          <w:noProof/>
          <w:sz w:val="22"/>
          <w:szCs w:val="22"/>
          <w:lang w:val="fr-FR" w:eastAsia="fr-FR"/>
        </w:rPr>
      </w:pPr>
      <w:hyperlink w:anchor="_Toc97800177" w:history="1">
        <w:r w:rsidR="003C53A8" w:rsidRPr="00235D3C">
          <w:rPr>
            <w:rStyle w:val="Hyperlink"/>
            <w:noProof/>
          </w:rPr>
          <w:t>3.3.8.3 </w:t>
        </w:r>
        <w:r w:rsidR="003C53A8" w:rsidRPr="00235D3C">
          <w:rPr>
            <w:rStyle w:val="Hyperlink"/>
            <w:rFonts w:eastAsia="Times New Roman"/>
            <w:noProof/>
          </w:rPr>
          <w:t xml:space="preserve"> International context</w:t>
        </w:r>
        <w:r w:rsidR="003C53A8">
          <w:rPr>
            <w:noProof/>
            <w:webHidden/>
          </w:rPr>
          <w:tab/>
        </w:r>
        <w:r w:rsidR="003C53A8">
          <w:rPr>
            <w:noProof/>
            <w:webHidden/>
          </w:rPr>
          <w:fldChar w:fldCharType="begin"/>
        </w:r>
        <w:r w:rsidR="003C53A8">
          <w:rPr>
            <w:noProof/>
            <w:webHidden/>
          </w:rPr>
          <w:instrText xml:space="preserve"> PAGEREF _Toc97800177 \h </w:instrText>
        </w:r>
        <w:r w:rsidR="003C53A8">
          <w:rPr>
            <w:noProof/>
            <w:webHidden/>
          </w:rPr>
        </w:r>
        <w:r w:rsidR="003C53A8">
          <w:rPr>
            <w:noProof/>
            <w:webHidden/>
          </w:rPr>
          <w:fldChar w:fldCharType="separate"/>
        </w:r>
        <w:r w:rsidR="00F6061F">
          <w:rPr>
            <w:noProof/>
            <w:webHidden/>
          </w:rPr>
          <w:t>81</w:t>
        </w:r>
        <w:r w:rsidR="003C53A8">
          <w:rPr>
            <w:noProof/>
            <w:webHidden/>
          </w:rPr>
          <w:fldChar w:fldCharType="end"/>
        </w:r>
      </w:hyperlink>
    </w:p>
    <w:p w14:paraId="12A4349B" w14:textId="23E313F5" w:rsidR="003C53A8" w:rsidRDefault="0012793B" w:rsidP="003C53A8">
      <w:pPr>
        <w:pStyle w:val="TOC4"/>
        <w:rPr>
          <w:rFonts w:asciiTheme="minorHAnsi" w:eastAsiaTheme="minorEastAsia" w:hAnsiTheme="minorHAnsi" w:cstheme="minorBidi"/>
          <w:noProof/>
          <w:sz w:val="22"/>
          <w:szCs w:val="22"/>
          <w:lang w:val="fr-FR" w:eastAsia="fr-FR"/>
        </w:rPr>
      </w:pPr>
      <w:hyperlink w:anchor="_Toc97800178" w:history="1">
        <w:r w:rsidR="003C53A8" w:rsidRPr="00235D3C">
          <w:rPr>
            <w:rStyle w:val="Hyperlink"/>
            <w:noProof/>
          </w:rPr>
          <w:t>3.3.8.4 </w:t>
        </w:r>
        <w:r w:rsidR="003C53A8" w:rsidRPr="00235D3C">
          <w:rPr>
            <w:rStyle w:val="Hyperlink"/>
            <w:rFonts w:eastAsia="Times New Roman"/>
            <w:noProof/>
          </w:rPr>
          <w:t xml:space="preserve"> Genetic resources, traditional knowledge, and folklore</w:t>
        </w:r>
        <w:r w:rsidR="003C53A8">
          <w:rPr>
            <w:noProof/>
            <w:webHidden/>
          </w:rPr>
          <w:tab/>
        </w:r>
        <w:r w:rsidR="003C53A8">
          <w:rPr>
            <w:noProof/>
            <w:webHidden/>
          </w:rPr>
          <w:fldChar w:fldCharType="begin"/>
        </w:r>
        <w:r w:rsidR="003C53A8">
          <w:rPr>
            <w:noProof/>
            <w:webHidden/>
          </w:rPr>
          <w:instrText xml:space="preserve"> PAGEREF _Toc97800178 \h </w:instrText>
        </w:r>
        <w:r w:rsidR="003C53A8">
          <w:rPr>
            <w:noProof/>
            <w:webHidden/>
          </w:rPr>
        </w:r>
        <w:r w:rsidR="003C53A8">
          <w:rPr>
            <w:noProof/>
            <w:webHidden/>
          </w:rPr>
          <w:fldChar w:fldCharType="separate"/>
        </w:r>
        <w:r w:rsidR="00F6061F">
          <w:rPr>
            <w:noProof/>
            <w:webHidden/>
          </w:rPr>
          <w:t>82</w:t>
        </w:r>
        <w:r w:rsidR="003C53A8">
          <w:rPr>
            <w:noProof/>
            <w:webHidden/>
          </w:rPr>
          <w:fldChar w:fldCharType="end"/>
        </w:r>
      </w:hyperlink>
    </w:p>
    <w:p w14:paraId="4082C9B1" w14:textId="34D610B3" w:rsidR="003C53A8" w:rsidRDefault="0012793B" w:rsidP="003C53A8">
      <w:pPr>
        <w:pStyle w:val="TOC4"/>
        <w:rPr>
          <w:rFonts w:asciiTheme="minorHAnsi" w:eastAsiaTheme="minorEastAsia" w:hAnsiTheme="minorHAnsi" w:cstheme="minorBidi"/>
          <w:noProof/>
          <w:sz w:val="22"/>
          <w:szCs w:val="22"/>
          <w:lang w:val="fr-FR" w:eastAsia="fr-FR"/>
        </w:rPr>
      </w:pPr>
      <w:hyperlink w:anchor="_Toc97800179" w:history="1">
        <w:r w:rsidR="003C53A8" w:rsidRPr="00235D3C">
          <w:rPr>
            <w:rStyle w:val="Hyperlink"/>
            <w:noProof/>
          </w:rPr>
          <w:t>3.3.8.5 </w:t>
        </w:r>
        <w:r w:rsidR="003C53A8" w:rsidRPr="00235D3C">
          <w:rPr>
            <w:rStyle w:val="Hyperlink"/>
            <w:rFonts w:eastAsia="Times New Roman"/>
            <w:noProof/>
          </w:rPr>
          <w:t xml:space="preserve"> Patents</w:t>
        </w:r>
        <w:r w:rsidR="003C53A8">
          <w:rPr>
            <w:noProof/>
            <w:webHidden/>
          </w:rPr>
          <w:tab/>
        </w:r>
        <w:r w:rsidR="003C53A8">
          <w:rPr>
            <w:noProof/>
            <w:webHidden/>
          </w:rPr>
          <w:fldChar w:fldCharType="begin"/>
        </w:r>
        <w:r w:rsidR="003C53A8">
          <w:rPr>
            <w:noProof/>
            <w:webHidden/>
          </w:rPr>
          <w:instrText xml:space="preserve"> PAGEREF _Toc97800179 \h </w:instrText>
        </w:r>
        <w:r w:rsidR="003C53A8">
          <w:rPr>
            <w:noProof/>
            <w:webHidden/>
          </w:rPr>
        </w:r>
        <w:r w:rsidR="003C53A8">
          <w:rPr>
            <w:noProof/>
            <w:webHidden/>
          </w:rPr>
          <w:fldChar w:fldCharType="separate"/>
        </w:r>
        <w:r w:rsidR="00F6061F">
          <w:rPr>
            <w:noProof/>
            <w:webHidden/>
          </w:rPr>
          <w:t>83</w:t>
        </w:r>
        <w:r w:rsidR="003C53A8">
          <w:rPr>
            <w:noProof/>
            <w:webHidden/>
          </w:rPr>
          <w:fldChar w:fldCharType="end"/>
        </w:r>
      </w:hyperlink>
    </w:p>
    <w:p w14:paraId="74806BA8" w14:textId="62B4E84B" w:rsidR="003C53A8" w:rsidRDefault="0012793B" w:rsidP="003C53A8">
      <w:pPr>
        <w:pStyle w:val="TOC4"/>
        <w:rPr>
          <w:rFonts w:asciiTheme="minorHAnsi" w:eastAsiaTheme="minorEastAsia" w:hAnsiTheme="minorHAnsi" w:cstheme="minorBidi"/>
          <w:noProof/>
          <w:sz w:val="22"/>
          <w:szCs w:val="22"/>
          <w:lang w:val="fr-FR" w:eastAsia="fr-FR"/>
        </w:rPr>
      </w:pPr>
      <w:hyperlink w:anchor="_Toc97800180" w:history="1">
        <w:r w:rsidR="003C53A8" w:rsidRPr="00235D3C">
          <w:rPr>
            <w:rStyle w:val="Hyperlink"/>
            <w:noProof/>
          </w:rPr>
          <w:t>3.3.8.6 </w:t>
        </w:r>
        <w:r w:rsidR="003C53A8" w:rsidRPr="00235D3C">
          <w:rPr>
            <w:rStyle w:val="Hyperlink"/>
            <w:rFonts w:eastAsia="Times New Roman"/>
            <w:noProof/>
          </w:rPr>
          <w:t xml:space="preserve"> Undisclosed information</w:t>
        </w:r>
        <w:r w:rsidR="003C53A8">
          <w:rPr>
            <w:noProof/>
            <w:webHidden/>
          </w:rPr>
          <w:tab/>
        </w:r>
        <w:r w:rsidR="003C53A8">
          <w:rPr>
            <w:noProof/>
            <w:webHidden/>
          </w:rPr>
          <w:fldChar w:fldCharType="begin"/>
        </w:r>
        <w:r w:rsidR="003C53A8">
          <w:rPr>
            <w:noProof/>
            <w:webHidden/>
          </w:rPr>
          <w:instrText xml:space="preserve"> PAGEREF _Toc97800180 \h </w:instrText>
        </w:r>
        <w:r w:rsidR="003C53A8">
          <w:rPr>
            <w:noProof/>
            <w:webHidden/>
          </w:rPr>
        </w:r>
        <w:r w:rsidR="003C53A8">
          <w:rPr>
            <w:noProof/>
            <w:webHidden/>
          </w:rPr>
          <w:fldChar w:fldCharType="separate"/>
        </w:r>
        <w:r w:rsidR="00F6061F">
          <w:rPr>
            <w:noProof/>
            <w:webHidden/>
          </w:rPr>
          <w:t>84</w:t>
        </w:r>
        <w:r w:rsidR="003C53A8">
          <w:rPr>
            <w:noProof/>
            <w:webHidden/>
          </w:rPr>
          <w:fldChar w:fldCharType="end"/>
        </w:r>
      </w:hyperlink>
    </w:p>
    <w:p w14:paraId="7DAEFC7F" w14:textId="43C4C5BB" w:rsidR="003C53A8" w:rsidRDefault="0012793B" w:rsidP="003C53A8">
      <w:pPr>
        <w:pStyle w:val="TOC4"/>
        <w:rPr>
          <w:rFonts w:asciiTheme="minorHAnsi" w:eastAsiaTheme="minorEastAsia" w:hAnsiTheme="minorHAnsi" w:cstheme="minorBidi"/>
          <w:noProof/>
          <w:sz w:val="22"/>
          <w:szCs w:val="22"/>
          <w:lang w:val="fr-FR" w:eastAsia="fr-FR"/>
        </w:rPr>
      </w:pPr>
      <w:hyperlink w:anchor="_Toc97800181" w:history="1">
        <w:r w:rsidR="003C53A8" w:rsidRPr="00235D3C">
          <w:rPr>
            <w:rStyle w:val="Hyperlink"/>
            <w:noProof/>
          </w:rPr>
          <w:t>3.3.8.7 </w:t>
        </w:r>
        <w:r w:rsidR="003C53A8" w:rsidRPr="00235D3C">
          <w:rPr>
            <w:rStyle w:val="Hyperlink"/>
            <w:rFonts w:eastAsia="Times New Roman"/>
            <w:noProof/>
          </w:rPr>
          <w:t xml:space="preserve"> Plant variety rights</w:t>
        </w:r>
        <w:r w:rsidR="003C53A8">
          <w:rPr>
            <w:noProof/>
            <w:webHidden/>
          </w:rPr>
          <w:tab/>
        </w:r>
        <w:r w:rsidR="003C53A8">
          <w:rPr>
            <w:noProof/>
            <w:webHidden/>
          </w:rPr>
          <w:fldChar w:fldCharType="begin"/>
        </w:r>
        <w:r w:rsidR="003C53A8">
          <w:rPr>
            <w:noProof/>
            <w:webHidden/>
          </w:rPr>
          <w:instrText xml:space="preserve"> PAGEREF _Toc97800181 \h </w:instrText>
        </w:r>
        <w:r w:rsidR="003C53A8">
          <w:rPr>
            <w:noProof/>
            <w:webHidden/>
          </w:rPr>
        </w:r>
        <w:r w:rsidR="003C53A8">
          <w:rPr>
            <w:noProof/>
            <w:webHidden/>
          </w:rPr>
          <w:fldChar w:fldCharType="separate"/>
        </w:r>
        <w:r w:rsidR="00F6061F">
          <w:rPr>
            <w:noProof/>
            <w:webHidden/>
          </w:rPr>
          <w:t>84</w:t>
        </w:r>
        <w:r w:rsidR="003C53A8">
          <w:rPr>
            <w:noProof/>
            <w:webHidden/>
          </w:rPr>
          <w:fldChar w:fldCharType="end"/>
        </w:r>
      </w:hyperlink>
    </w:p>
    <w:p w14:paraId="3D1986B4" w14:textId="730EFE2D" w:rsidR="003C53A8" w:rsidRDefault="0012793B" w:rsidP="003C53A8">
      <w:pPr>
        <w:pStyle w:val="TOC4"/>
        <w:rPr>
          <w:rFonts w:asciiTheme="minorHAnsi" w:eastAsiaTheme="minorEastAsia" w:hAnsiTheme="minorHAnsi" w:cstheme="minorBidi"/>
          <w:noProof/>
          <w:sz w:val="22"/>
          <w:szCs w:val="22"/>
          <w:lang w:val="fr-FR" w:eastAsia="fr-FR"/>
        </w:rPr>
      </w:pPr>
      <w:hyperlink w:anchor="_Toc97800182" w:history="1">
        <w:r w:rsidR="003C53A8" w:rsidRPr="00235D3C">
          <w:rPr>
            <w:rStyle w:val="Hyperlink"/>
            <w:noProof/>
          </w:rPr>
          <w:t>3.3.8.8 </w:t>
        </w:r>
        <w:r w:rsidR="003C53A8" w:rsidRPr="00235D3C">
          <w:rPr>
            <w:rStyle w:val="Hyperlink"/>
            <w:rFonts w:eastAsia="Times New Roman"/>
            <w:noProof/>
          </w:rPr>
          <w:t xml:space="preserve"> Industrial designs</w:t>
        </w:r>
        <w:r w:rsidR="003C53A8">
          <w:rPr>
            <w:noProof/>
            <w:webHidden/>
          </w:rPr>
          <w:tab/>
        </w:r>
        <w:r w:rsidR="003C53A8">
          <w:rPr>
            <w:noProof/>
            <w:webHidden/>
          </w:rPr>
          <w:fldChar w:fldCharType="begin"/>
        </w:r>
        <w:r w:rsidR="003C53A8">
          <w:rPr>
            <w:noProof/>
            <w:webHidden/>
          </w:rPr>
          <w:instrText xml:space="preserve"> PAGEREF _Toc97800182 \h </w:instrText>
        </w:r>
        <w:r w:rsidR="003C53A8">
          <w:rPr>
            <w:noProof/>
            <w:webHidden/>
          </w:rPr>
        </w:r>
        <w:r w:rsidR="003C53A8">
          <w:rPr>
            <w:noProof/>
            <w:webHidden/>
          </w:rPr>
          <w:fldChar w:fldCharType="separate"/>
        </w:r>
        <w:r w:rsidR="00F6061F">
          <w:rPr>
            <w:noProof/>
            <w:webHidden/>
          </w:rPr>
          <w:t>85</w:t>
        </w:r>
        <w:r w:rsidR="003C53A8">
          <w:rPr>
            <w:noProof/>
            <w:webHidden/>
          </w:rPr>
          <w:fldChar w:fldCharType="end"/>
        </w:r>
      </w:hyperlink>
    </w:p>
    <w:p w14:paraId="175176E4" w14:textId="7D4C5ED6" w:rsidR="003C53A8" w:rsidRDefault="0012793B" w:rsidP="003C53A8">
      <w:pPr>
        <w:pStyle w:val="TOC4"/>
        <w:rPr>
          <w:rFonts w:asciiTheme="minorHAnsi" w:eastAsiaTheme="minorEastAsia" w:hAnsiTheme="minorHAnsi" w:cstheme="minorBidi"/>
          <w:noProof/>
          <w:sz w:val="22"/>
          <w:szCs w:val="22"/>
          <w:lang w:val="fr-FR" w:eastAsia="fr-FR"/>
        </w:rPr>
      </w:pPr>
      <w:hyperlink w:anchor="_Toc97800183" w:history="1">
        <w:r w:rsidR="003C53A8" w:rsidRPr="00235D3C">
          <w:rPr>
            <w:rStyle w:val="Hyperlink"/>
            <w:noProof/>
          </w:rPr>
          <w:t>3.3.8.9 </w:t>
        </w:r>
        <w:r w:rsidR="003C53A8" w:rsidRPr="00235D3C">
          <w:rPr>
            <w:rStyle w:val="Hyperlink"/>
            <w:rFonts w:eastAsia="Times New Roman"/>
            <w:noProof/>
          </w:rPr>
          <w:t xml:space="preserve"> Trademarks</w:t>
        </w:r>
        <w:r w:rsidR="003C53A8">
          <w:rPr>
            <w:noProof/>
            <w:webHidden/>
          </w:rPr>
          <w:tab/>
        </w:r>
        <w:r w:rsidR="003C53A8">
          <w:rPr>
            <w:noProof/>
            <w:webHidden/>
          </w:rPr>
          <w:fldChar w:fldCharType="begin"/>
        </w:r>
        <w:r w:rsidR="003C53A8">
          <w:rPr>
            <w:noProof/>
            <w:webHidden/>
          </w:rPr>
          <w:instrText xml:space="preserve"> PAGEREF _Toc97800183 \h </w:instrText>
        </w:r>
        <w:r w:rsidR="003C53A8">
          <w:rPr>
            <w:noProof/>
            <w:webHidden/>
          </w:rPr>
        </w:r>
        <w:r w:rsidR="003C53A8">
          <w:rPr>
            <w:noProof/>
            <w:webHidden/>
          </w:rPr>
          <w:fldChar w:fldCharType="separate"/>
        </w:r>
        <w:r w:rsidR="00F6061F">
          <w:rPr>
            <w:noProof/>
            <w:webHidden/>
          </w:rPr>
          <w:t>86</w:t>
        </w:r>
        <w:r w:rsidR="003C53A8">
          <w:rPr>
            <w:noProof/>
            <w:webHidden/>
          </w:rPr>
          <w:fldChar w:fldCharType="end"/>
        </w:r>
      </w:hyperlink>
    </w:p>
    <w:p w14:paraId="2B4AD7F4" w14:textId="02FF4C0A" w:rsidR="003C53A8" w:rsidRDefault="0012793B" w:rsidP="003C53A8">
      <w:pPr>
        <w:pStyle w:val="TOC4"/>
        <w:rPr>
          <w:rFonts w:asciiTheme="minorHAnsi" w:eastAsiaTheme="minorEastAsia" w:hAnsiTheme="minorHAnsi" w:cstheme="minorBidi"/>
          <w:noProof/>
          <w:sz w:val="22"/>
          <w:szCs w:val="22"/>
          <w:lang w:val="fr-FR" w:eastAsia="fr-FR"/>
        </w:rPr>
      </w:pPr>
      <w:hyperlink w:anchor="_Toc97800184" w:history="1">
        <w:r w:rsidR="003C53A8" w:rsidRPr="00235D3C">
          <w:rPr>
            <w:rStyle w:val="Hyperlink"/>
            <w:noProof/>
          </w:rPr>
          <w:t>3.3.8.10 </w:t>
        </w:r>
        <w:r w:rsidR="003C53A8" w:rsidRPr="00235D3C">
          <w:rPr>
            <w:rStyle w:val="Hyperlink"/>
            <w:rFonts w:eastAsia="Times New Roman"/>
            <w:noProof/>
          </w:rPr>
          <w:t xml:space="preserve"> Geographical indications</w:t>
        </w:r>
        <w:r w:rsidR="003C53A8">
          <w:rPr>
            <w:noProof/>
            <w:webHidden/>
          </w:rPr>
          <w:tab/>
        </w:r>
        <w:r w:rsidR="003C53A8">
          <w:rPr>
            <w:noProof/>
            <w:webHidden/>
          </w:rPr>
          <w:fldChar w:fldCharType="begin"/>
        </w:r>
        <w:r w:rsidR="003C53A8">
          <w:rPr>
            <w:noProof/>
            <w:webHidden/>
          </w:rPr>
          <w:instrText xml:space="preserve"> PAGEREF _Toc97800184 \h </w:instrText>
        </w:r>
        <w:r w:rsidR="003C53A8">
          <w:rPr>
            <w:noProof/>
            <w:webHidden/>
          </w:rPr>
        </w:r>
        <w:r w:rsidR="003C53A8">
          <w:rPr>
            <w:noProof/>
            <w:webHidden/>
          </w:rPr>
          <w:fldChar w:fldCharType="separate"/>
        </w:r>
        <w:r w:rsidR="00F6061F">
          <w:rPr>
            <w:noProof/>
            <w:webHidden/>
          </w:rPr>
          <w:t>86</w:t>
        </w:r>
        <w:r w:rsidR="003C53A8">
          <w:rPr>
            <w:noProof/>
            <w:webHidden/>
          </w:rPr>
          <w:fldChar w:fldCharType="end"/>
        </w:r>
      </w:hyperlink>
    </w:p>
    <w:p w14:paraId="714B7E49" w14:textId="757248C1" w:rsidR="003C53A8" w:rsidRDefault="0012793B" w:rsidP="003C53A8">
      <w:pPr>
        <w:pStyle w:val="TOC4"/>
        <w:rPr>
          <w:rFonts w:asciiTheme="minorHAnsi" w:eastAsiaTheme="minorEastAsia" w:hAnsiTheme="minorHAnsi" w:cstheme="minorBidi"/>
          <w:noProof/>
          <w:sz w:val="22"/>
          <w:szCs w:val="22"/>
          <w:lang w:val="fr-FR" w:eastAsia="fr-FR"/>
        </w:rPr>
      </w:pPr>
      <w:hyperlink w:anchor="_Toc97800185" w:history="1">
        <w:r w:rsidR="003C53A8" w:rsidRPr="00235D3C">
          <w:rPr>
            <w:rStyle w:val="Hyperlink"/>
            <w:noProof/>
          </w:rPr>
          <w:t>3.3.8.11 </w:t>
        </w:r>
        <w:r w:rsidR="003C53A8" w:rsidRPr="00235D3C">
          <w:rPr>
            <w:rStyle w:val="Hyperlink"/>
            <w:rFonts w:eastAsia="Times New Roman"/>
            <w:noProof/>
          </w:rPr>
          <w:t xml:space="preserve"> Copyright and related rights</w:t>
        </w:r>
        <w:r w:rsidR="003C53A8">
          <w:rPr>
            <w:noProof/>
            <w:webHidden/>
          </w:rPr>
          <w:tab/>
        </w:r>
        <w:r w:rsidR="003C53A8">
          <w:rPr>
            <w:noProof/>
            <w:webHidden/>
          </w:rPr>
          <w:fldChar w:fldCharType="begin"/>
        </w:r>
        <w:r w:rsidR="003C53A8">
          <w:rPr>
            <w:noProof/>
            <w:webHidden/>
          </w:rPr>
          <w:instrText xml:space="preserve"> PAGEREF _Toc97800185 \h </w:instrText>
        </w:r>
        <w:r w:rsidR="003C53A8">
          <w:rPr>
            <w:noProof/>
            <w:webHidden/>
          </w:rPr>
        </w:r>
        <w:r w:rsidR="003C53A8">
          <w:rPr>
            <w:noProof/>
            <w:webHidden/>
          </w:rPr>
          <w:fldChar w:fldCharType="separate"/>
        </w:r>
        <w:r w:rsidR="00F6061F">
          <w:rPr>
            <w:noProof/>
            <w:webHidden/>
          </w:rPr>
          <w:t>87</w:t>
        </w:r>
        <w:r w:rsidR="003C53A8">
          <w:rPr>
            <w:noProof/>
            <w:webHidden/>
          </w:rPr>
          <w:fldChar w:fldCharType="end"/>
        </w:r>
      </w:hyperlink>
    </w:p>
    <w:p w14:paraId="78389DC5" w14:textId="54CC271B" w:rsidR="003C53A8" w:rsidRDefault="0012793B" w:rsidP="003C53A8">
      <w:pPr>
        <w:pStyle w:val="TOC4"/>
        <w:rPr>
          <w:rFonts w:asciiTheme="minorHAnsi" w:eastAsiaTheme="minorEastAsia" w:hAnsiTheme="minorHAnsi" w:cstheme="minorBidi"/>
          <w:noProof/>
          <w:sz w:val="22"/>
          <w:szCs w:val="22"/>
          <w:lang w:val="fr-FR" w:eastAsia="fr-FR"/>
        </w:rPr>
      </w:pPr>
      <w:hyperlink w:anchor="_Toc97800186" w:history="1">
        <w:r w:rsidR="003C53A8" w:rsidRPr="00235D3C">
          <w:rPr>
            <w:rStyle w:val="Hyperlink"/>
            <w:noProof/>
          </w:rPr>
          <w:t>3.3.8.12 </w:t>
        </w:r>
        <w:r w:rsidR="003C53A8" w:rsidRPr="00235D3C">
          <w:rPr>
            <w:rStyle w:val="Hyperlink"/>
            <w:rFonts w:eastAsia="Times New Roman"/>
            <w:noProof/>
          </w:rPr>
          <w:t xml:space="preserve"> Enforcement</w:t>
        </w:r>
        <w:r w:rsidR="003C53A8">
          <w:rPr>
            <w:noProof/>
            <w:webHidden/>
          </w:rPr>
          <w:tab/>
        </w:r>
        <w:r w:rsidR="003C53A8">
          <w:rPr>
            <w:noProof/>
            <w:webHidden/>
          </w:rPr>
          <w:fldChar w:fldCharType="begin"/>
        </w:r>
        <w:r w:rsidR="003C53A8">
          <w:rPr>
            <w:noProof/>
            <w:webHidden/>
          </w:rPr>
          <w:instrText xml:space="preserve"> PAGEREF _Toc97800186 \h </w:instrText>
        </w:r>
        <w:r w:rsidR="003C53A8">
          <w:rPr>
            <w:noProof/>
            <w:webHidden/>
          </w:rPr>
        </w:r>
        <w:r w:rsidR="003C53A8">
          <w:rPr>
            <w:noProof/>
            <w:webHidden/>
          </w:rPr>
          <w:fldChar w:fldCharType="separate"/>
        </w:r>
        <w:r w:rsidR="00F6061F">
          <w:rPr>
            <w:noProof/>
            <w:webHidden/>
          </w:rPr>
          <w:t>88</w:t>
        </w:r>
        <w:r w:rsidR="003C53A8">
          <w:rPr>
            <w:noProof/>
            <w:webHidden/>
          </w:rPr>
          <w:fldChar w:fldCharType="end"/>
        </w:r>
      </w:hyperlink>
    </w:p>
    <w:p w14:paraId="2F097418" w14:textId="22DBB428" w:rsidR="003C53A8" w:rsidRDefault="0012793B" w:rsidP="003C53A8">
      <w:pPr>
        <w:pStyle w:val="TOC4"/>
        <w:rPr>
          <w:rFonts w:asciiTheme="minorHAnsi" w:eastAsiaTheme="minorEastAsia" w:hAnsiTheme="minorHAnsi" w:cstheme="minorBidi"/>
          <w:noProof/>
          <w:sz w:val="22"/>
          <w:szCs w:val="22"/>
          <w:lang w:val="fr-FR" w:eastAsia="fr-FR"/>
        </w:rPr>
      </w:pPr>
      <w:hyperlink w:anchor="_Toc97800187" w:history="1">
        <w:r w:rsidR="003C53A8" w:rsidRPr="00235D3C">
          <w:rPr>
            <w:rStyle w:val="Hyperlink"/>
            <w:noProof/>
          </w:rPr>
          <w:t>3.3.8.13 </w:t>
        </w:r>
        <w:r w:rsidR="003C53A8" w:rsidRPr="00235D3C">
          <w:rPr>
            <w:rStyle w:val="Hyperlink"/>
            <w:rFonts w:eastAsia="Times New Roman"/>
            <w:noProof/>
          </w:rPr>
          <w:t xml:space="preserve"> IP matters relating to COVID</w:t>
        </w:r>
        <w:r w:rsidR="003C53A8" w:rsidRPr="00235D3C">
          <w:rPr>
            <w:rStyle w:val="Hyperlink"/>
            <w:rFonts w:eastAsia="Times New Roman"/>
            <w:noProof/>
          </w:rPr>
          <w:noBreakHyphen/>
          <w:t>19</w:t>
        </w:r>
        <w:r w:rsidR="003C53A8">
          <w:rPr>
            <w:noProof/>
            <w:webHidden/>
          </w:rPr>
          <w:tab/>
        </w:r>
        <w:r w:rsidR="003C53A8">
          <w:rPr>
            <w:noProof/>
            <w:webHidden/>
          </w:rPr>
          <w:fldChar w:fldCharType="begin"/>
        </w:r>
        <w:r w:rsidR="003C53A8">
          <w:rPr>
            <w:noProof/>
            <w:webHidden/>
          </w:rPr>
          <w:instrText xml:space="preserve"> PAGEREF _Toc97800187 \h </w:instrText>
        </w:r>
        <w:r w:rsidR="003C53A8">
          <w:rPr>
            <w:noProof/>
            <w:webHidden/>
          </w:rPr>
        </w:r>
        <w:r w:rsidR="003C53A8">
          <w:rPr>
            <w:noProof/>
            <w:webHidden/>
          </w:rPr>
          <w:fldChar w:fldCharType="separate"/>
        </w:r>
        <w:r w:rsidR="00F6061F">
          <w:rPr>
            <w:noProof/>
            <w:webHidden/>
          </w:rPr>
          <w:t>90</w:t>
        </w:r>
        <w:r w:rsidR="003C53A8">
          <w:rPr>
            <w:noProof/>
            <w:webHidden/>
          </w:rPr>
          <w:fldChar w:fldCharType="end"/>
        </w:r>
      </w:hyperlink>
    </w:p>
    <w:p w14:paraId="18B79B5B" w14:textId="1A6B0C17" w:rsidR="003C53A8" w:rsidRDefault="0012793B" w:rsidP="003C53A8">
      <w:pPr>
        <w:pStyle w:val="TOC1"/>
        <w:spacing w:before="120"/>
        <w:rPr>
          <w:rFonts w:asciiTheme="minorHAnsi" w:eastAsiaTheme="minorEastAsia" w:hAnsiTheme="minorHAnsi" w:cstheme="minorBidi"/>
          <w:b w:val="0"/>
          <w:caps w:val="0"/>
          <w:noProof/>
          <w:sz w:val="22"/>
          <w:szCs w:val="22"/>
          <w:lang w:val="fr-FR" w:eastAsia="fr-FR"/>
        </w:rPr>
      </w:pPr>
      <w:hyperlink w:anchor="_Toc97800188" w:history="1">
        <w:r w:rsidR="003C53A8" w:rsidRPr="00235D3C">
          <w:rPr>
            <w:rStyle w:val="Hyperlink"/>
            <w:noProof/>
          </w:rPr>
          <w:t>4  TRADE POLICIES BY SECTOR</w:t>
        </w:r>
        <w:r w:rsidR="003C53A8">
          <w:rPr>
            <w:noProof/>
            <w:webHidden/>
          </w:rPr>
          <w:tab/>
        </w:r>
        <w:r w:rsidR="003C53A8">
          <w:rPr>
            <w:noProof/>
            <w:webHidden/>
          </w:rPr>
          <w:fldChar w:fldCharType="begin"/>
        </w:r>
        <w:r w:rsidR="003C53A8">
          <w:rPr>
            <w:noProof/>
            <w:webHidden/>
          </w:rPr>
          <w:instrText xml:space="preserve"> PAGEREF _Toc97800188 \h </w:instrText>
        </w:r>
        <w:r w:rsidR="003C53A8">
          <w:rPr>
            <w:noProof/>
            <w:webHidden/>
          </w:rPr>
        </w:r>
        <w:r w:rsidR="003C53A8">
          <w:rPr>
            <w:noProof/>
            <w:webHidden/>
          </w:rPr>
          <w:fldChar w:fldCharType="separate"/>
        </w:r>
        <w:r w:rsidR="00F6061F">
          <w:rPr>
            <w:noProof/>
            <w:webHidden/>
          </w:rPr>
          <w:t>93</w:t>
        </w:r>
        <w:r w:rsidR="003C53A8">
          <w:rPr>
            <w:noProof/>
            <w:webHidden/>
          </w:rPr>
          <w:fldChar w:fldCharType="end"/>
        </w:r>
      </w:hyperlink>
    </w:p>
    <w:p w14:paraId="56CFB558" w14:textId="0A98554A" w:rsidR="003C53A8" w:rsidRDefault="0012793B" w:rsidP="003C53A8">
      <w:pPr>
        <w:pStyle w:val="TOC2"/>
        <w:rPr>
          <w:rFonts w:asciiTheme="minorHAnsi" w:eastAsiaTheme="minorEastAsia" w:hAnsiTheme="minorHAnsi" w:cstheme="minorBidi"/>
          <w:noProof/>
          <w:sz w:val="22"/>
          <w:szCs w:val="22"/>
          <w:lang w:val="fr-FR" w:eastAsia="fr-FR"/>
        </w:rPr>
      </w:pPr>
      <w:hyperlink w:anchor="_Toc97800189" w:history="1">
        <w:r w:rsidR="003C53A8" w:rsidRPr="00235D3C">
          <w:rPr>
            <w:rStyle w:val="Hyperlink"/>
            <w:noProof/>
          </w:rPr>
          <w:t>4.1  Agriculture, Forestry, and Fisheries</w:t>
        </w:r>
        <w:r w:rsidR="003C53A8">
          <w:rPr>
            <w:noProof/>
            <w:webHidden/>
          </w:rPr>
          <w:tab/>
        </w:r>
        <w:r w:rsidR="003C53A8">
          <w:rPr>
            <w:noProof/>
            <w:webHidden/>
          </w:rPr>
          <w:fldChar w:fldCharType="begin"/>
        </w:r>
        <w:r w:rsidR="003C53A8">
          <w:rPr>
            <w:noProof/>
            <w:webHidden/>
          </w:rPr>
          <w:instrText xml:space="preserve"> PAGEREF _Toc97800189 \h </w:instrText>
        </w:r>
        <w:r w:rsidR="003C53A8">
          <w:rPr>
            <w:noProof/>
            <w:webHidden/>
          </w:rPr>
        </w:r>
        <w:r w:rsidR="003C53A8">
          <w:rPr>
            <w:noProof/>
            <w:webHidden/>
          </w:rPr>
          <w:fldChar w:fldCharType="separate"/>
        </w:r>
        <w:r w:rsidR="00F6061F">
          <w:rPr>
            <w:noProof/>
            <w:webHidden/>
          </w:rPr>
          <w:t>93</w:t>
        </w:r>
        <w:r w:rsidR="003C53A8">
          <w:rPr>
            <w:noProof/>
            <w:webHidden/>
          </w:rPr>
          <w:fldChar w:fldCharType="end"/>
        </w:r>
      </w:hyperlink>
    </w:p>
    <w:p w14:paraId="796CCF27" w14:textId="50D8BAD6" w:rsidR="003C53A8" w:rsidRDefault="0012793B" w:rsidP="003C53A8">
      <w:pPr>
        <w:pStyle w:val="TOC3"/>
        <w:rPr>
          <w:rFonts w:asciiTheme="minorHAnsi" w:eastAsiaTheme="minorEastAsia" w:hAnsiTheme="minorHAnsi" w:cstheme="minorBidi"/>
          <w:noProof/>
          <w:sz w:val="22"/>
          <w:szCs w:val="22"/>
          <w:lang w:val="fr-FR" w:eastAsia="fr-FR"/>
        </w:rPr>
      </w:pPr>
      <w:hyperlink w:anchor="_Toc97800190" w:history="1">
        <w:r w:rsidR="003C53A8" w:rsidRPr="00235D3C">
          <w:rPr>
            <w:rStyle w:val="Hyperlink"/>
            <w:noProof/>
          </w:rPr>
          <w:t>4.1.1  Overview</w:t>
        </w:r>
        <w:r w:rsidR="003C53A8">
          <w:rPr>
            <w:noProof/>
            <w:webHidden/>
          </w:rPr>
          <w:tab/>
        </w:r>
        <w:r w:rsidR="003C53A8">
          <w:rPr>
            <w:noProof/>
            <w:webHidden/>
          </w:rPr>
          <w:fldChar w:fldCharType="begin"/>
        </w:r>
        <w:r w:rsidR="003C53A8">
          <w:rPr>
            <w:noProof/>
            <w:webHidden/>
          </w:rPr>
          <w:instrText xml:space="preserve"> PAGEREF _Toc97800190 \h </w:instrText>
        </w:r>
        <w:r w:rsidR="003C53A8">
          <w:rPr>
            <w:noProof/>
            <w:webHidden/>
          </w:rPr>
        </w:r>
        <w:r w:rsidR="003C53A8">
          <w:rPr>
            <w:noProof/>
            <w:webHidden/>
          </w:rPr>
          <w:fldChar w:fldCharType="separate"/>
        </w:r>
        <w:r w:rsidR="00F6061F">
          <w:rPr>
            <w:noProof/>
            <w:webHidden/>
          </w:rPr>
          <w:t>93</w:t>
        </w:r>
        <w:r w:rsidR="003C53A8">
          <w:rPr>
            <w:noProof/>
            <w:webHidden/>
          </w:rPr>
          <w:fldChar w:fldCharType="end"/>
        </w:r>
      </w:hyperlink>
    </w:p>
    <w:p w14:paraId="5E53F15E" w14:textId="03582C7F" w:rsidR="003C53A8" w:rsidRDefault="0012793B" w:rsidP="003C53A8">
      <w:pPr>
        <w:pStyle w:val="TOC3"/>
        <w:rPr>
          <w:rFonts w:asciiTheme="minorHAnsi" w:eastAsiaTheme="minorEastAsia" w:hAnsiTheme="minorHAnsi" w:cstheme="minorBidi"/>
          <w:noProof/>
          <w:sz w:val="22"/>
          <w:szCs w:val="22"/>
          <w:lang w:val="fr-FR" w:eastAsia="fr-FR"/>
        </w:rPr>
      </w:pPr>
      <w:hyperlink w:anchor="_Toc97800191" w:history="1">
        <w:r w:rsidR="003C53A8" w:rsidRPr="00235D3C">
          <w:rPr>
            <w:rStyle w:val="Hyperlink"/>
            <w:noProof/>
          </w:rPr>
          <w:t>4.1.2  Border measures</w:t>
        </w:r>
        <w:r w:rsidR="003C53A8">
          <w:rPr>
            <w:noProof/>
            <w:webHidden/>
          </w:rPr>
          <w:tab/>
        </w:r>
        <w:r w:rsidR="003C53A8">
          <w:rPr>
            <w:noProof/>
            <w:webHidden/>
          </w:rPr>
          <w:fldChar w:fldCharType="begin"/>
        </w:r>
        <w:r w:rsidR="003C53A8">
          <w:rPr>
            <w:noProof/>
            <w:webHidden/>
          </w:rPr>
          <w:instrText xml:space="preserve"> PAGEREF _Toc97800191 \h </w:instrText>
        </w:r>
        <w:r w:rsidR="003C53A8">
          <w:rPr>
            <w:noProof/>
            <w:webHidden/>
          </w:rPr>
        </w:r>
        <w:r w:rsidR="003C53A8">
          <w:rPr>
            <w:noProof/>
            <w:webHidden/>
          </w:rPr>
          <w:fldChar w:fldCharType="separate"/>
        </w:r>
        <w:r w:rsidR="00F6061F">
          <w:rPr>
            <w:noProof/>
            <w:webHidden/>
          </w:rPr>
          <w:t>93</w:t>
        </w:r>
        <w:r w:rsidR="003C53A8">
          <w:rPr>
            <w:noProof/>
            <w:webHidden/>
          </w:rPr>
          <w:fldChar w:fldCharType="end"/>
        </w:r>
      </w:hyperlink>
    </w:p>
    <w:p w14:paraId="555F9A0F" w14:textId="7F0ED236" w:rsidR="003C53A8" w:rsidRDefault="0012793B" w:rsidP="003C53A8">
      <w:pPr>
        <w:pStyle w:val="TOC4"/>
        <w:rPr>
          <w:rFonts w:asciiTheme="minorHAnsi" w:eastAsiaTheme="minorEastAsia" w:hAnsiTheme="minorHAnsi" w:cstheme="minorBidi"/>
          <w:noProof/>
          <w:sz w:val="22"/>
          <w:szCs w:val="22"/>
          <w:lang w:val="fr-FR" w:eastAsia="fr-FR"/>
        </w:rPr>
      </w:pPr>
      <w:hyperlink w:anchor="_Toc97800192" w:history="1">
        <w:r w:rsidR="003C53A8" w:rsidRPr="00235D3C">
          <w:rPr>
            <w:rStyle w:val="Hyperlink"/>
            <w:noProof/>
          </w:rPr>
          <w:t>4.1.2.1  Import measures</w:t>
        </w:r>
        <w:r w:rsidR="003C53A8">
          <w:rPr>
            <w:noProof/>
            <w:webHidden/>
          </w:rPr>
          <w:tab/>
        </w:r>
        <w:r w:rsidR="003C53A8">
          <w:rPr>
            <w:noProof/>
            <w:webHidden/>
          </w:rPr>
          <w:fldChar w:fldCharType="begin"/>
        </w:r>
        <w:r w:rsidR="003C53A8">
          <w:rPr>
            <w:noProof/>
            <w:webHidden/>
          </w:rPr>
          <w:instrText xml:space="preserve"> PAGEREF _Toc97800192 \h </w:instrText>
        </w:r>
        <w:r w:rsidR="003C53A8">
          <w:rPr>
            <w:noProof/>
            <w:webHidden/>
          </w:rPr>
        </w:r>
        <w:r w:rsidR="003C53A8">
          <w:rPr>
            <w:noProof/>
            <w:webHidden/>
          </w:rPr>
          <w:fldChar w:fldCharType="separate"/>
        </w:r>
        <w:r w:rsidR="00F6061F">
          <w:rPr>
            <w:noProof/>
            <w:webHidden/>
          </w:rPr>
          <w:t>93</w:t>
        </w:r>
        <w:r w:rsidR="003C53A8">
          <w:rPr>
            <w:noProof/>
            <w:webHidden/>
          </w:rPr>
          <w:fldChar w:fldCharType="end"/>
        </w:r>
      </w:hyperlink>
    </w:p>
    <w:p w14:paraId="4FA61567" w14:textId="69E0B20D" w:rsidR="003C53A8" w:rsidRDefault="0012793B" w:rsidP="003C53A8">
      <w:pPr>
        <w:pStyle w:val="TOC4"/>
        <w:rPr>
          <w:rFonts w:asciiTheme="minorHAnsi" w:eastAsiaTheme="minorEastAsia" w:hAnsiTheme="minorHAnsi" w:cstheme="minorBidi"/>
          <w:noProof/>
          <w:sz w:val="22"/>
          <w:szCs w:val="22"/>
          <w:lang w:val="fr-FR" w:eastAsia="fr-FR"/>
        </w:rPr>
      </w:pPr>
      <w:hyperlink w:anchor="_Toc97800193" w:history="1">
        <w:r w:rsidR="003C53A8" w:rsidRPr="00235D3C">
          <w:rPr>
            <w:rStyle w:val="Hyperlink"/>
            <w:noProof/>
          </w:rPr>
          <w:t>4.1.2.2  Export measures</w:t>
        </w:r>
        <w:r w:rsidR="003C53A8">
          <w:rPr>
            <w:noProof/>
            <w:webHidden/>
          </w:rPr>
          <w:tab/>
        </w:r>
        <w:r w:rsidR="003C53A8">
          <w:rPr>
            <w:noProof/>
            <w:webHidden/>
          </w:rPr>
          <w:fldChar w:fldCharType="begin"/>
        </w:r>
        <w:r w:rsidR="003C53A8">
          <w:rPr>
            <w:noProof/>
            <w:webHidden/>
          </w:rPr>
          <w:instrText xml:space="preserve"> PAGEREF _Toc97800193 \h </w:instrText>
        </w:r>
        <w:r w:rsidR="003C53A8">
          <w:rPr>
            <w:noProof/>
            <w:webHidden/>
          </w:rPr>
        </w:r>
        <w:r w:rsidR="003C53A8">
          <w:rPr>
            <w:noProof/>
            <w:webHidden/>
          </w:rPr>
          <w:fldChar w:fldCharType="separate"/>
        </w:r>
        <w:r w:rsidR="00F6061F">
          <w:rPr>
            <w:noProof/>
            <w:webHidden/>
          </w:rPr>
          <w:t>94</w:t>
        </w:r>
        <w:r w:rsidR="003C53A8">
          <w:rPr>
            <w:noProof/>
            <w:webHidden/>
          </w:rPr>
          <w:fldChar w:fldCharType="end"/>
        </w:r>
      </w:hyperlink>
    </w:p>
    <w:p w14:paraId="318FF619" w14:textId="5AEA5358" w:rsidR="003C53A8" w:rsidRDefault="0012793B" w:rsidP="003C53A8">
      <w:pPr>
        <w:pStyle w:val="TOC3"/>
        <w:rPr>
          <w:rFonts w:asciiTheme="minorHAnsi" w:eastAsiaTheme="minorEastAsia" w:hAnsiTheme="minorHAnsi" w:cstheme="minorBidi"/>
          <w:noProof/>
          <w:sz w:val="22"/>
          <w:szCs w:val="22"/>
          <w:lang w:val="fr-FR" w:eastAsia="fr-FR"/>
        </w:rPr>
      </w:pPr>
      <w:hyperlink w:anchor="_Toc97800194" w:history="1">
        <w:r w:rsidR="003C53A8" w:rsidRPr="00235D3C">
          <w:rPr>
            <w:rStyle w:val="Hyperlink"/>
            <w:noProof/>
          </w:rPr>
          <w:t>4.1.3  Domestic support</w:t>
        </w:r>
        <w:r w:rsidR="003C53A8">
          <w:rPr>
            <w:noProof/>
            <w:webHidden/>
          </w:rPr>
          <w:tab/>
        </w:r>
        <w:r w:rsidR="003C53A8">
          <w:rPr>
            <w:noProof/>
            <w:webHidden/>
          </w:rPr>
          <w:fldChar w:fldCharType="begin"/>
        </w:r>
        <w:r w:rsidR="003C53A8">
          <w:rPr>
            <w:noProof/>
            <w:webHidden/>
          </w:rPr>
          <w:instrText xml:space="preserve"> PAGEREF _Toc97800194 \h </w:instrText>
        </w:r>
        <w:r w:rsidR="003C53A8">
          <w:rPr>
            <w:noProof/>
            <w:webHidden/>
          </w:rPr>
        </w:r>
        <w:r w:rsidR="003C53A8">
          <w:rPr>
            <w:noProof/>
            <w:webHidden/>
          </w:rPr>
          <w:fldChar w:fldCharType="separate"/>
        </w:r>
        <w:r w:rsidR="00F6061F">
          <w:rPr>
            <w:noProof/>
            <w:webHidden/>
          </w:rPr>
          <w:t>95</w:t>
        </w:r>
        <w:r w:rsidR="003C53A8">
          <w:rPr>
            <w:noProof/>
            <w:webHidden/>
          </w:rPr>
          <w:fldChar w:fldCharType="end"/>
        </w:r>
      </w:hyperlink>
    </w:p>
    <w:p w14:paraId="7AE0E336" w14:textId="12C7DC48" w:rsidR="003C53A8" w:rsidRDefault="0012793B" w:rsidP="003C53A8">
      <w:pPr>
        <w:pStyle w:val="TOC3"/>
        <w:rPr>
          <w:rFonts w:asciiTheme="minorHAnsi" w:eastAsiaTheme="minorEastAsia" w:hAnsiTheme="minorHAnsi" w:cstheme="minorBidi"/>
          <w:noProof/>
          <w:sz w:val="22"/>
          <w:szCs w:val="22"/>
          <w:lang w:val="fr-FR" w:eastAsia="fr-FR"/>
        </w:rPr>
      </w:pPr>
      <w:hyperlink w:anchor="_Toc97800195" w:history="1">
        <w:r w:rsidR="003C53A8" w:rsidRPr="00235D3C">
          <w:rPr>
            <w:rStyle w:val="Hyperlink"/>
            <w:noProof/>
          </w:rPr>
          <w:t>4.1.4  Dairy industry</w:t>
        </w:r>
        <w:r w:rsidR="003C53A8">
          <w:rPr>
            <w:noProof/>
            <w:webHidden/>
          </w:rPr>
          <w:tab/>
        </w:r>
        <w:r w:rsidR="003C53A8">
          <w:rPr>
            <w:noProof/>
            <w:webHidden/>
          </w:rPr>
          <w:fldChar w:fldCharType="begin"/>
        </w:r>
        <w:r w:rsidR="003C53A8">
          <w:rPr>
            <w:noProof/>
            <w:webHidden/>
          </w:rPr>
          <w:instrText xml:space="preserve"> PAGEREF _Toc97800195 \h </w:instrText>
        </w:r>
        <w:r w:rsidR="003C53A8">
          <w:rPr>
            <w:noProof/>
            <w:webHidden/>
          </w:rPr>
        </w:r>
        <w:r w:rsidR="003C53A8">
          <w:rPr>
            <w:noProof/>
            <w:webHidden/>
          </w:rPr>
          <w:fldChar w:fldCharType="separate"/>
        </w:r>
        <w:r w:rsidR="00F6061F">
          <w:rPr>
            <w:noProof/>
            <w:webHidden/>
          </w:rPr>
          <w:t>95</w:t>
        </w:r>
        <w:r w:rsidR="003C53A8">
          <w:rPr>
            <w:noProof/>
            <w:webHidden/>
          </w:rPr>
          <w:fldChar w:fldCharType="end"/>
        </w:r>
      </w:hyperlink>
    </w:p>
    <w:p w14:paraId="20798F6C" w14:textId="070DCB68" w:rsidR="003C53A8" w:rsidRDefault="0012793B" w:rsidP="003C53A8">
      <w:pPr>
        <w:pStyle w:val="TOC3"/>
        <w:rPr>
          <w:rFonts w:asciiTheme="minorHAnsi" w:eastAsiaTheme="minorEastAsia" w:hAnsiTheme="minorHAnsi" w:cstheme="minorBidi"/>
          <w:noProof/>
          <w:sz w:val="22"/>
          <w:szCs w:val="22"/>
          <w:lang w:val="fr-FR" w:eastAsia="fr-FR"/>
        </w:rPr>
      </w:pPr>
      <w:hyperlink w:anchor="_Toc97800196" w:history="1">
        <w:r w:rsidR="003C53A8" w:rsidRPr="00235D3C">
          <w:rPr>
            <w:rStyle w:val="Hyperlink"/>
            <w:noProof/>
          </w:rPr>
          <w:t>4.1.5  Fisheries</w:t>
        </w:r>
        <w:r w:rsidR="003C53A8">
          <w:rPr>
            <w:noProof/>
            <w:webHidden/>
          </w:rPr>
          <w:tab/>
        </w:r>
        <w:r w:rsidR="003C53A8">
          <w:rPr>
            <w:noProof/>
            <w:webHidden/>
          </w:rPr>
          <w:fldChar w:fldCharType="begin"/>
        </w:r>
        <w:r w:rsidR="003C53A8">
          <w:rPr>
            <w:noProof/>
            <w:webHidden/>
          </w:rPr>
          <w:instrText xml:space="preserve"> PAGEREF _Toc97800196 \h </w:instrText>
        </w:r>
        <w:r w:rsidR="003C53A8">
          <w:rPr>
            <w:noProof/>
            <w:webHidden/>
          </w:rPr>
        </w:r>
        <w:r w:rsidR="003C53A8">
          <w:rPr>
            <w:noProof/>
            <w:webHidden/>
          </w:rPr>
          <w:fldChar w:fldCharType="separate"/>
        </w:r>
        <w:r w:rsidR="00F6061F">
          <w:rPr>
            <w:noProof/>
            <w:webHidden/>
          </w:rPr>
          <w:t>96</w:t>
        </w:r>
        <w:r w:rsidR="003C53A8">
          <w:rPr>
            <w:noProof/>
            <w:webHidden/>
          </w:rPr>
          <w:fldChar w:fldCharType="end"/>
        </w:r>
      </w:hyperlink>
    </w:p>
    <w:p w14:paraId="727FDF00" w14:textId="16AD634A" w:rsidR="003C53A8" w:rsidRDefault="0012793B" w:rsidP="003C53A8">
      <w:pPr>
        <w:pStyle w:val="TOC3"/>
        <w:rPr>
          <w:rFonts w:asciiTheme="minorHAnsi" w:eastAsiaTheme="minorEastAsia" w:hAnsiTheme="minorHAnsi" w:cstheme="minorBidi"/>
          <w:noProof/>
          <w:sz w:val="22"/>
          <w:szCs w:val="22"/>
          <w:lang w:val="fr-FR" w:eastAsia="fr-FR"/>
        </w:rPr>
      </w:pPr>
      <w:hyperlink w:anchor="_Toc97800197" w:history="1">
        <w:r w:rsidR="003C53A8" w:rsidRPr="00235D3C">
          <w:rPr>
            <w:rStyle w:val="Hyperlink"/>
            <w:noProof/>
          </w:rPr>
          <w:t>4.1.6  Environmental measures and sustainable management of resources</w:t>
        </w:r>
        <w:r w:rsidR="003C53A8">
          <w:rPr>
            <w:noProof/>
            <w:webHidden/>
          </w:rPr>
          <w:tab/>
        </w:r>
        <w:r w:rsidR="003C53A8">
          <w:rPr>
            <w:noProof/>
            <w:webHidden/>
          </w:rPr>
          <w:fldChar w:fldCharType="begin"/>
        </w:r>
        <w:r w:rsidR="003C53A8">
          <w:rPr>
            <w:noProof/>
            <w:webHidden/>
          </w:rPr>
          <w:instrText xml:space="preserve"> PAGEREF _Toc97800197 \h </w:instrText>
        </w:r>
        <w:r w:rsidR="003C53A8">
          <w:rPr>
            <w:noProof/>
            <w:webHidden/>
          </w:rPr>
        </w:r>
        <w:r w:rsidR="003C53A8">
          <w:rPr>
            <w:noProof/>
            <w:webHidden/>
          </w:rPr>
          <w:fldChar w:fldCharType="separate"/>
        </w:r>
        <w:r w:rsidR="00F6061F">
          <w:rPr>
            <w:noProof/>
            <w:webHidden/>
          </w:rPr>
          <w:t>97</w:t>
        </w:r>
        <w:r w:rsidR="003C53A8">
          <w:rPr>
            <w:noProof/>
            <w:webHidden/>
          </w:rPr>
          <w:fldChar w:fldCharType="end"/>
        </w:r>
      </w:hyperlink>
    </w:p>
    <w:p w14:paraId="2E9AE8C1" w14:textId="44B61809" w:rsidR="003C53A8" w:rsidRDefault="0012793B" w:rsidP="003C53A8">
      <w:pPr>
        <w:pStyle w:val="TOC2"/>
        <w:rPr>
          <w:rFonts w:asciiTheme="minorHAnsi" w:eastAsiaTheme="minorEastAsia" w:hAnsiTheme="minorHAnsi" w:cstheme="minorBidi"/>
          <w:noProof/>
          <w:sz w:val="22"/>
          <w:szCs w:val="22"/>
          <w:lang w:val="fr-FR" w:eastAsia="fr-FR"/>
        </w:rPr>
      </w:pPr>
      <w:hyperlink w:anchor="_Toc97800198" w:history="1">
        <w:r w:rsidR="003C53A8" w:rsidRPr="00235D3C">
          <w:rPr>
            <w:rStyle w:val="Hyperlink"/>
            <w:noProof/>
          </w:rPr>
          <w:t>4.2  Energy</w:t>
        </w:r>
        <w:r w:rsidR="003C53A8">
          <w:rPr>
            <w:noProof/>
            <w:webHidden/>
          </w:rPr>
          <w:tab/>
        </w:r>
        <w:r w:rsidR="003C53A8">
          <w:rPr>
            <w:noProof/>
            <w:webHidden/>
          </w:rPr>
          <w:fldChar w:fldCharType="begin"/>
        </w:r>
        <w:r w:rsidR="003C53A8">
          <w:rPr>
            <w:noProof/>
            <w:webHidden/>
          </w:rPr>
          <w:instrText xml:space="preserve"> PAGEREF _Toc97800198 \h </w:instrText>
        </w:r>
        <w:r w:rsidR="003C53A8">
          <w:rPr>
            <w:noProof/>
            <w:webHidden/>
          </w:rPr>
        </w:r>
        <w:r w:rsidR="003C53A8">
          <w:rPr>
            <w:noProof/>
            <w:webHidden/>
          </w:rPr>
          <w:fldChar w:fldCharType="separate"/>
        </w:r>
        <w:r w:rsidR="00F6061F">
          <w:rPr>
            <w:noProof/>
            <w:webHidden/>
          </w:rPr>
          <w:t>98</w:t>
        </w:r>
        <w:r w:rsidR="003C53A8">
          <w:rPr>
            <w:noProof/>
            <w:webHidden/>
          </w:rPr>
          <w:fldChar w:fldCharType="end"/>
        </w:r>
      </w:hyperlink>
    </w:p>
    <w:p w14:paraId="07E0015E" w14:textId="6A9CF26C" w:rsidR="003C53A8" w:rsidRDefault="0012793B" w:rsidP="003C53A8">
      <w:pPr>
        <w:pStyle w:val="TOC3"/>
        <w:rPr>
          <w:rFonts w:asciiTheme="minorHAnsi" w:eastAsiaTheme="minorEastAsia" w:hAnsiTheme="minorHAnsi" w:cstheme="minorBidi"/>
          <w:noProof/>
          <w:sz w:val="22"/>
          <w:szCs w:val="22"/>
          <w:lang w:val="fr-FR" w:eastAsia="fr-FR"/>
        </w:rPr>
      </w:pPr>
      <w:hyperlink w:anchor="_Toc97800199" w:history="1">
        <w:r w:rsidR="003C53A8" w:rsidRPr="00235D3C">
          <w:rPr>
            <w:rStyle w:val="Hyperlink"/>
            <w:noProof/>
          </w:rPr>
          <w:t>4.2.1  Electricity</w:t>
        </w:r>
        <w:r w:rsidR="003C53A8">
          <w:rPr>
            <w:noProof/>
            <w:webHidden/>
          </w:rPr>
          <w:tab/>
        </w:r>
        <w:r w:rsidR="003C53A8">
          <w:rPr>
            <w:noProof/>
            <w:webHidden/>
          </w:rPr>
          <w:fldChar w:fldCharType="begin"/>
        </w:r>
        <w:r w:rsidR="003C53A8">
          <w:rPr>
            <w:noProof/>
            <w:webHidden/>
          </w:rPr>
          <w:instrText xml:space="preserve"> PAGEREF _Toc97800199 \h </w:instrText>
        </w:r>
        <w:r w:rsidR="003C53A8">
          <w:rPr>
            <w:noProof/>
            <w:webHidden/>
          </w:rPr>
        </w:r>
        <w:r w:rsidR="003C53A8">
          <w:rPr>
            <w:noProof/>
            <w:webHidden/>
          </w:rPr>
          <w:fldChar w:fldCharType="separate"/>
        </w:r>
        <w:r w:rsidR="00F6061F">
          <w:rPr>
            <w:noProof/>
            <w:webHidden/>
          </w:rPr>
          <w:t>99</w:t>
        </w:r>
        <w:r w:rsidR="003C53A8">
          <w:rPr>
            <w:noProof/>
            <w:webHidden/>
          </w:rPr>
          <w:fldChar w:fldCharType="end"/>
        </w:r>
      </w:hyperlink>
    </w:p>
    <w:p w14:paraId="37A1310A" w14:textId="0C83F391" w:rsidR="003C53A8" w:rsidRDefault="0012793B" w:rsidP="003C53A8">
      <w:pPr>
        <w:pStyle w:val="TOC3"/>
        <w:rPr>
          <w:rFonts w:asciiTheme="minorHAnsi" w:eastAsiaTheme="minorEastAsia" w:hAnsiTheme="minorHAnsi" w:cstheme="minorBidi"/>
          <w:noProof/>
          <w:sz w:val="22"/>
          <w:szCs w:val="22"/>
          <w:lang w:val="fr-FR" w:eastAsia="fr-FR"/>
        </w:rPr>
      </w:pPr>
      <w:hyperlink w:anchor="_Toc97800200" w:history="1">
        <w:r w:rsidR="003C53A8" w:rsidRPr="00235D3C">
          <w:rPr>
            <w:rStyle w:val="Hyperlink"/>
            <w:noProof/>
          </w:rPr>
          <w:t>4.2.2  Hydrocarbons</w:t>
        </w:r>
        <w:r w:rsidR="003C53A8">
          <w:rPr>
            <w:noProof/>
            <w:webHidden/>
          </w:rPr>
          <w:tab/>
        </w:r>
        <w:r w:rsidR="003C53A8">
          <w:rPr>
            <w:noProof/>
            <w:webHidden/>
          </w:rPr>
          <w:fldChar w:fldCharType="begin"/>
        </w:r>
        <w:r w:rsidR="003C53A8">
          <w:rPr>
            <w:noProof/>
            <w:webHidden/>
          </w:rPr>
          <w:instrText xml:space="preserve"> PAGEREF _Toc97800200 \h </w:instrText>
        </w:r>
        <w:r w:rsidR="003C53A8">
          <w:rPr>
            <w:noProof/>
            <w:webHidden/>
          </w:rPr>
        </w:r>
        <w:r w:rsidR="003C53A8">
          <w:rPr>
            <w:noProof/>
            <w:webHidden/>
          </w:rPr>
          <w:fldChar w:fldCharType="separate"/>
        </w:r>
        <w:r w:rsidR="00F6061F">
          <w:rPr>
            <w:noProof/>
            <w:webHidden/>
          </w:rPr>
          <w:t>100</w:t>
        </w:r>
        <w:r w:rsidR="003C53A8">
          <w:rPr>
            <w:noProof/>
            <w:webHidden/>
          </w:rPr>
          <w:fldChar w:fldCharType="end"/>
        </w:r>
      </w:hyperlink>
    </w:p>
    <w:p w14:paraId="3DE327D2" w14:textId="41AB4B49" w:rsidR="003C53A8" w:rsidRDefault="0012793B" w:rsidP="003C53A8">
      <w:pPr>
        <w:pStyle w:val="TOC2"/>
        <w:rPr>
          <w:rFonts w:asciiTheme="minorHAnsi" w:eastAsiaTheme="minorEastAsia" w:hAnsiTheme="minorHAnsi" w:cstheme="minorBidi"/>
          <w:noProof/>
          <w:sz w:val="22"/>
          <w:szCs w:val="22"/>
          <w:lang w:val="fr-FR" w:eastAsia="fr-FR"/>
        </w:rPr>
      </w:pPr>
      <w:hyperlink w:anchor="_Toc97800201" w:history="1">
        <w:r w:rsidR="003C53A8" w:rsidRPr="00235D3C">
          <w:rPr>
            <w:rStyle w:val="Hyperlink"/>
            <w:noProof/>
          </w:rPr>
          <w:t>4.3  Manufacturing</w:t>
        </w:r>
        <w:r w:rsidR="003C53A8">
          <w:rPr>
            <w:noProof/>
            <w:webHidden/>
          </w:rPr>
          <w:tab/>
        </w:r>
        <w:r w:rsidR="003C53A8">
          <w:rPr>
            <w:noProof/>
            <w:webHidden/>
          </w:rPr>
          <w:fldChar w:fldCharType="begin"/>
        </w:r>
        <w:r w:rsidR="003C53A8">
          <w:rPr>
            <w:noProof/>
            <w:webHidden/>
          </w:rPr>
          <w:instrText xml:space="preserve"> PAGEREF _Toc97800201 \h </w:instrText>
        </w:r>
        <w:r w:rsidR="003C53A8">
          <w:rPr>
            <w:noProof/>
            <w:webHidden/>
          </w:rPr>
        </w:r>
        <w:r w:rsidR="003C53A8">
          <w:rPr>
            <w:noProof/>
            <w:webHidden/>
          </w:rPr>
          <w:fldChar w:fldCharType="separate"/>
        </w:r>
        <w:r w:rsidR="00F6061F">
          <w:rPr>
            <w:noProof/>
            <w:webHidden/>
          </w:rPr>
          <w:t>102</w:t>
        </w:r>
        <w:r w:rsidR="003C53A8">
          <w:rPr>
            <w:noProof/>
            <w:webHidden/>
          </w:rPr>
          <w:fldChar w:fldCharType="end"/>
        </w:r>
      </w:hyperlink>
    </w:p>
    <w:p w14:paraId="4E7B7F4D" w14:textId="2F04BBF9" w:rsidR="003C53A8" w:rsidRDefault="0012793B" w:rsidP="003C53A8">
      <w:pPr>
        <w:pStyle w:val="TOC2"/>
        <w:rPr>
          <w:rFonts w:asciiTheme="minorHAnsi" w:eastAsiaTheme="minorEastAsia" w:hAnsiTheme="minorHAnsi" w:cstheme="minorBidi"/>
          <w:noProof/>
          <w:sz w:val="22"/>
          <w:szCs w:val="22"/>
          <w:lang w:val="fr-FR" w:eastAsia="fr-FR"/>
        </w:rPr>
      </w:pPr>
      <w:hyperlink w:anchor="_Toc97800202" w:history="1">
        <w:r w:rsidR="003C53A8" w:rsidRPr="00235D3C">
          <w:rPr>
            <w:rStyle w:val="Hyperlink"/>
            <w:noProof/>
          </w:rPr>
          <w:t>4.4  Services</w:t>
        </w:r>
        <w:r w:rsidR="003C53A8">
          <w:rPr>
            <w:noProof/>
            <w:webHidden/>
          </w:rPr>
          <w:tab/>
        </w:r>
        <w:r w:rsidR="003C53A8">
          <w:rPr>
            <w:noProof/>
            <w:webHidden/>
          </w:rPr>
          <w:fldChar w:fldCharType="begin"/>
        </w:r>
        <w:r w:rsidR="003C53A8">
          <w:rPr>
            <w:noProof/>
            <w:webHidden/>
          </w:rPr>
          <w:instrText xml:space="preserve"> PAGEREF _Toc97800202 \h </w:instrText>
        </w:r>
        <w:r w:rsidR="003C53A8">
          <w:rPr>
            <w:noProof/>
            <w:webHidden/>
          </w:rPr>
        </w:r>
        <w:r w:rsidR="003C53A8">
          <w:rPr>
            <w:noProof/>
            <w:webHidden/>
          </w:rPr>
          <w:fldChar w:fldCharType="separate"/>
        </w:r>
        <w:r w:rsidR="00F6061F">
          <w:rPr>
            <w:noProof/>
            <w:webHidden/>
          </w:rPr>
          <w:t>104</w:t>
        </w:r>
        <w:r w:rsidR="003C53A8">
          <w:rPr>
            <w:noProof/>
            <w:webHidden/>
          </w:rPr>
          <w:fldChar w:fldCharType="end"/>
        </w:r>
      </w:hyperlink>
    </w:p>
    <w:p w14:paraId="72CF88E8" w14:textId="438731CB" w:rsidR="003C53A8" w:rsidRDefault="0012793B" w:rsidP="003C53A8">
      <w:pPr>
        <w:pStyle w:val="TOC3"/>
        <w:rPr>
          <w:rFonts w:asciiTheme="minorHAnsi" w:eastAsiaTheme="minorEastAsia" w:hAnsiTheme="minorHAnsi" w:cstheme="minorBidi"/>
          <w:noProof/>
          <w:sz w:val="22"/>
          <w:szCs w:val="22"/>
          <w:lang w:val="fr-FR" w:eastAsia="fr-FR"/>
        </w:rPr>
      </w:pPr>
      <w:hyperlink w:anchor="_Toc97800203" w:history="1">
        <w:r w:rsidR="003C53A8" w:rsidRPr="00235D3C">
          <w:rPr>
            <w:rStyle w:val="Hyperlink"/>
            <w:noProof/>
          </w:rPr>
          <w:t>4.4.1  Financial services</w:t>
        </w:r>
        <w:r w:rsidR="003C53A8">
          <w:rPr>
            <w:noProof/>
            <w:webHidden/>
          </w:rPr>
          <w:tab/>
        </w:r>
        <w:r w:rsidR="003C53A8">
          <w:rPr>
            <w:noProof/>
            <w:webHidden/>
          </w:rPr>
          <w:fldChar w:fldCharType="begin"/>
        </w:r>
        <w:r w:rsidR="003C53A8">
          <w:rPr>
            <w:noProof/>
            <w:webHidden/>
          </w:rPr>
          <w:instrText xml:space="preserve"> PAGEREF _Toc97800203 \h </w:instrText>
        </w:r>
        <w:r w:rsidR="003C53A8">
          <w:rPr>
            <w:noProof/>
            <w:webHidden/>
          </w:rPr>
        </w:r>
        <w:r w:rsidR="003C53A8">
          <w:rPr>
            <w:noProof/>
            <w:webHidden/>
          </w:rPr>
          <w:fldChar w:fldCharType="separate"/>
        </w:r>
        <w:r w:rsidR="00F6061F">
          <w:rPr>
            <w:noProof/>
            <w:webHidden/>
          </w:rPr>
          <w:t>104</w:t>
        </w:r>
        <w:r w:rsidR="003C53A8">
          <w:rPr>
            <w:noProof/>
            <w:webHidden/>
          </w:rPr>
          <w:fldChar w:fldCharType="end"/>
        </w:r>
      </w:hyperlink>
    </w:p>
    <w:p w14:paraId="1EC4279E" w14:textId="572DEAD7" w:rsidR="003C53A8" w:rsidRDefault="0012793B" w:rsidP="003C53A8">
      <w:pPr>
        <w:pStyle w:val="TOC4"/>
        <w:rPr>
          <w:rFonts w:asciiTheme="minorHAnsi" w:eastAsiaTheme="minorEastAsia" w:hAnsiTheme="minorHAnsi" w:cstheme="minorBidi"/>
          <w:noProof/>
          <w:sz w:val="22"/>
          <w:szCs w:val="22"/>
          <w:lang w:val="fr-FR" w:eastAsia="fr-FR"/>
        </w:rPr>
      </w:pPr>
      <w:hyperlink w:anchor="_Toc97800204" w:history="1">
        <w:r w:rsidR="003C53A8" w:rsidRPr="00235D3C">
          <w:rPr>
            <w:rStyle w:val="Hyperlink"/>
            <w:noProof/>
          </w:rPr>
          <w:t>4.4.1.1  Banking</w:t>
        </w:r>
        <w:r w:rsidR="003C53A8">
          <w:rPr>
            <w:noProof/>
            <w:webHidden/>
          </w:rPr>
          <w:tab/>
        </w:r>
        <w:r w:rsidR="003C53A8">
          <w:rPr>
            <w:noProof/>
            <w:webHidden/>
          </w:rPr>
          <w:fldChar w:fldCharType="begin"/>
        </w:r>
        <w:r w:rsidR="003C53A8">
          <w:rPr>
            <w:noProof/>
            <w:webHidden/>
          </w:rPr>
          <w:instrText xml:space="preserve"> PAGEREF _Toc97800204 \h </w:instrText>
        </w:r>
        <w:r w:rsidR="003C53A8">
          <w:rPr>
            <w:noProof/>
            <w:webHidden/>
          </w:rPr>
        </w:r>
        <w:r w:rsidR="003C53A8">
          <w:rPr>
            <w:noProof/>
            <w:webHidden/>
          </w:rPr>
          <w:fldChar w:fldCharType="separate"/>
        </w:r>
        <w:r w:rsidR="00F6061F">
          <w:rPr>
            <w:noProof/>
            <w:webHidden/>
          </w:rPr>
          <w:t>105</w:t>
        </w:r>
        <w:r w:rsidR="003C53A8">
          <w:rPr>
            <w:noProof/>
            <w:webHidden/>
          </w:rPr>
          <w:fldChar w:fldCharType="end"/>
        </w:r>
      </w:hyperlink>
    </w:p>
    <w:p w14:paraId="66308B46" w14:textId="296643DE" w:rsidR="003C53A8" w:rsidRDefault="0012793B" w:rsidP="003C53A8">
      <w:pPr>
        <w:pStyle w:val="TOC4"/>
        <w:rPr>
          <w:rFonts w:asciiTheme="minorHAnsi" w:eastAsiaTheme="minorEastAsia" w:hAnsiTheme="minorHAnsi" w:cstheme="minorBidi"/>
          <w:noProof/>
          <w:sz w:val="22"/>
          <w:szCs w:val="22"/>
          <w:lang w:val="fr-FR" w:eastAsia="fr-FR"/>
        </w:rPr>
      </w:pPr>
      <w:hyperlink w:anchor="_Toc97800205" w:history="1">
        <w:r w:rsidR="003C53A8" w:rsidRPr="00235D3C">
          <w:rPr>
            <w:rStyle w:val="Hyperlink"/>
            <w:noProof/>
          </w:rPr>
          <w:t>4.4.1.2  Insurance</w:t>
        </w:r>
        <w:r w:rsidR="003C53A8">
          <w:rPr>
            <w:noProof/>
            <w:webHidden/>
          </w:rPr>
          <w:tab/>
        </w:r>
        <w:r w:rsidR="003C53A8">
          <w:rPr>
            <w:noProof/>
            <w:webHidden/>
          </w:rPr>
          <w:fldChar w:fldCharType="begin"/>
        </w:r>
        <w:r w:rsidR="003C53A8">
          <w:rPr>
            <w:noProof/>
            <w:webHidden/>
          </w:rPr>
          <w:instrText xml:space="preserve"> PAGEREF _Toc97800205 \h </w:instrText>
        </w:r>
        <w:r w:rsidR="003C53A8">
          <w:rPr>
            <w:noProof/>
            <w:webHidden/>
          </w:rPr>
        </w:r>
        <w:r w:rsidR="003C53A8">
          <w:rPr>
            <w:noProof/>
            <w:webHidden/>
          </w:rPr>
          <w:fldChar w:fldCharType="separate"/>
        </w:r>
        <w:r w:rsidR="00F6061F">
          <w:rPr>
            <w:noProof/>
            <w:webHidden/>
          </w:rPr>
          <w:t>109</w:t>
        </w:r>
        <w:r w:rsidR="003C53A8">
          <w:rPr>
            <w:noProof/>
            <w:webHidden/>
          </w:rPr>
          <w:fldChar w:fldCharType="end"/>
        </w:r>
      </w:hyperlink>
    </w:p>
    <w:p w14:paraId="6F5BE314" w14:textId="298ECBCD" w:rsidR="003C53A8" w:rsidRDefault="0012793B" w:rsidP="003C53A8">
      <w:pPr>
        <w:pStyle w:val="TOC4"/>
        <w:rPr>
          <w:rFonts w:asciiTheme="minorHAnsi" w:eastAsiaTheme="minorEastAsia" w:hAnsiTheme="minorHAnsi" w:cstheme="minorBidi"/>
          <w:noProof/>
          <w:sz w:val="22"/>
          <w:szCs w:val="22"/>
          <w:lang w:val="fr-FR" w:eastAsia="fr-FR"/>
        </w:rPr>
      </w:pPr>
      <w:hyperlink w:anchor="_Toc97800206" w:history="1">
        <w:r w:rsidR="003C53A8" w:rsidRPr="00235D3C">
          <w:rPr>
            <w:rStyle w:val="Hyperlink"/>
            <w:noProof/>
          </w:rPr>
          <w:t>4.4.1.3  Other financial services</w:t>
        </w:r>
        <w:r w:rsidR="003C53A8">
          <w:rPr>
            <w:noProof/>
            <w:webHidden/>
          </w:rPr>
          <w:tab/>
        </w:r>
        <w:r w:rsidR="003C53A8">
          <w:rPr>
            <w:noProof/>
            <w:webHidden/>
          </w:rPr>
          <w:fldChar w:fldCharType="begin"/>
        </w:r>
        <w:r w:rsidR="003C53A8">
          <w:rPr>
            <w:noProof/>
            <w:webHidden/>
          </w:rPr>
          <w:instrText xml:space="preserve"> PAGEREF _Toc97800206 \h </w:instrText>
        </w:r>
        <w:r w:rsidR="003C53A8">
          <w:rPr>
            <w:noProof/>
            <w:webHidden/>
          </w:rPr>
        </w:r>
        <w:r w:rsidR="003C53A8">
          <w:rPr>
            <w:noProof/>
            <w:webHidden/>
          </w:rPr>
          <w:fldChar w:fldCharType="separate"/>
        </w:r>
        <w:r w:rsidR="00F6061F">
          <w:rPr>
            <w:noProof/>
            <w:webHidden/>
          </w:rPr>
          <w:t>110</w:t>
        </w:r>
        <w:r w:rsidR="003C53A8">
          <w:rPr>
            <w:noProof/>
            <w:webHidden/>
          </w:rPr>
          <w:fldChar w:fldCharType="end"/>
        </w:r>
      </w:hyperlink>
    </w:p>
    <w:p w14:paraId="332370A0" w14:textId="4ED509A0" w:rsidR="003C53A8" w:rsidRDefault="0012793B" w:rsidP="003C53A8">
      <w:pPr>
        <w:pStyle w:val="TOC3"/>
        <w:rPr>
          <w:rFonts w:asciiTheme="minorHAnsi" w:eastAsiaTheme="minorEastAsia" w:hAnsiTheme="minorHAnsi" w:cstheme="minorBidi"/>
          <w:noProof/>
          <w:sz w:val="22"/>
          <w:szCs w:val="22"/>
          <w:lang w:val="fr-FR" w:eastAsia="fr-FR"/>
        </w:rPr>
      </w:pPr>
      <w:hyperlink w:anchor="_Toc97800207" w:history="1">
        <w:r w:rsidR="003C53A8" w:rsidRPr="00235D3C">
          <w:rPr>
            <w:rStyle w:val="Hyperlink"/>
            <w:noProof/>
          </w:rPr>
          <w:t>4.4.2  Telecommunications</w:t>
        </w:r>
        <w:r w:rsidR="003C53A8">
          <w:rPr>
            <w:noProof/>
            <w:webHidden/>
          </w:rPr>
          <w:tab/>
        </w:r>
        <w:r w:rsidR="003C53A8">
          <w:rPr>
            <w:noProof/>
            <w:webHidden/>
          </w:rPr>
          <w:fldChar w:fldCharType="begin"/>
        </w:r>
        <w:r w:rsidR="003C53A8">
          <w:rPr>
            <w:noProof/>
            <w:webHidden/>
          </w:rPr>
          <w:instrText xml:space="preserve"> PAGEREF _Toc97800207 \h </w:instrText>
        </w:r>
        <w:r w:rsidR="003C53A8">
          <w:rPr>
            <w:noProof/>
            <w:webHidden/>
          </w:rPr>
        </w:r>
        <w:r w:rsidR="003C53A8">
          <w:rPr>
            <w:noProof/>
            <w:webHidden/>
          </w:rPr>
          <w:fldChar w:fldCharType="separate"/>
        </w:r>
        <w:r w:rsidR="00F6061F">
          <w:rPr>
            <w:noProof/>
            <w:webHidden/>
          </w:rPr>
          <w:t>111</w:t>
        </w:r>
        <w:r w:rsidR="003C53A8">
          <w:rPr>
            <w:noProof/>
            <w:webHidden/>
          </w:rPr>
          <w:fldChar w:fldCharType="end"/>
        </w:r>
      </w:hyperlink>
    </w:p>
    <w:p w14:paraId="71A4756D" w14:textId="2ADCB757" w:rsidR="003C53A8" w:rsidRDefault="0012793B" w:rsidP="003C53A8">
      <w:pPr>
        <w:pStyle w:val="TOC4"/>
        <w:rPr>
          <w:rFonts w:asciiTheme="minorHAnsi" w:eastAsiaTheme="minorEastAsia" w:hAnsiTheme="minorHAnsi" w:cstheme="minorBidi"/>
          <w:noProof/>
          <w:sz w:val="22"/>
          <w:szCs w:val="22"/>
          <w:lang w:val="fr-FR" w:eastAsia="fr-FR"/>
        </w:rPr>
      </w:pPr>
      <w:hyperlink w:anchor="_Toc97800208" w:history="1">
        <w:r w:rsidR="003C53A8" w:rsidRPr="00235D3C">
          <w:rPr>
            <w:rStyle w:val="Hyperlink"/>
            <w:noProof/>
          </w:rPr>
          <w:t>4.4.2.1  General features and market structure</w:t>
        </w:r>
        <w:r w:rsidR="003C53A8">
          <w:rPr>
            <w:noProof/>
            <w:webHidden/>
          </w:rPr>
          <w:tab/>
        </w:r>
        <w:r w:rsidR="003C53A8">
          <w:rPr>
            <w:noProof/>
            <w:webHidden/>
          </w:rPr>
          <w:fldChar w:fldCharType="begin"/>
        </w:r>
        <w:r w:rsidR="003C53A8">
          <w:rPr>
            <w:noProof/>
            <w:webHidden/>
          </w:rPr>
          <w:instrText xml:space="preserve"> PAGEREF _Toc97800208 \h </w:instrText>
        </w:r>
        <w:r w:rsidR="003C53A8">
          <w:rPr>
            <w:noProof/>
            <w:webHidden/>
          </w:rPr>
        </w:r>
        <w:r w:rsidR="003C53A8">
          <w:rPr>
            <w:noProof/>
            <w:webHidden/>
          </w:rPr>
          <w:fldChar w:fldCharType="separate"/>
        </w:r>
        <w:r w:rsidR="00F6061F">
          <w:rPr>
            <w:noProof/>
            <w:webHidden/>
          </w:rPr>
          <w:t>111</w:t>
        </w:r>
        <w:r w:rsidR="003C53A8">
          <w:rPr>
            <w:noProof/>
            <w:webHidden/>
          </w:rPr>
          <w:fldChar w:fldCharType="end"/>
        </w:r>
      </w:hyperlink>
    </w:p>
    <w:p w14:paraId="4D39C57E" w14:textId="5485CD0E" w:rsidR="003C53A8" w:rsidRDefault="0012793B" w:rsidP="003C53A8">
      <w:pPr>
        <w:pStyle w:val="TOC4"/>
        <w:rPr>
          <w:rFonts w:asciiTheme="minorHAnsi" w:eastAsiaTheme="minorEastAsia" w:hAnsiTheme="minorHAnsi" w:cstheme="minorBidi"/>
          <w:noProof/>
          <w:sz w:val="22"/>
          <w:szCs w:val="22"/>
          <w:lang w:val="fr-FR" w:eastAsia="fr-FR"/>
        </w:rPr>
      </w:pPr>
      <w:hyperlink w:anchor="_Toc97800209" w:history="1">
        <w:r w:rsidR="003C53A8" w:rsidRPr="00235D3C">
          <w:rPr>
            <w:rStyle w:val="Hyperlink"/>
            <w:noProof/>
          </w:rPr>
          <w:t>4.4.2.2  Regulatory regime</w:t>
        </w:r>
        <w:r w:rsidR="003C53A8">
          <w:rPr>
            <w:noProof/>
            <w:webHidden/>
          </w:rPr>
          <w:tab/>
        </w:r>
        <w:r w:rsidR="003C53A8">
          <w:rPr>
            <w:noProof/>
            <w:webHidden/>
          </w:rPr>
          <w:fldChar w:fldCharType="begin"/>
        </w:r>
        <w:r w:rsidR="003C53A8">
          <w:rPr>
            <w:noProof/>
            <w:webHidden/>
          </w:rPr>
          <w:instrText xml:space="preserve"> PAGEREF _Toc97800209 \h </w:instrText>
        </w:r>
        <w:r w:rsidR="003C53A8">
          <w:rPr>
            <w:noProof/>
            <w:webHidden/>
          </w:rPr>
        </w:r>
        <w:r w:rsidR="003C53A8">
          <w:rPr>
            <w:noProof/>
            <w:webHidden/>
          </w:rPr>
          <w:fldChar w:fldCharType="separate"/>
        </w:r>
        <w:r w:rsidR="00F6061F">
          <w:rPr>
            <w:noProof/>
            <w:webHidden/>
          </w:rPr>
          <w:t>113</w:t>
        </w:r>
        <w:r w:rsidR="003C53A8">
          <w:rPr>
            <w:noProof/>
            <w:webHidden/>
          </w:rPr>
          <w:fldChar w:fldCharType="end"/>
        </w:r>
      </w:hyperlink>
    </w:p>
    <w:p w14:paraId="3C5A4605" w14:textId="67C708B0" w:rsidR="003C53A8" w:rsidRDefault="0012793B" w:rsidP="003C53A8">
      <w:pPr>
        <w:pStyle w:val="TOC4"/>
        <w:rPr>
          <w:rFonts w:asciiTheme="minorHAnsi" w:eastAsiaTheme="minorEastAsia" w:hAnsiTheme="minorHAnsi" w:cstheme="minorBidi"/>
          <w:noProof/>
          <w:sz w:val="22"/>
          <w:szCs w:val="22"/>
          <w:lang w:val="fr-FR" w:eastAsia="fr-FR"/>
        </w:rPr>
      </w:pPr>
      <w:hyperlink w:anchor="_Toc97800210" w:history="1">
        <w:r w:rsidR="003C53A8" w:rsidRPr="00235D3C">
          <w:rPr>
            <w:rStyle w:val="Hyperlink"/>
            <w:noProof/>
          </w:rPr>
          <w:t>4.4.2.3  Digital inclusion and cybersecurity</w:t>
        </w:r>
        <w:r w:rsidR="003C53A8">
          <w:rPr>
            <w:noProof/>
            <w:webHidden/>
          </w:rPr>
          <w:tab/>
        </w:r>
        <w:r w:rsidR="003C53A8">
          <w:rPr>
            <w:noProof/>
            <w:webHidden/>
          </w:rPr>
          <w:fldChar w:fldCharType="begin"/>
        </w:r>
        <w:r w:rsidR="003C53A8">
          <w:rPr>
            <w:noProof/>
            <w:webHidden/>
          </w:rPr>
          <w:instrText xml:space="preserve"> PAGEREF _Toc97800210 \h </w:instrText>
        </w:r>
        <w:r w:rsidR="003C53A8">
          <w:rPr>
            <w:noProof/>
            <w:webHidden/>
          </w:rPr>
        </w:r>
        <w:r w:rsidR="003C53A8">
          <w:rPr>
            <w:noProof/>
            <w:webHidden/>
          </w:rPr>
          <w:fldChar w:fldCharType="separate"/>
        </w:r>
        <w:r w:rsidR="00F6061F">
          <w:rPr>
            <w:noProof/>
            <w:webHidden/>
          </w:rPr>
          <w:t>114</w:t>
        </w:r>
        <w:r w:rsidR="003C53A8">
          <w:rPr>
            <w:noProof/>
            <w:webHidden/>
          </w:rPr>
          <w:fldChar w:fldCharType="end"/>
        </w:r>
      </w:hyperlink>
    </w:p>
    <w:p w14:paraId="6E3D0016" w14:textId="231F64AC" w:rsidR="003C53A8" w:rsidRDefault="0012793B" w:rsidP="003C53A8">
      <w:pPr>
        <w:pStyle w:val="TOC3"/>
        <w:rPr>
          <w:rFonts w:asciiTheme="minorHAnsi" w:eastAsiaTheme="minorEastAsia" w:hAnsiTheme="minorHAnsi" w:cstheme="minorBidi"/>
          <w:noProof/>
          <w:sz w:val="22"/>
          <w:szCs w:val="22"/>
          <w:lang w:val="fr-FR" w:eastAsia="fr-FR"/>
        </w:rPr>
      </w:pPr>
      <w:hyperlink w:anchor="_Toc97800211" w:history="1">
        <w:r w:rsidR="003C53A8" w:rsidRPr="00235D3C">
          <w:rPr>
            <w:rStyle w:val="Hyperlink"/>
            <w:noProof/>
          </w:rPr>
          <w:t>4.4.3  Transport services</w:t>
        </w:r>
        <w:r w:rsidR="003C53A8">
          <w:rPr>
            <w:noProof/>
            <w:webHidden/>
          </w:rPr>
          <w:tab/>
        </w:r>
        <w:r w:rsidR="003C53A8">
          <w:rPr>
            <w:noProof/>
            <w:webHidden/>
          </w:rPr>
          <w:fldChar w:fldCharType="begin"/>
        </w:r>
        <w:r w:rsidR="003C53A8">
          <w:rPr>
            <w:noProof/>
            <w:webHidden/>
          </w:rPr>
          <w:instrText xml:space="preserve"> PAGEREF _Toc97800211 \h </w:instrText>
        </w:r>
        <w:r w:rsidR="003C53A8">
          <w:rPr>
            <w:noProof/>
            <w:webHidden/>
          </w:rPr>
        </w:r>
        <w:r w:rsidR="003C53A8">
          <w:rPr>
            <w:noProof/>
            <w:webHidden/>
          </w:rPr>
          <w:fldChar w:fldCharType="separate"/>
        </w:r>
        <w:r w:rsidR="00F6061F">
          <w:rPr>
            <w:noProof/>
            <w:webHidden/>
          </w:rPr>
          <w:t>116</w:t>
        </w:r>
        <w:r w:rsidR="003C53A8">
          <w:rPr>
            <w:noProof/>
            <w:webHidden/>
          </w:rPr>
          <w:fldChar w:fldCharType="end"/>
        </w:r>
      </w:hyperlink>
    </w:p>
    <w:p w14:paraId="353936C4" w14:textId="4BDDC9B7" w:rsidR="003C53A8" w:rsidRDefault="0012793B" w:rsidP="003C53A8">
      <w:pPr>
        <w:pStyle w:val="TOC4"/>
        <w:rPr>
          <w:rFonts w:asciiTheme="minorHAnsi" w:eastAsiaTheme="minorEastAsia" w:hAnsiTheme="minorHAnsi" w:cstheme="minorBidi"/>
          <w:noProof/>
          <w:sz w:val="22"/>
          <w:szCs w:val="22"/>
          <w:lang w:val="fr-FR" w:eastAsia="fr-FR"/>
        </w:rPr>
      </w:pPr>
      <w:hyperlink w:anchor="_Toc97800212" w:history="1">
        <w:r w:rsidR="003C53A8" w:rsidRPr="00235D3C">
          <w:rPr>
            <w:rStyle w:val="Hyperlink"/>
            <w:noProof/>
          </w:rPr>
          <w:t>4.4.3.1  Overview</w:t>
        </w:r>
        <w:r w:rsidR="003C53A8">
          <w:rPr>
            <w:noProof/>
            <w:webHidden/>
          </w:rPr>
          <w:tab/>
        </w:r>
        <w:r w:rsidR="003C53A8">
          <w:rPr>
            <w:noProof/>
            <w:webHidden/>
          </w:rPr>
          <w:fldChar w:fldCharType="begin"/>
        </w:r>
        <w:r w:rsidR="003C53A8">
          <w:rPr>
            <w:noProof/>
            <w:webHidden/>
          </w:rPr>
          <w:instrText xml:space="preserve"> PAGEREF _Toc97800212 \h </w:instrText>
        </w:r>
        <w:r w:rsidR="003C53A8">
          <w:rPr>
            <w:noProof/>
            <w:webHidden/>
          </w:rPr>
        </w:r>
        <w:r w:rsidR="003C53A8">
          <w:rPr>
            <w:noProof/>
            <w:webHidden/>
          </w:rPr>
          <w:fldChar w:fldCharType="separate"/>
        </w:r>
        <w:r w:rsidR="00F6061F">
          <w:rPr>
            <w:noProof/>
            <w:webHidden/>
          </w:rPr>
          <w:t>116</w:t>
        </w:r>
        <w:r w:rsidR="003C53A8">
          <w:rPr>
            <w:noProof/>
            <w:webHidden/>
          </w:rPr>
          <w:fldChar w:fldCharType="end"/>
        </w:r>
      </w:hyperlink>
    </w:p>
    <w:p w14:paraId="6EF6D0E5" w14:textId="17FCE0A7" w:rsidR="003C53A8" w:rsidRDefault="0012793B" w:rsidP="003C53A8">
      <w:pPr>
        <w:pStyle w:val="TOC4"/>
        <w:rPr>
          <w:rFonts w:asciiTheme="minorHAnsi" w:eastAsiaTheme="minorEastAsia" w:hAnsiTheme="minorHAnsi" w:cstheme="minorBidi"/>
          <w:noProof/>
          <w:sz w:val="22"/>
          <w:szCs w:val="22"/>
          <w:lang w:val="fr-FR" w:eastAsia="fr-FR"/>
        </w:rPr>
      </w:pPr>
      <w:hyperlink w:anchor="_Toc97800213" w:history="1">
        <w:r w:rsidR="003C53A8" w:rsidRPr="00235D3C">
          <w:rPr>
            <w:rStyle w:val="Hyperlink"/>
            <w:noProof/>
          </w:rPr>
          <w:t>4.4.3.2  Air transport</w:t>
        </w:r>
        <w:r w:rsidR="003C53A8">
          <w:rPr>
            <w:noProof/>
            <w:webHidden/>
          </w:rPr>
          <w:tab/>
        </w:r>
        <w:r w:rsidR="003C53A8">
          <w:rPr>
            <w:noProof/>
            <w:webHidden/>
          </w:rPr>
          <w:fldChar w:fldCharType="begin"/>
        </w:r>
        <w:r w:rsidR="003C53A8">
          <w:rPr>
            <w:noProof/>
            <w:webHidden/>
          </w:rPr>
          <w:instrText xml:space="preserve"> PAGEREF _Toc97800213 \h </w:instrText>
        </w:r>
        <w:r w:rsidR="003C53A8">
          <w:rPr>
            <w:noProof/>
            <w:webHidden/>
          </w:rPr>
        </w:r>
        <w:r w:rsidR="003C53A8">
          <w:rPr>
            <w:noProof/>
            <w:webHidden/>
          </w:rPr>
          <w:fldChar w:fldCharType="separate"/>
        </w:r>
        <w:r w:rsidR="00F6061F">
          <w:rPr>
            <w:noProof/>
            <w:webHidden/>
          </w:rPr>
          <w:t>117</w:t>
        </w:r>
        <w:r w:rsidR="003C53A8">
          <w:rPr>
            <w:noProof/>
            <w:webHidden/>
          </w:rPr>
          <w:fldChar w:fldCharType="end"/>
        </w:r>
      </w:hyperlink>
    </w:p>
    <w:p w14:paraId="0DB8DD47" w14:textId="112C87D6" w:rsidR="003C53A8" w:rsidRDefault="0012793B" w:rsidP="003C53A8">
      <w:pPr>
        <w:pStyle w:val="TOC4"/>
        <w:rPr>
          <w:rFonts w:asciiTheme="minorHAnsi" w:eastAsiaTheme="minorEastAsia" w:hAnsiTheme="minorHAnsi" w:cstheme="minorBidi"/>
          <w:noProof/>
          <w:sz w:val="22"/>
          <w:szCs w:val="22"/>
          <w:lang w:val="fr-FR" w:eastAsia="fr-FR"/>
        </w:rPr>
      </w:pPr>
      <w:hyperlink w:anchor="_Toc97800214" w:history="1">
        <w:r w:rsidR="003C53A8" w:rsidRPr="00235D3C">
          <w:rPr>
            <w:rStyle w:val="Hyperlink"/>
            <w:noProof/>
          </w:rPr>
          <w:t>4.4.3.3  Maritime transport</w:t>
        </w:r>
        <w:r w:rsidR="003C53A8">
          <w:rPr>
            <w:noProof/>
            <w:webHidden/>
          </w:rPr>
          <w:tab/>
        </w:r>
        <w:r w:rsidR="003C53A8">
          <w:rPr>
            <w:noProof/>
            <w:webHidden/>
          </w:rPr>
          <w:fldChar w:fldCharType="begin"/>
        </w:r>
        <w:r w:rsidR="003C53A8">
          <w:rPr>
            <w:noProof/>
            <w:webHidden/>
          </w:rPr>
          <w:instrText xml:space="preserve"> PAGEREF _Toc97800214 \h </w:instrText>
        </w:r>
        <w:r w:rsidR="003C53A8">
          <w:rPr>
            <w:noProof/>
            <w:webHidden/>
          </w:rPr>
        </w:r>
        <w:r w:rsidR="003C53A8">
          <w:rPr>
            <w:noProof/>
            <w:webHidden/>
          </w:rPr>
          <w:fldChar w:fldCharType="separate"/>
        </w:r>
        <w:r w:rsidR="00F6061F">
          <w:rPr>
            <w:noProof/>
            <w:webHidden/>
          </w:rPr>
          <w:t>119</w:t>
        </w:r>
        <w:r w:rsidR="003C53A8">
          <w:rPr>
            <w:noProof/>
            <w:webHidden/>
          </w:rPr>
          <w:fldChar w:fldCharType="end"/>
        </w:r>
      </w:hyperlink>
    </w:p>
    <w:p w14:paraId="080D987B" w14:textId="1FD2F266" w:rsidR="003C53A8" w:rsidRDefault="0012793B" w:rsidP="003C53A8">
      <w:pPr>
        <w:pStyle w:val="TOC3"/>
        <w:rPr>
          <w:rFonts w:asciiTheme="minorHAnsi" w:eastAsiaTheme="minorEastAsia" w:hAnsiTheme="minorHAnsi" w:cstheme="minorBidi"/>
          <w:noProof/>
          <w:sz w:val="22"/>
          <w:szCs w:val="22"/>
          <w:lang w:val="fr-FR" w:eastAsia="fr-FR"/>
        </w:rPr>
      </w:pPr>
      <w:hyperlink w:anchor="_Toc97800215" w:history="1">
        <w:r w:rsidR="003C53A8" w:rsidRPr="00235D3C">
          <w:rPr>
            <w:rStyle w:val="Hyperlink"/>
            <w:noProof/>
          </w:rPr>
          <w:t>4.4.4  Tourism</w:t>
        </w:r>
        <w:r w:rsidR="003C53A8">
          <w:rPr>
            <w:noProof/>
            <w:webHidden/>
          </w:rPr>
          <w:tab/>
        </w:r>
        <w:r w:rsidR="003C53A8">
          <w:rPr>
            <w:noProof/>
            <w:webHidden/>
          </w:rPr>
          <w:fldChar w:fldCharType="begin"/>
        </w:r>
        <w:r w:rsidR="003C53A8">
          <w:rPr>
            <w:noProof/>
            <w:webHidden/>
          </w:rPr>
          <w:instrText xml:space="preserve"> PAGEREF _Toc97800215 \h </w:instrText>
        </w:r>
        <w:r w:rsidR="003C53A8">
          <w:rPr>
            <w:noProof/>
            <w:webHidden/>
          </w:rPr>
        </w:r>
        <w:r w:rsidR="003C53A8">
          <w:rPr>
            <w:noProof/>
            <w:webHidden/>
          </w:rPr>
          <w:fldChar w:fldCharType="separate"/>
        </w:r>
        <w:r w:rsidR="00F6061F">
          <w:rPr>
            <w:noProof/>
            <w:webHidden/>
          </w:rPr>
          <w:t>120</w:t>
        </w:r>
        <w:r w:rsidR="003C53A8">
          <w:rPr>
            <w:noProof/>
            <w:webHidden/>
          </w:rPr>
          <w:fldChar w:fldCharType="end"/>
        </w:r>
      </w:hyperlink>
    </w:p>
    <w:p w14:paraId="0C9F5631" w14:textId="7A17B7F2" w:rsidR="003C53A8" w:rsidRDefault="0012793B" w:rsidP="003C53A8">
      <w:pPr>
        <w:pStyle w:val="TOC1"/>
        <w:spacing w:before="120"/>
        <w:rPr>
          <w:rFonts w:asciiTheme="minorHAnsi" w:eastAsiaTheme="minorEastAsia" w:hAnsiTheme="minorHAnsi" w:cstheme="minorBidi"/>
          <w:b w:val="0"/>
          <w:caps w:val="0"/>
          <w:noProof/>
          <w:sz w:val="22"/>
          <w:szCs w:val="22"/>
          <w:lang w:val="fr-FR" w:eastAsia="fr-FR"/>
        </w:rPr>
      </w:pPr>
      <w:hyperlink w:anchor="_Toc97800216" w:history="1">
        <w:r w:rsidR="003C53A8" w:rsidRPr="00235D3C">
          <w:rPr>
            <w:rStyle w:val="Hyperlink"/>
            <w:noProof/>
          </w:rPr>
          <w:t>5  APPENDIX TABLES</w:t>
        </w:r>
        <w:r w:rsidR="003C53A8">
          <w:rPr>
            <w:noProof/>
            <w:webHidden/>
          </w:rPr>
          <w:tab/>
        </w:r>
        <w:r w:rsidR="003C53A8">
          <w:rPr>
            <w:noProof/>
            <w:webHidden/>
          </w:rPr>
          <w:fldChar w:fldCharType="begin"/>
        </w:r>
        <w:r w:rsidR="003C53A8">
          <w:rPr>
            <w:noProof/>
            <w:webHidden/>
          </w:rPr>
          <w:instrText xml:space="preserve"> PAGEREF _Toc97800216 \h </w:instrText>
        </w:r>
        <w:r w:rsidR="003C53A8">
          <w:rPr>
            <w:noProof/>
            <w:webHidden/>
          </w:rPr>
        </w:r>
        <w:r w:rsidR="003C53A8">
          <w:rPr>
            <w:noProof/>
            <w:webHidden/>
          </w:rPr>
          <w:fldChar w:fldCharType="separate"/>
        </w:r>
        <w:r w:rsidR="00F6061F">
          <w:rPr>
            <w:noProof/>
            <w:webHidden/>
          </w:rPr>
          <w:t>123</w:t>
        </w:r>
        <w:r w:rsidR="003C53A8">
          <w:rPr>
            <w:noProof/>
            <w:webHidden/>
          </w:rPr>
          <w:fldChar w:fldCharType="end"/>
        </w:r>
      </w:hyperlink>
    </w:p>
    <w:p w14:paraId="52E42610" w14:textId="57BA4F6B" w:rsidR="00120717" w:rsidRPr="00B93EE1" w:rsidRDefault="00120717" w:rsidP="003C53A8">
      <w:pPr>
        <w:spacing w:before="120" w:after="120"/>
      </w:pPr>
      <w:r w:rsidRPr="00B93EE1">
        <w:fldChar w:fldCharType="end"/>
      </w:r>
    </w:p>
    <w:p w14:paraId="159512E6" w14:textId="77777777" w:rsidR="00120717" w:rsidRPr="00B93EE1" w:rsidRDefault="00120717" w:rsidP="00732A15">
      <w:pPr>
        <w:pStyle w:val="TOCHeading"/>
        <w:spacing w:before="120" w:after="120"/>
      </w:pPr>
      <w:r w:rsidRPr="00B93EE1">
        <w:t>CHARTS</w:t>
      </w:r>
    </w:p>
    <w:p w14:paraId="1302C84A" w14:textId="77777777" w:rsidR="00120717" w:rsidRPr="00B93EE1" w:rsidRDefault="00120717" w:rsidP="00732A15">
      <w:pPr>
        <w:spacing w:before="120" w:after="120"/>
      </w:pPr>
    </w:p>
    <w:p w14:paraId="2362A46A" w14:textId="0444870C" w:rsidR="00E724E6" w:rsidRDefault="00120717" w:rsidP="00732A15">
      <w:pPr>
        <w:pStyle w:val="TableofFigures"/>
        <w:rPr>
          <w:rFonts w:asciiTheme="minorHAnsi" w:eastAsiaTheme="minorEastAsia" w:hAnsiTheme="minorHAnsi" w:cstheme="minorBidi"/>
          <w:noProof/>
          <w:sz w:val="22"/>
          <w:szCs w:val="22"/>
        </w:rPr>
      </w:pPr>
      <w:r w:rsidRPr="00B93EE1">
        <w:fldChar w:fldCharType="begin"/>
      </w:r>
      <w:r w:rsidRPr="00B93EE1">
        <w:instrText xml:space="preserve"> TOC \h \z \c "Chart" </w:instrText>
      </w:r>
      <w:r w:rsidRPr="00B93EE1">
        <w:fldChar w:fldCharType="separate"/>
      </w:r>
      <w:hyperlink w:anchor="_Toc97792506" w:history="1">
        <w:r w:rsidR="00E724E6" w:rsidRPr="00570B4F">
          <w:rPr>
            <w:rStyle w:val="Hyperlink"/>
            <w:noProof/>
          </w:rPr>
          <w:t>Chart 1.1 GDP by economic activity (at basic current prices), 2019/20</w:t>
        </w:r>
        <w:r w:rsidR="00E724E6">
          <w:rPr>
            <w:noProof/>
            <w:webHidden/>
          </w:rPr>
          <w:tab/>
        </w:r>
        <w:r w:rsidR="00E724E6">
          <w:rPr>
            <w:noProof/>
            <w:webHidden/>
          </w:rPr>
          <w:fldChar w:fldCharType="begin"/>
        </w:r>
        <w:r w:rsidR="00E724E6">
          <w:rPr>
            <w:noProof/>
            <w:webHidden/>
          </w:rPr>
          <w:instrText xml:space="preserve"> PAGEREF _Toc97792506 \h </w:instrText>
        </w:r>
        <w:r w:rsidR="00E724E6">
          <w:rPr>
            <w:noProof/>
            <w:webHidden/>
          </w:rPr>
        </w:r>
        <w:r w:rsidR="00E724E6">
          <w:rPr>
            <w:noProof/>
            <w:webHidden/>
          </w:rPr>
          <w:fldChar w:fldCharType="separate"/>
        </w:r>
        <w:r w:rsidR="00F6061F">
          <w:rPr>
            <w:noProof/>
            <w:webHidden/>
          </w:rPr>
          <w:t>12</w:t>
        </w:r>
        <w:r w:rsidR="00E724E6">
          <w:rPr>
            <w:noProof/>
            <w:webHidden/>
          </w:rPr>
          <w:fldChar w:fldCharType="end"/>
        </w:r>
      </w:hyperlink>
    </w:p>
    <w:p w14:paraId="1A4A2E2F" w14:textId="2CE684B4" w:rsidR="00E724E6" w:rsidRDefault="0012793B" w:rsidP="00732A15">
      <w:pPr>
        <w:pStyle w:val="TableofFigures"/>
        <w:rPr>
          <w:rFonts w:asciiTheme="minorHAnsi" w:eastAsiaTheme="minorEastAsia" w:hAnsiTheme="minorHAnsi" w:cstheme="minorBidi"/>
          <w:noProof/>
          <w:sz w:val="22"/>
          <w:szCs w:val="22"/>
        </w:rPr>
      </w:pPr>
      <w:hyperlink w:anchor="_Toc97792507" w:history="1">
        <w:r w:rsidR="00E724E6" w:rsidRPr="00570B4F">
          <w:rPr>
            <w:rStyle w:val="Hyperlink"/>
            <w:noProof/>
          </w:rPr>
          <w:t>Chart 1.2 Exchange rates, January 2015-December 2021</w:t>
        </w:r>
        <w:r w:rsidR="00E724E6">
          <w:rPr>
            <w:noProof/>
            <w:webHidden/>
          </w:rPr>
          <w:tab/>
        </w:r>
        <w:r w:rsidR="00E724E6">
          <w:rPr>
            <w:noProof/>
            <w:webHidden/>
          </w:rPr>
          <w:fldChar w:fldCharType="begin"/>
        </w:r>
        <w:r w:rsidR="00E724E6">
          <w:rPr>
            <w:noProof/>
            <w:webHidden/>
          </w:rPr>
          <w:instrText xml:space="preserve"> PAGEREF _Toc97792507 \h </w:instrText>
        </w:r>
        <w:r w:rsidR="00E724E6">
          <w:rPr>
            <w:noProof/>
            <w:webHidden/>
          </w:rPr>
        </w:r>
        <w:r w:rsidR="00E724E6">
          <w:rPr>
            <w:noProof/>
            <w:webHidden/>
          </w:rPr>
          <w:fldChar w:fldCharType="separate"/>
        </w:r>
        <w:r w:rsidR="00F6061F">
          <w:rPr>
            <w:noProof/>
            <w:webHidden/>
          </w:rPr>
          <w:t>17</w:t>
        </w:r>
        <w:r w:rsidR="00E724E6">
          <w:rPr>
            <w:noProof/>
            <w:webHidden/>
          </w:rPr>
          <w:fldChar w:fldCharType="end"/>
        </w:r>
      </w:hyperlink>
    </w:p>
    <w:p w14:paraId="2ADA72FA" w14:textId="6D95B320" w:rsidR="00E724E6" w:rsidRDefault="0012793B" w:rsidP="00732A15">
      <w:pPr>
        <w:pStyle w:val="TableofFigures"/>
        <w:rPr>
          <w:rFonts w:asciiTheme="minorHAnsi" w:eastAsiaTheme="minorEastAsia" w:hAnsiTheme="minorHAnsi" w:cstheme="minorBidi"/>
          <w:noProof/>
          <w:sz w:val="22"/>
          <w:szCs w:val="22"/>
        </w:rPr>
      </w:pPr>
      <w:hyperlink w:anchor="_Toc97792508" w:history="1">
        <w:r w:rsidR="00E724E6" w:rsidRPr="00570B4F">
          <w:rPr>
            <w:rStyle w:val="Hyperlink"/>
            <w:noProof/>
          </w:rPr>
          <w:t>Chart 1.3 Product composition of merchandise trade by main HS section, 2015 and 2021</w:t>
        </w:r>
        <w:r w:rsidR="00E724E6">
          <w:rPr>
            <w:noProof/>
            <w:webHidden/>
          </w:rPr>
          <w:tab/>
        </w:r>
        <w:r w:rsidR="00E724E6">
          <w:rPr>
            <w:noProof/>
            <w:webHidden/>
          </w:rPr>
          <w:fldChar w:fldCharType="begin"/>
        </w:r>
        <w:r w:rsidR="00E724E6">
          <w:rPr>
            <w:noProof/>
            <w:webHidden/>
          </w:rPr>
          <w:instrText xml:space="preserve"> PAGEREF _Toc97792508 \h </w:instrText>
        </w:r>
        <w:r w:rsidR="00E724E6">
          <w:rPr>
            <w:noProof/>
            <w:webHidden/>
          </w:rPr>
        </w:r>
        <w:r w:rsidR="00E724E6">
          <w:rPr>
            <w:noProof/>
            <w:webHidden/>
          </w:rPr>
          <w:fldChar w:fldCharType="separate"/>
        </w:r>
        <w:r w:rsidR="00F6061F">
          <w:rPr>
            <w:noProof/>
            <w:webHidden/>
          </w:rPr>
          <w:t>20</w:t>
        </w:r>
        <w:r w:rsidR="00E724E6">
          <w:rPr>
            <w:noProof/>
            <w:webHidden/>
          </w:rPr>
          <w:fldChar w:fldCharType="end"/>
        </w:r>
      </w:hyperlink>
    </w:p>
    <w:p w14:paraId="1979B99D" w14:textId="2DB3DDF9" w:rsidR="00E724E6" w:rsidRDefault="0012793B" w:rsidP="00732A15">
      <w:pPr>
        <w:pStyle w:val="TableofFigures"/>
        <w:rPr>
          <w:rFonts w:asciiTheme="minorHAnsi" w:eastAsiaTheme="minorEastAsia" w:hAnsiTheme="minorHAnsi" w:cstheme="minorBidi"/>
          <w:noProof/>
          <w:sz w:val="22"/>
          <w:szCs w:val="22"/>
        </w:rPr>
      </w:pPr>
      <w:hyperlink w:anchor="_Toc97792509" w:history="1">
        <w:r w:rsidR="00E724E6" w:rsidRPr="00570B4F">
          <w:rPr>
            <w:rStyle w:val="Hyperlink"/>
            <w:noProof/>
          </w:rPr>
          <w:t>Chart 1.4 Direction of merchandise trade, 2015 and 2021</w:t>
        </w:r>
        <w:r w:rsidR="00E724E6">
          <w:rPr>
            <w:noProof/>
            <w:webHidden/>
          </w:rPr>
          <w:tab/>
        </w:r>
        <w:r w:rsidR="00E724E6">
          <w:rPr>
            <w:noProof/>
            <w:webHidden/>
          </w:rPr>
          <w:fldChar w:fldCharType="begin"/>
        </w:r>
        <w:r w:rsidR="00E724E6">
          <w:rPr>
            <w:noProof/>
            <w:webHidden/>
          </w:rPr>
          <w:instrText xml:space="preserve"> PAGEREF _Toc97792509 \h </w:instrText>
        </w:r>
        <w:r w:rsidR="00E724E6">
          <w:rPr>
            <w:noProof/>
            <w:webHidden/>
          </w:rPr>
        </w:r>
        <w:r w:rsidR="00E724E6">
          <w:rPr>
            <w:noProof/>
            <w:webHidden/>
          </w:rPr>
          <w:fldChar w:fldCharType="separate"/>
        </w:r>
        <w:r w:rsidR="00F6061F">
          <w:rPr>
            <w:noProof/>
            <w:webHidden/>
          </w:rPr>
          <w:t>21</w:t>
        </w:r>
        <w:r w:rsidR="00E724E6">
          <w:rPr>
            <w:noProof/>
            <w:webHidden/>
          </w:rPr>
          <w:fldChar w:fldCharType="end"/>
        </w:r>
      </w:hyperlink>
    </w:p>
    <w:p w14:paraId="6DD278E0" w14:textId="0C3EA1B0" w:rsidR="00E724E6" w:rsidRDefault="0012793B" w:rsidP="00732A15">
      <w:pPr>
        <w:pStyle w:val="TableofFigures"/>
        <w:rPr>
          <w:rFonts w:asciiTheme="minorHAnsi" w:eastAsiaTheme="minorEastAsia" w:hAnsiTheme="minorHAnsi" w:cstheme="minorBidi"/>
          <w:noProof/>
          <w:sz w:val="22"/>
          <w:szCs w:val="22"/>
        </w:rPr>
      </w:pPr>
      <w:hyperlink w:anchor="_Toc97792510" w:history="1">
        <w:r w:rsidR="00E724E6" w:rsidRPr="00570B4F">
          <w:rPr>
            <w:rStyle w:val="Hyperlink"/>
            <w:noProof/>
          </w:rPr>
          <w:t>Chart 3.1 Distribution of MFN applied tariff rates, 2014 and 2021</w:t>
        </w:r>
        <w:r w:rsidR="00E724E6">
          <w:rPr>
            <w:noProof/>
            <w:webHidden/>
          </w:rPr>
          <w:tab/>
        </w:r>
        <w:r w:rsidR="00E724E6">
          <w:rPr>
            <w:noProof/>
            <w:webHidden/>
          </w:rPr>
          <w:fldChar w:fldCharType="begin"/>
        </w:r>
        <w:r w:rsidR="00E724E6">
          <w:rPr>
            <w:noProof/>
            <w:webHidden/>
          </w:rPr>
          <w:instrText xml:space="preserve"> PAGEREF _Toc97792510 \h </w:instrText>
        </w:r>
        <w:r w:rsidR="00E724E6">
          <w:rPr>
            <w:noProof/>
            <w:webHidden/>
          </w:rPr>
        </w:r>
        <w:r w:rsidR="00E724E6">
          <w:rPr>
            <w:noProof/>
            <w:webHidden/>
          </w:rPr>
          <w:fldChar w:fldCharType="separate"/>
        </w:r>
        <w:r w:rsidR="00F6061F">
          <w:rPr>
            <w:noProof/>
            <w:webHidden/>
          </w:rPr>
          <w:t>44</w:t>
        </w:r>
        <w:r w:rsidR="00E724E6">
          <w:rPr>
            <w:noProof/>
            <w:webHidden/>
          </w:rPr>
          <w:fldChar w:fldCharType="end"/>
        </w:r>
      </w:hyperlink>
    </w:p>
    <w:p w14:paraId="3E741619" w14:textId="6E59A1BC" w:rsidR="00E724E6" w:rsidRDefault="0012793B" w:rsidP="00732A15">
      <w:pPr>
        <w:pStyle w:val="TableofFigures"/>
        <w:rPr>
          <w:rFonts w:asciiTheme="minorHAnsi" w:eastAsiaTheme="minorEastAsia" w:hAnsiTheme="minorHAnsi" w:cstheme="minorBidi"/>
          <w:noProof/>
          <w:sz w:val="22"/>
          <w:szCs w:val="22"/>
        </w:rPr>
      </w:pPr>
      <w:hyperlink w:anchor="_Toc97792511" w:history="1">
        <w:r w:rsidR="00E724E6" w:rsidRPr="00570B4F">
          <w:rPr>
            <w:rStyle w:val="Hyperlink"/>
            <w:noProof/>
          </w:rPr>
          <w:t>Chart 3.2 Average applied MFN and bound tariff rates, by HS section, 2014 and 2021</w:t>
        </w:r>
        <w:r w:rsidR="00E724E6">
          <w:rPr>
            <w:noProof/>
            <w:webHidden/>
          </w:rPr>
          <w:tab/>
        </w:r>
        <w:r w:rsidR="00E724E6">
          <w:rPr>
            <w:noProof/>
            <w:webHidden/>
          </w:rPr>
          <w:fldChar w:fldCharType="begin"/>
        </w:r>
        <w:r w:rsidR="00E724E6">
          <w:rPr>
            <w:noProof/>
            <w:webHidden/>
          </w:rPr>
          <w:instrText xml:space="preserve"> PAGEREF _Toc97792511 \h </w:instrText>
        </w:r>
        <w:r w:rsidR="00E724E6">
          <w:rPr>
            <w:noProof/>
            <w:webHidden/>
          </w:rPr>
        </w:r>
        <w:r w:rsidR="00E724E6">
          <w:rPr>
            <w:noProof/>
            <w:webHidden/>
          </w:rPr>
          <w:fldChar w:fldCharType="separate"/>
        </w:r>
        <w:r w:rsidR="00F6061F">
          <w:rPr>
            <w:noProof/>
            <w:webHidden/>
          </w:rPr>
          <w:t>45</w:t>
        </w:r>
        <w:r w:rsidR="00E724E6">
          <w:rPr>
            <w:noProof/>
            <w:webHidden/>
          </w:rPr>
          <w:fldChar w:fldCharType="end"/>
        </w:r>
      </w:hyperlink>
    </w:p>
    <w:p w14:paraId="06808624" w14:textId="3F01DB85" w:rsidR="00E724E6" w:rsidRDefault="0012793B" w:rsidP="00732A15">
      <w:pPr>
        <w:pStyle w:val="TableofFigures"/>
        <w:rPr>
          <w:rFonts w:asciiTheme="minorHAnsi" w:eastAsiaTheme="minorEastAsia" w:hAnsiTheme="minorHAnsi" w:cstheme="minorBidi"/>
          <w:noProof/>
          <w:sz w:val="22"/>
          <w:szCs w:val="22"/>
        </w:rPr>
      </w:pPr>
      <w:hyperlink w:anchor="_Toc97792512" w:history="1">
        <w:r w:rsidR="00E724E6" w:rsidRPr="00570B4F">
          <w:rPr>
            <w:rStyle w:val="Hyperlink"/>
            <w:noProof/>
          </w:rPr>
          <w:t>Chart 3.3 Tariff escalation by 2-digit ISIC industry, 2021</w:t>
        </w:r>
        <w:r w:rsidR="00E724E6">
          <w:rPr>
            <w:noProof/>
            <w:webHidden/>
          </w:rPr>
          <w:tab/>
        </w:r>
        <w:r w:rsidR="00E724E6">
          <w:rPr>
            <w:noProof/>
            <w:webHidden/>
          </w:rPr>
          <w:fldChar w:fldCharType="begin"/>
        </w:r>
        <w:r w:rsidR="00E724E6">
          <w:rPr>
            <w:noProof/>
            <w:webHidden/>
          </w:rPr>
          <w:instrText xml:space="preserve"> PAGEREF _Toc97792512 \h </w:instrText>
        </w:r>
        <w:r w:rsidR="00E724E6">
          <w:rPr>
            <w:noProof/>
            <w:webHidden/>
          </w:rPr>
        </w:r>
        <w:r w:rsidR="00E724E6">
          <w:rPr>
            <w:noProof/>
            <w:webHidden/>
          </w:rPr>
          <w:fldChar w:fldCharType="separate"/>
        </w:r>
        <w:r w:rsidR="00F6061F">
          <w:rPr>
            <w:noProof/>
            <w:webHidden/>
          </w:rPr>
          <w:t>45</w:t>
        </w:r>
        <w:r w:rsidR="00E724E6">
          <w:rPr>
            <w:noProof/>
            <w:webHidden/>
          </w:rPr>
          <w:fldChar w:fldCharType="end"/>
        </w:r>
      </w:hyperlink>
    </w:p>
    <w:p w14:paraId="0BA6CA61" w14:textId="172E83C0" w:rsidR="00E724E6" w:rsidRDefault="0012793B" w:rsidP="00732A15">
      <w:pPr>
        <w:pStyle w:val="TableofFigures"/>
        <w:rPr>
          <w:rFonts w:asciiTheme="minorHAnsi" w:eastAsiaTheme="minorEastAsia" w:hAnsiTheme="minorHAnsi" w:cstheme="minorBidi"/>
          <w:noProof/>
          <w:sz w:val="22"/>
          <w:szCs w:val="22"/>
        </w:rPr>
      </w:pPr>
      <w:hyperlink w:anchor="_Toc97792513" w:history="1">
        <w:r w:rsidR="00E724E6" w:rsidRPr="00570B4F">
          <w:rPr>
            <w:rStyle w:val="Hyperlink"/>
            <w:noProof/>
          </w:rPr>
          <w:t>Chart 3.4 Charges for the use of intellectual property, n.i.e., 2015-20</w:t>
        </w:r>
        <w:r w:rsidR="00E724E6">
          <w:rPr>
            <w:noProof/>
            <w:webHidden/>
          </w:rPr>
          <w:tab/>
        </w:r>
        <w:r w:rsidR="00E724E6">
          <w:rPr>
            <w:noProof/>
            <w:webHidden/>
          </w:rPr>
          <w:fldChar w:fldCharType="begin"/>
        </w:r>
        <w:r w:rsidR="00E724E6">
          <w:rPr>
            <w:noProof/>
            <w:webHidden/>
          </w:rPr>
          <w:instrText xml:space="preserve"> PAGEREF _Toc97792513 \h </w:instrText>
        </w:r>
        <w:r w:rsidR="00E724E6">
          <w:rPr>
            <w:noProof/>
            <w:webHidden/>
          </w:rPr>
        </w:r>
        <w:r w:rsidR="00E724E6">
          <w:rPr>
            <w:noProof/>
            <w:webHidden/>
          </w:rPr>
          <w:fldChar w:fldCharType="separate"/>
        </w:r>
        <w:r w:rsidR="00F6061F">
          <w:rPr>
            <w:noProof/>
            <w:webHidden/>
          </w:rPr>
          <w:t>79</w:t>
        </w:r>
        <w:r w:rsidR="00E724E6">
          <w:rPr>
            <w:noProof/>
            <w:webHidden/>
          </w:rPr>
          <w:fldChar w:fldCharType="end"/>
        </w:r>
      </w:hyperlink>
    </w:p>
    <w:p w14:paraId="6CCA8457" w14:textId="18AEA0AA" w:rsidR="00120717" w:rsidRPr="00B93EE1" w:rsidRDefault="00120717" w:rsidP="00732A15">
      <w:pPr>
        <w:spacing w:before="120" w:after="120"/>
        <w:ind w:right="-46"/>
      </w:pPr>
      <w:r w:rsidRPr="00B93EE1">
        <w:rPr>
          <w:b/>
          <w:bCs/>
        </w:rPr>
        <w:fldChar w:fldCharType="end"/>
      </w:r>
    </w:p>
    <w:p w14:paraId="3043E60F" w14:textId="77777777" w:rsidR="00120717" w:rsidRPr="00B93EE1" w:rsidRDefault="00120717" w:rsidP="003C53A8">
      <w:pPr>
        <w:pStyle w:val="TOCHeading"/>
        <w:keepNext/>
        <w:spacing w:before="120" w:after="120"/>
      </w:pPr>
      <w:r w:rsidRPr="00B93EE1">
        <w:lastRenderedPageBreak/>
        <w:t>TABLES</w:t>
      </w:r>
    </w:p>
    <w:p w14:paraId="37DD8905" w14:textId="77777777" w:rsidR="00120717" w:rsidRPr="00B93EE1" w:rsidRDefault="00120717" w:rsidP="003C53A8">
      <w:pPr>
        <w:keepNext/>
        <w:keepLines/>
        <w:spacing w:before="120" w:after="120"/>
      </w:pPr>
    </w:p>
    <w:p w14:paraId="244FD01F" w14:textId="56BCFD18" w:rsidR="00D37A97" w:rsidRDefault="00120717" w:rsidP="003C53A8">
      <w:pPr>
        <w:pStyle w:val="TableofFigures"/>
        <w:keepNext/>
        <w:rPr>
          <w:rFonts w:asciiTheme="minorHAnsi" w:eastAsiaTheme="minorEastAsia" w:hAnsiTheme="minorHAnsi" w:cstheme="minorBidi"/>
          <w:noProof/>
          <w:sz w:val="22"/>
          <w:szCs w:val="22"/>
        </w:rPr>
      </w:pPr>
      <w:r w:rsidRPr="00B93EE1">
        <w:fldChar w:fldCharType="begin"/>
      </w:r>
      <w:r w:rsidRPr="00B93EE1">
        <w:instrText xml:space="preserve"> TOC \h \z \c "Table" </w:instrText>
      </w:r>
      <w:r w:rsidRPr="00B93EE1">
        <w:fldChar w:fldCharType="separate"/>
      </w:r>
      <w:hyperlink w:anchor="_Toc97793381" w:history="1">
        <w:r w:rsidR="00D37A97" w:rsidRPr="00F42D4F">
          <w:rPr>
            <w:rStyle w:val="Hyperlink"/>
            <w:noProof/>
          </w:rPr>
          <w:t>Table 1.1 Selected macroeconomic indicators, 2014/15-2020/21</w:t>
        </w:r>
        <w:r w:rsidR="00D37A97">
          <w:rPr>
            <w:noProof/>
            <w:webHidden/>
          </w:rPr>
          <w:tab/>
        </w:r>
        <w:r w:rsidR="00D37A97">
          <w:rPr>
            <w:noProof/>
            <w:webHidden/>
          </w:rPr>
          <w:fldChar w:fldCharType="begin"/>
        </w:r>
        <w:r w:rsidR="00D37A97">
          <w:rPr>
            <w:noProof/>
            <w:webHidden/>
          </w:rPr>
          <w:instrText xml:space="preserve"> PAGEREF _Toc97793381 \h </w:instrText>
        </w:r>
        <w:r w:rsidR="00D37A97">
          <w:rPr>
            <w:noProof/>
            <w:webHidden/>
          </w:rPr>
        </w:r>
        <w:r w:rsidR="00D37A97">
          <w:rPr>
            <w:noProof/>
            <w:webHidden/>
          </w:rPr>
          <w:fldChar w:fldCharType="separate"/>
        </w:r>
        <w:r w:rsidR="00F6061F">
          <w:rPr>
            <w:noProof/>
            <w:webHidden/>
          </w:rPr>
          <w:t>14</w:t>
        </w:r>
        <w:r w:rsidR="00D37A97">
          <w:rPr>
            <w:noProof/>
            <w:webHidden/>
          </w:rPr>
          <w:fldChar w:fldCharType="end"/>
        </w:r>
      </w:hyperlink>
    </w:p>
    <w:p w14:paraId="24F00344" w14:textId="48BB88FA" w:rsidR="00D37A97" w:rsidRDefault="0012793B" w:rsidP="003C53A8">
      <w:pPr>
        <w:pStyle w:val="TableofFigures"/>
        <w:keepNext/>
        <w:rPr>
          <w:rFonts w:asciiTheme="minorHAnsi" w:eastAsiaTheme="minorEastAsia" w:hAnsiTheme="minorHAnsi" w:cstheme="minorBidi"/>
          <w:noProof/>
          <w:sz w:val="22"/>
          <w:szCs w:val="22"/>
        </w:rPr>
      </w:pPr>
      <w:hyperlink w:anchor="_Toc97793382" w:history="1">
        <w:r w:rsidR="00D37A97" w:rsidRPr="00F42D4F">
          <w:rPr>
            <w:rStyle w:val="Hyperlink"/>
            <w:noProof/>
          </w:rPr>
          <w:t>Table 1.2 Balance of payments, 2014/15-2020/21</w:t>
        </w:r>
        <w:r w:rsidR="00D37A97">
          <w:rPr>
            <w:noProof/>
            <w:webHidden/>
          </w:rPr>
          <w:tab/>
        </w:r>
        <w:r w:rsidR="00D37A97">
          <w:rPr>
            <w:noProof/>
            <w:webHidden/>
          </w:rPr>
          <w:fldChar w:fldCharType="begin"/>
        </w:r>
        <w:r w:rsidR="00D37A97">
          <w:rPr>
            <w:noProof/>
            <w:webHidden/>
          </w:rPr>
          <w:instrText xml:space="preserve"> PAGEREF _Toc97793382 \h </w:instrText>
        </w:r>
        <w:r w:rsidR="00D37A97">
          <w:rPr>
            <w:noProof/>
            <w:webHidden/>
          </w:rPr>
        </w:r>
        <w:r w:rsidR="00D37A97">
          <w:rPr>
            <w:noProof/>
            <w:webHidden/>
          </w:rPr>
          <w:fldChar w:fldCharType="separate"/>
        </w:r>
        <w:r w:rsidR="00F6061F">
          <w:rPr>
            <w:noProof/>
            <w:webHidden/>
          </w:rPr>
          <w:t>18</w:t>
        </w:r>
        <w:r w:rsidR="00D37A97">
          <w:rPr>
            <w:noProof/>
            <w:webHidden/>
          </w:rPr>
          <w:fldChar w:fldCharType="end"/>
        </w:r>
      </w:hyperlink>
    </w:p>
    <w:p w14:paraId="26B9FE8D" w14:textId="3CF296AB" w:rsidR="00D37A97" w:rsidRDefault="0012793B" w:rsidP="003C53A8">
      <w:pPr>
        <w:pStyle w:val="TableofFigures"/>
        <w:keepNext/>
        <w:rPr>
          <w:rFonts w:asciiTheme="minorHAnsi" w:eastAsiaTheme="minorEastAsia" w:hAnsiTheme="minorHAnsi" w:cstheme="minorBidi"/>
          <w:noProof/>
          <w:sz w:val="22"/>
          <w:szCs w:val="22"/>
        </w:rPr>
      </w:pPr>
      <w:hyperlink w:anchor="_Toc97793383" w:history="1">
        <w:r w:rsidR="00D37A97" w:rsidRPr="00F42D4F">
          <w:rPr>
            <w:rStyle w:val="Hyperlink"/>
            <w:noProof/>
          </w:rPr>
          <w:t>Table 1.3 Composition of trade in services, 2014/15-2020/21</w:t>
        </w:r>
        <w:r w:rsidR="00D37A97">
          <w:rPr>
            <w:noProof/>
            <w:webHidden/>
          </w:rPr>
          <w:tab/>
        </w:r>
        <w:r w:rsidR="00D37A97">
          <w:rPr>
            <w:noProof/>
            <w:webHidden/>
          </w:rPr>
          <w:fldChar w:fldCharType="begin"/>
        </w:r>
        <w:r w:rsidR="00D37A97">
          <w:rPr>
            <w:noProof/>
            <w:webHidden/>
          </w:rPr>
          <w:instrText xml:space="preserve"> PAGEREF _Toc97793383 \h </w:instrText>
        </w:r>
        <w:r w:rsidR="00D37A97">
          <w:rPr>
            <w:noProof/>
            <w:webHidden/>
          </w:rPr>
        </w:r>
        <w:r w:rsidR="00D37A97">
          <w:rPr>
            <w:noProof/>
            <w:webHidden/>
          </w:rPr>
          <w:fldChar w:fldCharType="separate"/>
        </w:r>
        <w:r w:rsidR="00F6061F">
          <w:rPr>
            <w:noProof/>
            <w:webHidden/>
          </w:rPr>
          <w:t>22</w:t>
        </w:r>
        <w:r w:rsidR="00D37A97">
          <w:rPr>
            <w:noProof/>
            <w:webHidden/>
          </w:rPr>
          <w:fldChar w:fldCharType="end"/>
        </w:r>
      </w:hyperlink>
    </w:p>
    <w:p w14:paraId="48673F90" w14:textId="41D50053" w:rsidR="00D37A97" w:rsidRDefault="0012793B" w:rsidP="003C53A8">
      <w:pPr>
        <w:pStyle w:val="TableofFigures"/>
        <w:keepNext/>
        <w:rPr>
          <w:rFonts w:asciiTheme="minorHAnsi" w:eastAsiaTheme="minorEastAsia" w:hAnsiTheme="minorHAnsi" w:cstheme="minorBidi"/>
          <w:noProof/>
          <w:sz w:val="22"/>
          <w:szCs w:val="22"/>
        </w:rPr>
      </w:pPr>
      <w:hyperlink w:anchor="_Toc97793384" w:history="1">
        <w:r w:rsidR="00D37A97" w:rsidRPr="00F42D4F">
          <w:rPr>
            <w:rStyle w:val="Hyperlink"/>
            <w:noProof/>
          </w:rPr>
          <w:t>Table 1.4 Inward stock of foreign direct investment, 2014/15-2020/21</w:t>
        </w:r>
        <w:r w:rsidR="00D37A97">
          <w:rPr>
            <w:noProof/>
            <w:webHidden/>
          </w:rPr>
          <w:tab/>
        </w:r>
        <w:r w:rsidR="00D37A97">
          <w:rPr>
            <w:noProof/>
            <w:webHidden/>
          </w:rPr>
          <w:fldChar w:fldCharType="begin"/>
        </w:r>
        <w:r w:rsidR="00D37A97">
          <w:rPr>
            <w:noProof/>
            <w:webHidden/>
          </w:rPr>
          <w:instrText xml:space="preserve"> PAGEREF _Toc97793384 \h </w:instrText>
        </w:r>
        <w:r w:rsidR="00D37A97">
          <w:rPr>
            <w:noProof/>
            <w:webHidden/>
          </w:rPr>
        </w:r>
        <w:r w:rsidR="00D37A97">
          <w:rPr>
            <w:noProof/>
            <w:webHidden/>
          </w:rPr>
          <w:fldChar w:fldCharType="separate"/>
        </w:r>
        <w:r w:rsidR="00F6061F">
          <w:rPr>
            <w:noProof/>
            <w:webHidden/>
          </w:rPr>
          <w:t>23</w:t>
        </w:r>
        <w:r w:rsidR="00D37A97">
          <w:rPr>
            <w:noProof/>
            <w:webHidden/>
          </w:rPr>
          <w:fldChar w:fldCharType="end"/>
        </w:r>
      </w:hyperlink>
    </w:p>
    <w:p w14:paraId="3BFE5712" w14:textId="4D4220D2" w:rsidR="00D37A97" w:rsidRDefault="0012793B" w:rsidP="003C53A8">
      <w:pPr>
        <w:pStyle w:val="TableofFigures"/>
        <w:keepNext/>
        <w:rPr>
          <w:rFonts w:asciiTheme="minorHAnsi" w:eastAsiaTheme="minorEastAsia" w:hAnsiTheme="minorHAnsi" w:cstheme="minorBidi"/>
          <w:noProof/>
          <w:sz w:val="22"/>
          <w:szCs w:val="22"/>
        </w:rPr>
      </w:pPr>
      <w:hyperlink w:anchor="_Toc97793385" w:history="1">
        <w:r w:rsidR="00D37A97" w:rsidRPr="00F42D4F">
          <w:rPr>
            <w:rStyle w:val="Hyperlink"/>
            <w:noProof/>
          </w:rPr>
          <w:t>Table 1.5 Outward stock of foreign direct investment, 2014/15-2020/21</w:t>
        </w:r>
        <w:r w:rsidR="00D37A97">
          <w:rPr>
            <w:noProof/>
            <w:webHidden/>
          </w:rPr>
          <w:tab/>
        </w:r>
        <w:r w:rsidR="00D37A97">
          <w:rPr>
            <w:noProof/>
            <w:webHidden/>
          </w:rPr>
          <w:fldChar w:fldCharType="begin"/>
        </w:r>
        <w:r w:rsidR="00D37A97">
          <w:rPr>
            <w:noProof/>
            <w:webHidden/>
          </w:rPr>
          <w:instrText xml:space="preserve"> PAGEREF _Toc97793385 \h </w:instrText>
        </w:r>
        <w:r w:rsidR="00D37A97">
          <w:rPr>
            <w:noProof/>
            <w:webHidden/>
          </w:rPr>
        </w:r>
        <w:r w:rsidR="00D37A97">
          <w:rPr>
            <w:noProof/>
            <w:webHidden/>
          </w:rPr>
          <w:fldChar w:fldCharType="separate"/>
        </w:r>
        <w:r w:rsidR="00F6061F">
          <w:rPr>
            <w:noProof/>
            <w:webHidden/>
          </w:rPr>
          <w:t>24</w:t>
        </w:r>
        <w:r w:rsidR="00D37A97">
          <w:rPr>
            <w:noProof/>
            <w:webHidden/>
          </w:rPr>
          <w:fldChar w:fldCharType="end"/>
        </w:r>
      </w:hyperlink>
    </w:p>
    <w:p w14:paraId="275F2CA0" w14:textId="64EDB451" w:rsidR="00D37A97" w:rsidRDefault="0012793B" w:rsidP="003C53A8">
      <w:pPr>
        <w:pStyle w:val="TableofFigures"/>
        <w:keepNext/>
        <w:rPr>
          <w:rFonts w:asciiTheme="minorHAnsi" w:eastAsiaTheme="minorEastAsia" w:hAnsiTheme="minorHAnsi" w:cstheme="minorBidi"/>
          <w:noProof/>
          <w:sz w:val="22"/>
          <w:szCs w:val="22"/>
        </w:rPr>
      </w:pPr>
      <w:hyperlink w:anchor="_Toc97793386" w:history="1">
        <w:r w:rsidR="00D37A97" w:rsidRPr="00F42D4F">
          <w:rPr>
            <w:rStyle w:val="Hyperlink"/>
            <w:noProof/>
          </w:rPr>
          <w:t>Table 2.1 FTAs signed or upgraded during 2015-21</w:t>
        </w:r>
        <w:r w:rsidR="00D37A97">
          <w:rPr>
            <w:noProof/>
            <w:webHidden/>
          </w:rPr>
          <w:tab/>
        </w:r>
        <w:r w:rsidR="00D37A97">
          <w:rPr>
            <w:noProof/>
            <w:webHidden/>
          </w:rPr>
          <w:fldChar w:fldCharType="begin"/>
        </w:r>
        <w:r w:rsidR="00D37A97">
          <w:rPr>
            <w:noProof/>
            <w:webHidden/>
          </w:rPr>
          <w:instrText xml:space="preserve"> PAGEREF _Toc97793386 \h </w:instrText>
        </w:r>
        <w:r w:rsidR="00D37A97">
          <w:rPr>
            <w:noProof/>
            <w:webHidden/>
          </w:rPr>
        </w:r>
        <w:r w:rsidR="00D37A97">
          <w:rPr>
            <w:noProof/>
            <w:webHidden/>
          </w:rPr>
          <w:fldChar w:fldCharType="separate"/>
        </w:r>
        <w:r w:rsidR="00F6061F">
          <w:rPr>
            <w:noProof/>
            <w:webHidden/>
          </w:rPr>
          <w:t>29</w:t>
        </w:r>
        <w:r w:rsidR="00D37A97">
          <w:rPr>
            <w:noProof/>
            <w:webHidden/>
          </w:rPr>
          <w:fldChar w:fldCharType="end"/>
        </w:r>
      </w:hyperlink>
    </w:p>
    <w:p w14:paraId="093FBCDC" w14:textId="4E906AE0" w:rsidR="00D37A97" w:rsidRDefault="0012793B" w:rsidP="003C53A8">
      <w:pPr>
        <w:pStyle w:val="TableofFigures"/>
        <w:keepNext/>
        <w:rPr>
          <w:rFonts w:asciiTheme="minorHAnsi" w:eastAsiaTheme="minorEastAsia" w:hAnsiTheme="minorHAnsi" w:cstheme="minorBidi"/>
          <w:noProof/>
          <w:sz w:val="22"/>
          <w:szCs w:val="22"/>
        </w:rPr>
      </w:pPr>
      <w:hyperlink w:anchor="_Toc97793387" w:history="1">
        <w:r w:rsidR="00D37A97" w:rsidRPr="00F42D4F">
          <w:rPr>
            <w:rStyle w:val="Hyperlink"/>
            <w:noProof/>
          </w:rPr>
          <w:t>Table 3.1 Goods clearance fees and hourly rate, 2022</w:t>
        </w:r>
        <w:r w:rsidR="00D37A97">
          <w:rPr>
            <w:noProof/>
            <w:webHidden/>
          </w:rPr>
          <w:tab/>
        </w:r>
        <w:r w:rsidR="00D37A97">
          <w:rPr>
            <w:noProof/>
            <w:webHidden/>
          </w:rPr>
          <w:fldChar w:fldCharType="begin"/>
        </w:r>
        <w:r w:rsidR="00D37A97">
          <w:rPr>
            <w:noProof/>
            <w:webHidden/>
          </w:rPr>
          <w:instrText xml:space="preserve"> PAGEREF _Toc97793387 \h </w:instrText>
        </w:r>
        <w:r w:rsidR="00D37A97">
          <w:rPr>
            <w:noProof/>
            <w:webHidden/>
          </w:rPr>
        </w:r>
        <w:r w:rsidR="00D37A97">
          <w:rPr>
            <w:noProof/>
            <w:webHidden/>
          </w:rPr>
          <w:fldChar w:fldCharType="separate"/>
        </w:r>
        <w:r w:rsidR="00F6061F">
          <w:rPr>
            <w:noProof/>
            <w:webHidden/>
          </w:rPr>
          <w:t>40</w:t>
        </w:r>
        <w:r w:rsidR="00D37A97">
          <w:rPr>
            <w:noProof/>
            <w:webHidden/>
          </w:rPr>
          <w:fldChar w:fldCharType="end"/>
        </w:r>
      </w:hyperlink>
    </w:p>
    <w:p w14:paraId="6D3D0961" w14:textId="151DC513" w:rsidR="00D37A97" w:rsidRDefault="0012793B" w:rsidP="003C53A8">
      <w:pPr>
        <w:pStyle w:val="TableofFigures"/>
        <w:keepNext/>
        <w:rPr>
          <w:rFonts w:asciiTheme="minorHAnsi" w:eastAsiaTheme="minorEastAsia" w:hAnsiTheme="minorHAnsi" w:cstheme="minorBidi"/>
          <w:noProof/>
          <w:sz w:val="22"/>
          <w:szCs w:val="22"/>
        </w:rPr>
      </w:pPr>
      <w:hyperlink w:anchor="_Toc97793388" w:history="1">
        <w:r w:rsidR="00D37A97" w:rsidRPr="00F42D4F">
          <w:rPr>
            <w:rStyle w:val="Hyperlink"/>
            <w:noProof/>
          </w:rPr>
          <w:t>Table 3.2 Customs Appeal Authority statistics, 2015-20</w:t>
        </w:r>
        <w:r w:rsidR="00D37A97">
          <w:rPr>
            <w:noProof/>
            <w:webHidden/>
          </w:rPr>
          <w:tab/>
        </w:r>
        <w:r w:rsidR="00D37A97">
          <w:rPr>
            <w:noProof/>
            <w:webHidden/>
          </w:rPr>
          <w:fldChar w:fldCharType="begin"/>
        </w:r>
        <w:r w:rsidR="00D37A97">
          <w:rPr>
            <w:noProof/>
            <w:webHidden/>
          </w:rPr>
          <w:instrText xml:space="preserve"> PAGEREF _Toc97793388 \h </w:instrText>
        </w:r>
        <w:r w:rsidR="00D37A97">
          <w:rPr>
            <w:noProof/>
            <w:webHidden/>
          </w:rPr>
        </w:r>
        <w:r w:rsidR="00D37A97">
          <w:rPr>
            <w:noProof/>
            <w:webHidden/>
          </w:rPr>
          <w:fldChar w:fldCharType="separate"/>
        </w:r>
        <w:r w:rsidR="00F6061F">
          <w:rPr>
            <w:noProof/>
            <w:webHidden/>
          </w:rPr>
          <w:t>41</w:t>
        </w:r>
        <w:r w:rsidR="00D37A97">
          <w:rPr>
            <w:noProof/>
            <w:webHidden/>
          </w:rPr>
          <w:fldChar w:fldCharType="end"/>
        </w:r>
      </w:hyperlink>
    </w:p>
    <w:p w14:paraId="599DB6B0" w14:textId="088196FD" w:rsidR="00D37A97" w:rsidRDefault="0012793B" w:rsidP="003C53A8">
      <w:pPr>
        <w:pStyle w:val="TableofFigures"/>
        <w:keepNext/>
        <w:rPr>
          <w:rFonts w:asciiTheme="minorHAnsi" w:eastAsiaTheme="minorEastAsia" w:hAnsiTheme="minorHAnsi" w:cstheme="minorBidi"/>
          <w:noProof/>
          <w:sz w:val="22"/>
          <w:szCs w:val="22"/>
        </w:rPr>
      </w:pPr>
      <w:hyperlink w:anchor="_Toc97793389" w:history="1">
        <w:r w:rsidR="00D37A97" w:rsidRPr="00F42D4F">
          <w:rPr>
            <w:rStyle w:val="Hyperlink"/>
            <w:noProof/>
          </w:rPr>
          <w:t>Table 3.3 Tariff structure of New Zealand, 2014 and 2021</w:t>
        </w:r>
        <w:r w:rsidR="00D37A97">
          <w:rPr>
            <w:noProof/>
            <w:webHidden/>
          </w:rPr>
          <w:tab/>
        </w:r>
        <w:r w:rsidR="00D37A97">
          <w:rPr>
            <w:noProof/>
            <w:webHidden/>
          </w:rPr>
          <w:fldChar w:fldCharType="begin"/>
        </w:r>
        <w:r w:rsidR="00D37A97">
          <w:rPr>
            <w:noProof/>
            <w:webHidden/>
          </w:rPr>
          <w:instrText xml:space="preserve"> PAGEREF _Toc97793389 \h </w:instrText>
        </w:r>
        <w:r w:rsidR="00D37A97">
          <w:rPr>
            <w:noProof/>
            <w:webHidden/>
          </w:rPr>
        </w:r>
        <w:r w:rsidR="00D37A97">
          <w:rPr>
            <w:noProof/>
            <w:webHidden/>
          </w:rPr>
          <w:fldChar w:fldCharType="separate"/>
        </w:r>
        <w:r w:rsidR="00F6061F">
          <w:rPr>
            <w:noProof/>
            <w:webHidden/>
          </w:rPr>
          <w:t>43</w:t>
        </w:r>
        <w:r w:rsidR="00D37A97">
          <w:rPr>
            <w:noProof/>
            <w:webHidden/>
          </w:rPr>
          <w:fldChar w:fldCharType="end"/>
        </w:r>
      </w:hyperlink>
    </w:p>
    <w:p w14:paraId="12765FDF" w14:textId="3D649B52" w:rsidR="00D37A97" w:rsidRDefault="0012793B" w:rsidP="003C53A8">
      <w:pPr>
        <w:pStyle w:val="TableofFigures"/>
        <w:keepNext/>
        <w:rPr>
          <w:rFonts w:asciiTheme="minorHAnsi" w:eastAsiaTheme="minorEastAsia" w:hAnsiTheme="minorHAnsi" w:cstheme="minorBidi"/>
          <w:noProof/>
          <w:sz w:val="22"/>
          <w:szCs w:val="22"/>
        </w:rPr>
      </w:pPr>
      <w:hyperlink w:anchor="_Toc97793390" w:history="1">
        <w:r w:rsidR="00D37A97" w:rsidRPr="00F42D4F">
          <w:rPr>
            <w:rStyle w:val="Hyperlink"/>
            <w:noProof/>
          </w:rPr>
          <w:t>Table 3.4 Tariff lines where the MFN applied rates exceed bound rates, 2021</w:t>
        </w:r>
        <w:r w:rsidR="00D37A97">
          <w:rPr>
            <w:noProof/>
            <w:webHidden/>
          </w:rPr>
          <w:tab/>
        </w:r>
        <w:r w:rsidR="00D37A97">
          <w:rPr>
            <w:noProof/>
            <w:webHidden/>
          </w:rPr>
          <w:fldChar w:fldCharType="begin"/>
        </w:r>
        <w:r w:rsidR="00D37A97">
          <w:rPr>
            <w:noProof/>
            <w:webHidden/>
          </w:rPr>
          <w:instrText xml:space="preserve"> PAGEREF _Toc97793390 \h </w:instrText>
        </w:r>
        <w:r w:rsidR="00D37A97">
          <w:rPr>
            <w:noProof/>
            <w:webHidden/>
          </w:rPr>
        </w:r>
        <w:r w:rsidR="00D37A97">
          <w:rPr>
            <w:noProof/>
            <w:webHidden/>
          </w:rPr>
          <w:fldChar w:fldCharType="separate"/>
        </w:r>
        <w:r w:rsidR="00F6061F">
          <w:rPr>
            <w:noProof/>
            <w:webHidden/>
          </w:rPr>
          <w:t>46</w:t>
        </w:r>
        <w:r w:rsidR="00D37A97">
          <w:rPr>
            <w:noProof/>
            <w:webHidden/>
          </w:rPr>
          <w:fldChar w:fldCharType="end"/>
        </w:r>
      </w:hyperlink>
    </w:p>
    <w:p w14:paraId="6248B0FF" w14:textId="287866D4" w:rsidR="00D37A97" w:rsidRDefault="0012793B" w:rsidP="003C53A8">
      <w:pPr>
        <w:pStyle w:val="TableofFigures"/>
        <w:keepNext/>
        <w:rPr>
          <w:rFonts w:asciiTheme="minorHAnsi" w:eastAsiaTheme="minorEastAsia" w:hAnsiTheme="minorHAnsi" w:cstheme="minorBidi"/>
          <w:noProof/>
          <w:sz w:val="22"/>
          <w:szCs w:val="22"/>
        </w:rPr>
      </w:pPr>
      <w:hyperlink w:anchor="_Toc97793391" w:history="1">
        <w:r w:rsidR="00D37A97" w:rsidRPr="00F42D4F">
          <w:rPr>
            <w:rStyle w:val="Hyperlink"/>
            <w:noProof/>
          </w:rPr>
          <w:t>Table 3.5 Summary analysis of New Zealand's preferential tariffs, 2021</w:t>
        </w:r>
        <w:r w:rsidR="00D37A97">
          <w:rPr>
            <w:noProof/>
            <w:webHidden/>
          </w:rPr>
          <w:tab/>
        </w:r>
        <w:r w:rsidR="00D37A97">
          <w:rPr>
            <w:noProof/>
            <w:webHidden/>
          </w:rPr>
          <w:fldChar w:fldCharType="begin"/>
        </w:r>
        <w:r w:rsidR="00D37A97">
          <w:rPr>
            <w:noProof/>
            <w:webHidden/>
          </w:rPr>
          <w:instrText xml:space="preserve"> PAGEREF _Toc97793391 \h </w:instrText>
        </w:r>
        <w:r w:rsidR="00D37A97">
          <w:rPr>
            <w:noProof/>
            <w:webHidden/>
          </w:rPr>
        </w:r>
        <w:r w:rsidR="00D37A97">
          <w:rPr>
            <w:noProof/>
            <w:webHidden/>
          </w:rPr>
          <w:fldChar w:fldCharType="separate"/>
        </w:r>
        <w:r w:rsidR="00F6061F">
          <w:rPr>
            <w:noProof/>
            <w:webHidden/>
          </w:rPr>
          <w:t>46</w:t>
        </w:r>
        <w:r w:rsidR="00D37A97">
          <w:rPr>
            <w:noProof/>
            <w:webHidden/>
          </w:rPr>
          <w:fldChar w:fldCharType="end"/>
        </w:r>
      </w:hyperlink>
    </w:p>
    <w:p w14:paraId="19BB0F50" w14:textId="28DC8D80" w:rsidR="00D37A97" w:rsidRDefault="0012793B" w:rsidP="003C53A8">
      <w:pPr>
        <w:pStyle w:val="TableofFigures"/>
        <w:keepNext/>
        <w:rPr>
          <w:rFonts w:asciiTheme="minorHAnsi" w:eastAsiaTheme="minorEastAsia" w:hAnsiTheme="minorHAnsi" w:cstheme="minorBidi"/>
          <w:noProof/>
          <w:sz w:val="22"/>
          <w:szCs w:val="22"/>
        </w:rPr>
      </w:pPr>
      <w:hyperlink w:anchor="_Toc97793392" w:history="1">
        <w:r w:rsidR="00D37A97" w:rsidRPr="00F42D4F">
          <w:rPr>
            <w:rStyle w:val="Hyperlink"/>
            <w:noProof/>
          </w:rPr>
          <w:t>Table 3.6 Health Promotion Agency (HPA) levy rates for alcohol, 2022</w:t>
        </w:r>
        <w:r w:rsidR="00D37A97">
          <w:rPr>
            <w:noProof/>
            <w:webHidden/>
          </w:rPr>
          <w:tab/>
        </w:r>
        <w:r w:rsidR="00D37A97">
          <w:rPr>
            <w:noProof/>
            <w:webHidden/>
          </w:rPr>
          <w:fldChar w:fldCharType="begin"/>
        </w:r>
        <w:r w:rsidR="00D37A97">
          <w:rPr>
            <w:noProof/>
            <w:webHidden/>
          </w:rPr>
          <w:instrText xml:space="preserve"> PAGEREF _Toc97793392 \h </w:instrText>
        </w:r>
        <w:r w:rsidR="00D37A97">
          <w:rPr>
            <w:noProof/>
            <w:webHidden/>
          </w:rPr>
        </w:r>
        <w:r w:rsidR="00D37A97">
          <w:rPr>
            <w:noProof/>
            <w:webHidden/>
          </w:rPr>
          <w:fldChar w:fldCharType="separate"/>
        </w:r>
        <w:r w:rsidR="00F6061F">
          <w:rPr>
            <w:noProof/>
            <w:webHidden/>
          </w:rPr>
          <w:t>48</w:t>
        </w:r>
        <w:r w:rsidR="00D37A97">
          <w:rPr>
            <w:noProof/>
            <w:webHidden/>
          </w:rPr>
          <w:fldChar w:fldCharType="end"/>
        </w:r>
      </w:hyperlink>
    </w:p>
    <w:p w14:paraId="38474063" w14:textId="07C75092" w:rsidR="00D37A97" w:rsidRDefault="0012793B" w:rsidP="003C53A8">
      <w:pPr>
        <w:pStyle w:val="TableofFigures"/>
        <w:keepNext/>
        <w:rPr>
          <w:rFonts w:asciiTheme="minorHAnsi" w:eastAsiaTheme="minorEastAsia" w:hAnsiTheme="minorHAnsi" w:cstheme="minorBidi"/>
          <w:noProof/>
          <w:sz w:val="22"/>
          <w:szCs w:val="22"/>
        </w:rPr>
      </w:pPr>
      <w:hyperlink w:anchor="_Toc97793393" w:history="1">
        <w:r w:rsidR="00D37A97" w:rsidRPr="00F42D4F">
          <w:rPr>
            <w:rStyle w:val="Hyperlink"/>
            <w:noProof/>
          </w:rPr>
          <w:t>Table 3.7 Trade remedy investigations, 2016-21</w:t>
        </w:r>
        <w:r w:rsidR="00D37A97">
          <w:rPr>
            <w:noProof/>
            <w:webHidden/>
          </w:rPr>
          <w:tab/>
        </w:r>
        <w:r w:rsidR="00D37A97">
          <w:rPr>
            <w:noProof/>
            <w:webHidden/>
          </w:rPr>
          <w:fldChar w:fldCharType="begin"/>
        </w:r>
        <w:r w:rsidR="00D37A97">
          <w:rPr>
            <w:noProof/>
            <w:webHidden/>
          </w:rPr>
          <w:instrText xml:space="preserve"> PAGEREF _Toc97793393 \h </w:instrText>
        </w:r>
        <w:r w:rsidR="00D37A97">
          <w:rPr>
            <w:noProof/>
            <w:webHidden/>
          </w:rPr>
        </w:r>
        <w:r w:rsidR="00D37A97">
          <w:rPr>
            <w:noProof/>
            <w:webHidden/>
          </w:rPr>
          <w:fldChar w:fldCharType="separate"/>
        </w:r>
        <w:r w:rsidR="00F6061F">
          <w:rPr>
            <w:noProof/>
            <w:webHidden/>
          </w:rPr>
          <w:t>50</w:t>
        </w:r>
        <w:r w:rsidR="00D37A97">
          <w:rPr>
            <w:noProof/>
            <w:webHidden/>
          </w:rPr>
          <w:fldChar w:fldCharType="end"/>
        </w:r>
      </w:hyperlink>
    </w:p>
    <w:p w14:paraId="207DE504" w14:textId="3BDBC86D" w:rsidR="00D37A97" w:rsidRDefault="0012793B" w:rsidP="003C53A8">
      <w:pPr>
        <w:pStyle w:val="TableofFigures"/>
        <w:keepNext/>
        <w:rPr>
          <w:rFonts w:asciiTheme="minorHAnsi" w:eastAsiaTheme="minorEastAsia" w:hAnsiTheme="minorHAnsi" w:cstheme="minorBidi"/>
          <w:noProof/>
          <w:sz w:val="22"/>
          <w:szCs w:val="22"/>
        </w:rPr>
      </w:pPr>
      <w:hyperlink w:anchor="_Toc97793394" w:history="1">
        <w:r w:rsidR="00D37A97" w:rsidRPr="00F42D4F">
          <w:rPr>
            <w:rStyle w:val="Hyperlink"/>
            <w:noProof/>
          </w:rPr>
          <w:t>Table 3.8 Definitive anti-dumping measures, as of 31 December 2021</w:t>
        </w:r>
        <w:r w:rsidR="00D37A97">
          <w:rPr>
            <w:noProof/>
            <w:webHidden/>
          </w:rPr>
          <w:tab/>
        </w:r>
        <w:r w:rsidR="00D37A97">
          <w:rPr>
            <w:noProof/>
            <w:webHidden/>
          </w:rPr>
          <w:fldChar w:fldCharType="begin"/>
        </w:r>
        <w:r w:rsidR="00D37A97">
          <w:rPr>
            <w:noProof/>
            <w:webHidden/>
          </w:rPr>
          <w:instrText xml:space="preserve"> PAGEREF _Toc97793394 \h </w:instrText>
        </w:r>
        <w:r w:rsidR="00D37A97">
          <w:rPr>
            <w:noProof/>
            <w:webHidden/>
          </w:rPr>
        </w:r>
        <w:r w:rsidR="00D37A97">
          <w:rPr>
            <w:noProof/>
            <w:webHidden/>
          </w:rPr>
          <w:fldChar w:fldCharType="separate"/>
        </w:r>
        <w:r w:rsidR="00F6061F">
          <w:rPr>
            <w:noProof/>
            <w:webHidden/>
          </w:rPr>
          <w:t>51</w:t>
        </w:r>
        <w:r w:rsidR="00D37A97">
          <w:rPr>
            <w:noProof/>
            <w:webHidden/>
          </w:rPr>
          <w:fldChar w:fldCharType="end"/>
        </w:r>
      </w:hyperlink>
    </w:p>
    <w:p w14:paraId="18C79622" w14:textId="082E8A5D" w:rsidR="00D37A97" w:rsidRDefault="0012793B" w:rsidP="003C53A8">
      <w:pPr>
        <w:pStyle w:val="TableofFigures"/>
        <w:keepNext/>
        <w:rPr>
          <w:rFonts w:asciiTheme="minorHAnsi" w:eastAsiaTheme="minorEastAsia" w:hAnsiTheme="minorHAnsi" w:cstheme="minorBidi"/>
          <w:noProof/>
          <w:sz w:val="22"/>
          <w:szCs w:val="22"/>
        </w:rPr>
      </w:pPr>
      <w:hyperlink w:anchor="_Toc97793395" w:history="1">
        <w:r w:rsidR="00D37A97" w:rsidRPr="00F42D4F">
          <w:rPr>
            <w:rStyle w:val="Hyperlink"/>
            <w:noProof/>
          </w:rPr>
          <w:t>Table 3.9 Subsidy schemes, 2021</w:t>
        </w:r>
        <w:r w:rsidR="00D37A97">
          <w:rPr>
            <w:noProof/>
            <w:webHidden/>
          </w:rPr>
          <w:tab/>
        </w:r>
        <w:r w:rsidR="00D37A97">
          <w:rPr>
            <w:noProof/>
            <w:webHidden/>
          </w:rPr>
          <w:fldChar w:fldCharType="begin"/>
        </w:r>
        <w:r w:rsidR="00D37A97">
          <w:rPr>
            <w:noProof/>
            <w:webHidden/>
          </w:rPr>
          <w:instrText xml:space="preserve"> PAGEREF _Toc97793395 \h </w:instrText>
        </w:r>
        <w:r w:rsidR="00D37A97">
          <w:rPr>
            <w:noProof/>
            <w:webHidden/>
          </w:rPr>
        </w:r>
        <w:r w:rsidR="00D37A97">
          <w:rPr>
            <w:noProof/>
            <w:webHidden/>
          </w:rPr>
          <w:fldChar w:fldCharType="separate"/>
        </w:r>
        <w:r w:rsidR="00F6061F">
          <w:rPr>
            <w:noProof/>
            <w:webHidden/>
          </w:rPr>
          <w:t>56</w:t>
        </w:r>
        <w:r w:rsidR="00D37A97">
          <w:rPr>
            <w:noProof/>
            <w:webHidden/>
          </w:rPr>
          <w:fldChar w:fldCharType="end"/>
        </w:r>
      </w:hyperlink>
    </w:p>
    <w:p w14:paraId="3BD75B5C" w14:textId="6BF658C1" w:rsidR="00D37A97" w:rsidRDefault="0012793B" w:rsidP="003C53A8">
      <w:pPr>
        <w:pStyle w:val="TableofFigures"/>
        <w:keepNext/>
        <w:rPr>
          <w:rFonts w:asciiTheme="minorHAnsi" w:eastAsiaTheme="minorEastAsia" w:hAnsiTheme="minorHAnsi" w:cstheme="minorBidi"/>
          <w:noProof/>
          <w:sz w:val="22"/>
          <w:szCs w:val="22"/>
        </w:rPr>
      </w:pPr>
      <w:hyperlink w:anchor="_Toc97793396" w:history="1">
        <w:r w:rsidR="00D37A97" w:rsidRPr="00F42D4F">
          <w:rPr>
            <w:rStyle w:val="Hyperlink"/>
            <w:noProof/>
          </w:rPr>
          <w:t>Table 3.10 New Zealand standards, 2015-21</w:t>
        </w:r>
        <w:r w:rsidR="00D37A97">
          <w:rPr>
            <w:noProof/>
            <w:webHidden/>
          </w:rPr>
          <w:tab/>
        </w:r>
        <w:r w:rsidR="00D37A97">
          <w:rPr>
            <w:noProof/>
            <w:webHidden/>
          </w:rPr>
          <w:fldChar w:fldCharType="begin"/>
        </w:r>
        <w:r w:rsidR="00D37A97">
          <w:rPr>
            <w:noProof/>
            <w:webHidden/>
          </w:rPr>
          <w:instrText xml:space="preserve"> PAGEREF _Toc97793396 \h </w:instrText>
        </w:r>
        <w:r w:rsidR="00D37A97">
          <w:rPr>
            <w:noProof/>
            <w:webHidden/>
          </w:rPr>
        </w:r>
        <w:r w:rsidR="00D37A97">
          <w:rPr>
            <w:noProof/>
            <w:webHidden/>
          </w:rPr>
          <w:fldChar w:fldCharType="separate"/>
        </w:r>
        <w:r w:rsidR="00F6061F">
          <w:rPr>
            <w:noProof/>
            <w:webHidden/>
          </w:rPr>
          <w:t>57</w:t>
        </w:r>
        <w:r w:rsidR="00D37A97">
          <w:rPr>
            <w:noProof/>
            <w:webHidden/>
          </w:rPr>
          <w:fldChar w:fldCharType="end"/>
        </w:r>
      </w:hyperlink>
    </w:p>
    <w:p w14:paraId="4FD8BD6D" w14:textId="350CF802" w:rsidR="00D37A97" w:rsidRDefault="0012793B" w:rsidP="003C53A8">
      <w:pPr>
        <w:pStyle w:val="TableofFigures"/>
        <w:keepNext/>
        <w:rPr>
          <w:rFonts w:asciiTheme="minorHAnsi" w:eastAsiaTheme="minorEastAsia" w:hAnsiTheme="minorHAnsi" w:cstheme="minorBidi"/>
          <w:noProof/>
          <w:sz w:val="22"/>
          <w:szCs w:val="22"/>
        </w:rPr>
      </w:pPr>
      <w:hyperlink w:anchor="_Toc97793397" w:history="1">
        <w:r w:rsidR="00D37A97" w:rsidRPr="00F42D4F">
          <w:rPr>
            <w:rStyle w:val="Hyperlink"/>
            <w:noProof/>
          </w:rPr>
          <w:t>Table 3.11 Food of High Regulatory Interest</w:t>
        </w:r>
        <w:r w:rsidR="00D37A97">
          <w:rPr>
            <w:noProof/>
            <w:webHidden/>
          </w:rPr>
          <w:tab/>
        </w:r>
        <w:r w:rsidR="00D37A97">
          <w:rPr>
            <w:noProof/>
            <w:webHidden/>
          </w:rPr>
          <w:fldChar w:fldCharType="begin"/>
        </w:r>
        <w:r w:rsidR="00D37A97">
          <w:rPr>
            <w:noProof/>
            <w:webHidden/>
          </w:rPr>
          <w:instrText xml:space="preserve"> PAGEREF _Toc97793397 \h </w:instrText>
        </w:r>
        <w:r w:rsidR="00D37A97">
          <w:rPr>
            <w:noProof/>
            <w:webHidden/>
          </w:rPr>
        </w:r>
        <w:r w:rsidR="00D37A97">
          <w:rPr>
            <w:noProof/>
            <w:webHidden/>
          </w:rPr>
          <w:fldChar w:fldCharType="separate"/>
        </w:r>
        <w:r w:rsidR="00F6061F">
          <w:rPr>
            <w:noProof/>
            <w:webHidden/>
          </w:rPr>
          <w:t>65</w:t>
        </w:r>
        <w:r w:rsidR="00D37A97">
          <w:rPr>
            <w:noProof/>
            <w:webHidden/>
          </w:rPr>
          <w:fldChar w:fldCharType="end"/>
        </w:r>
      </w:hyperlink>
    </w:p>
    <w:p w14:paraId="48E7D2BE" w14:textId="3A65BE76" w:rsidR="00D37A97" w:rsidRDefault="0012793B" w:rsidP="003C53A8">
      <w:pPr>
        <w:pStyle w:val="TableofFigures"/>
        <w:keepNext/>
        <w:rPr>
          <w:rFonts w:asciiTheme="minorHAnsi" w:eastAsiaTheme="minorEastAsia" w:hAnsiTheme="minorHAnsi" w:cstheme="minorBidi"/>
          <w:noProof/>
          <w:sz w:val="22"/>
          <w:szCs w:val="22"/>
        </w:rPr>
      </w:pPr>
      <w:hyperlink w:anchor="_Toc97793398" w:history="1">
        <w:r w:rsidR="00D37A97" w:rsidRPr="00F42D4F">
          <w:rPr>
            <w:rStyle w:val="Hyperlink"/>
            <w:noProof/>
          </w:rPr>
          <w:t>Table 3.12 Food of Increased Regulatory Interest</w:t>
        </w:r>
        <w:r w:rsidR="00D37A97">
          <w:rPr>
            <w:noProof/>
            <w:webHidden/>
          </w:rPr>
          <w:tab/>
        </w:r>
        <w:r w:rsidR="00D37A97">
          <w:rPr>
            <w:noProof/>
            <w:webHidden/>
          </w:rPr>
          <w:fldChar w:fldCharType="begin"/>
        </w:r>
        <w:r w:rsidR="00D37A97">
          <w:rPr>
            <w:noProof/>
            <w:webHidden/>
          </w:rPr>
          <w:instrText xml:space="preserve"> PAGEREF _Toc97793398 \h </w:instrText>
        </w:r>
        <w:r w:rsidR="00D37A97">
          <w:rPr>
            <w:noProof/>
            <w:webHidden/>
          </w:rPr>
        </w:r>
        <w:r w:rsidR="00D37A97">
          <w:rPr>
            <w:noProof/>
            <w:webHidden/>
          </w:rPr>
          <w:fldChar w:fldCharType="separate"/>
        </w:r>
        <w:r w:rsidR="00F6061F">
          <w:rPr>
            <w:noProof/>
            <w:webHidden/>
          </w:rPr>
          <w:t>66</w:t>
        </w:r>
        <w:r w:rsidR="00D37A97">
          <w:rPr>
            <w:noProof/>
            <w:webHidden/>
          </w:rPr>
          <w:fldChar w:fldCharType="end"/>
        </w:r>
      </w:hyperlink>
    </w:p>
    <w:p w14:paraId="008C9C31" w14:textId="21F58CC2" w:rsidR="00D37A97" w:rsidRDefault="0012793B" w:rsidP="003C53A8">
      <w:pPr>
        <w:pStyle w:val="TableofFigures"/>
        <w:keepNext/>
        <w:rPr>
          <w:rFonts w:asciiTheme="minorHAnsi" w:eastAsiaTheme="minorEastAsia" w:hAnsiTheme="minorHAnsi" w:cstheme="minorBidi"/>
          <w:noProof/>
          <w:sz w:val="22"/>
          <w:szCs w:val="22"/>
        </w:rPr>
      </w:pPr>
      <w:hyperlink w:anchor="_Toc97793399" w:history="1">
        <w:r w:rsidR="00D37A97" w:rsidRPr="00F42D4F">
          <w:rPr>
            <w:rStyle w:val="Hyperlink"/>
            <w:noProof/>
          </w:rPr>
          <w:t>Table 3.13 Data on competition enforcement, 2016-20</w:t>
        </w:r>
        <w:r w:rsidR="00D37A97">
          <w:rPr>
            <w:noProof/>
            <w:webHidden/>
          </w:rPr>
          <w:tab/>
        </w:r>
        <w:r w:rsidR="00D37A97">
          <w:rPr>
            <w:noProof/>
            <w:webHidden/>
          </w:rPr>
          <w:fldChar w:fldCharType="begin"/>
        </w:r>
        <w:r w:rsidR="00D37A97">
          <w:rPr>
            <w:noProof/>
            <w:webHidden/>
          </w:rPr>
          <w:instrText xml:space="preserve"> PAGEREF _Toc97793399 \h </w:instrText>
        </w:r>
        <w:r w:rsidR="00D37A97">
          <w:rPr>
            <w:noProof/>
            <w:webHidden/>
          </w:rPr>
        </w:r>
        <w:r w:rsidR="00D37A97">
          <w:rPr>
            <w:noProof/>
            <w:webHidden/>
          </w:rPr>
          <w:fldChar w:fldCharType="separate"/>
        </w:r>
        <w:r w:rsidR="00F6061F">
          <w:rPr>
            <w:noProof/>
            <w:webHidden/>
          </w:rPr>
          <w:t>71</w:t>
        </w:r>
        <w:r w:rsidR="00D37A97">
          <w:rPr>
            <w:noProof/>
            <w:webHidden/>
          </w:rPr>
          <w:fldChar w:fldCharType="end"/>
        </w:r>
      </w:hyperlink>
    </w:p>
    <w:p w14:paraId="2D50BD1F" w14:textId="4D3729BF" w:rsidR="00D37A97" w:rsidRDefault="0012793B" w:rsidP="003C53A8">
      <w:pPr>
        <w:pStyle w:val="TableofFigures"/>
        <w:keepNext/>
        <w:rPr>
          <w:rFonts w:asciiTheme="minorHAnsi" w:eastAsiaTheme="minorEastAsia" w:hAnsiTheme="minorHAnsi" w:cstheme="minorBidi"/>
          <w:noProof/>
          <w:sz w:val="22"/>
          <w:szCs w:val="22"/>
        </w:rPr>
      </w:pPr>
      <w:hyperlink w:anchor="_Toc97793400" w:history="1">
        <w:r w:rsidR="00D37A97" w:rsidRPr="00F42D4F">
          <w:rPr>
            <w:rStyle w:val="Hyperlink"/>
            <w:noProof/>
          </w:rPr>
          <w:t>Table 3.14 Signed bilateral agreements/arrangements on competition issues, 2016-21</w:t>
        </w:r>
        <w:r w:rsidR="00D37A97">
          <w:rPr>
            <w:noProof/>
            <w:webHidden/>
          </w:rPr>
          <w:tab/>
        </w:r>
        <w:r w:rsidR="00D37A97">
          <w:rPr>
            <w:noProof/>
            <w:webHidden/>
          </w:rPr>
          <w:fldChar w:fldCharType="begin"/>
        </w:r>
        <w:r w:rsidR="00D37A97">
          <w:rPr>
            <w:noProof/>
            <w:webHidden/>
          </w:rPr>
          <w:instrText xml:space="preserve"> PAGEREF _Toc97793400 \h </w:instrText>
        </w:r>
        <w:r w:rsidR="00D37A97">
          <w:rPr>
            <w:noProof/>
            <w:webHidden/>
          </w:rPr>
        </w:r>
        <w:r w:rsidR="00D37A97">
          <w:rPr>
            <w:noProof/>
            <w:webHidden/>
          </w:rPr>
          <w:fldChar w:fldCharType="separate"/>
        </w:r>
        <w:r w:rsidR="00F6061F">
          <w:rPr>
            <w:noProof/>
            <w:webHidden/>
          </w:rPr>
          <w:t>72</w:t>
        </w:r>
        <w:r w:rsidR="00D37A97">
          <w:rPr>
            <w:noProof/>
            <w:webHidden/>
          </w:rPr>
          <w:fldChar w:fldCharType="end"/>
        </w:r>
      </w:hyperlink>
    </w:p>
    <w:p w14:paraId="0D742662" w14:textId="4E9696DC" w:rsidR="00D37A97" w:rsidRDefault="0012793B" w:rsidP="003C53A8">
      <w:pPr>
        <w:pStyle w:val="TableofFigures"/>
        <w:keepNext/>
        <w:rPr>
          <w:rFonts w:asciiTheme="minorHAnsi" w:eastAsiaTheme="minorEastAsia" w:hAnsiTheme="minorHAnsi" w:cstheme="minorBidi"/>
          <w:noProof/>
          <w:sz w:val="22"/>
          <w:szCs w:val="22"/>
        </w:rPr>
      </w:pPr>
      <w:hyperlink w:anchor="_Toc97793401" w:history="1">
        <w:r w:rsidR="00D37A97" w:rsidRPr="00F42D4F">
          <w:rPr>
            <w:rStyle w:val="Hyperlink"/>
            <w:noProof/>
          </w:rPr>
          <w:t>Table 3.15 Summary of RTAs with competition chapters signed, 2016-21</w:t>
        </w:r>
        <w:r w:rsidR="00D37A97">
          <w:rPr>
            <w:noProof/>
            <w:webHidden/>
          </w:rPr>
          <w:tab/>
        </w:r>
        <w:r w:rsidR="00D37A97">
          <w:rPr>
            <w:noProof/>
            <w:webHidden/>
          </w:rPr>
          <w:fldChar w:fldCharType="begin"/>
        </w:r>
        <w:r w:rsidR="00D37A97">
          <w:rPr>
            <w:noProof/>
            <w:webHidden/>
          </w:rPr>
          <w:instrText xml:space="preserve"> PAGEREF _Toc97793401 \h </w:instrText>
        </w:r>
        <w:r w:rsidR="00D37A97">
          <w:rPr>
            <w:noProof/>
            <w:webHidden/>
          </w:rPr>
        </w:r>
        <w:r w:rsidR="00D37A97">
          <w:rPr>
            <w:noProof/>
            <w:webHidden/>
          </w:rPr>
          <w:fldChar w:fldCharType="separate"/>
        </w:r>
        <w:r w:rsidR="00F6061F">
          <w:rPr>
            <w:noProof/>
            <w:webHidden/>
          </w:rPr>
          <w:t>72</w:t>
        </w:r>
        <w:r w:rsidR="00D37A97">
          <w:rPr>
            <w:noProof/>
            <w:webHidden/>
          </w:rPr>
          <w:fldChar w:fldCharType="end"/>
        </w:r>
      </w:hyperlink>
    </w:p>
    <w:p w14:paraId="3BF12D98" w14:textId="0490A521" w:rsidR="00D37A97" w:rsidRDefault="0012793B" w:rsidP="003C53A8">
      <w:pPr>
        <w:pStyle w:val="TableofFigures"/>
        <w:keepNext/>
        <w:rPr>
          <w:rFonts w:asciiTheme="minorHAnsi" w:eastAsiaTheme="minorEastAsia" w:hAnsiTheme="minorHAnsi" w:cstheme="minorBidi"/>
          <w:noProof/>
          <w:sz w:val="22"/>
          <w:szCs w:val="22"/>
        </w:rPr>
      </w:pPr>
      <w:hyperlink w:anchor="_Toc97793402" w:history="1">
        <w:r w:rsidR="00D37A97" w:rsidRPr="00F42D4F">
          <w:rPr>
            <w:rStyle w:val="Hyperlink"/>
            <w:noProof/>
          </w:rPr>
          <w:t>Table 3.16 Illustrative list of firms with state participation, 2021</w:t>
        </w:r>
        <w:r w:rsidR="00D37A97">
          <w:rPr>
            <w:noProof/>
            <w:webHidden/>
          </w:rPr>
          <w:tab/>
        </w:r>
        <w:r w:rsidR="00D37A97">
          <w:rPr>
            <w:noProof/>
            <w:webHidden/>
          </w:rPr>
          <w:fldChar w:fldCharType="begin"/>
        </w:r>
        <w:r w:rsidR="00D37A97">
          <w:rPr>
            <w:noProof/>
            <w:webHidden/>
          </w:rPr>
          <w:instrText xml:space="preserve"> PAGEREF _Toc97793402 \h </w:instrText>
        </w:r>
        <w:r w:rsidR="00D37A97">
          <w:rPr>
            <w:noProof/>
            <w:webHidden/>
          </w:rPr>
        </w:r>
        <w:r w:rsidR="00D37A97">
          <w:rPr>
            <w:noProof/>
            <w:webHidden/>
          </w:rPr>
          <w:fldChar w:fldCharType="separate"/>
        </w:r>
        <w:r w:rsidR="00F6061F">
          <w:rPr>
            <w:noProof/>
            <w:webHidden/>
          </w:rPr>
          <w:t>73</w:t>
        </w:r>
        <w:r w:rsidR="00D37A97">
          <w:rPr>
            <w:noProof/>
            <w:webHidden/>
          </w:rPr>
          <w:fldChar w:fldCharType="end"/>
        </w:r>
      </w:hyperlink>
    </w:p>
    <w:p w14:paraId="2E6EF3F4" w14:textId="5DBD2863" w:rsidR="00D37A97" w:rsidRDefault="0012793B" w:rsidP="003C53A8">
      <w:pPr>
        <w:pStyle w:val="TableofFigures"/>
        <w:keepNext/>
        <w:rPr>
          <w:rFonts w:asciiTheme="minorHAnsi" w:eastAsiaTheme="minorEastAsia" w:hAnsiTheme="minorHAnsi" w:cstheme="minorBidi"/>
          <w:noProof/>
          <w:sz w:val="22"/>
          <w:szCs w:val="22"/>
        </w:rPr>
      </w:pPr>
      <w:hyperlink w:anchor="_Toc97793403" w:history="1">
        <w:r w:rsidR="00D37A97" w:rsidRPr="00F42D4F">
          <w:rPr>
            <w:rStyle w:val="Hyperlink"/>
            <w:noProof/>
          </w:rPr>
          <w:t>Table 3.17 Government procurement in New Zealand, 2015-20</w:t>
        </w:r>
        <w:r w:rsidR="00D37A97">
          <w:rPr>
            <w:noProof/>
            <w:webHidden/>
          </w:rPr>
          <w:tab/>
        </w:r>
        <w:r w:rsidR="00D37A97">
          <w:rPr>
            <w:noProof/>
            <w:webHidden/>
          </w:rPr>
          <w:fldChar w:fldCharType="begin"/>
        </w:r>
        <w:r w:rsidR="00D37A97">
          <w:rPr>
            <w:noProof/>
            <w:webHidden/>
          </w:rPr>
          <w:instrText xml:space="preserve"> PAGEREF _Toc97793403 \h </w:instrText>
        </w:r>
        <w:r w:rsidR="00D37A97">
          <w:rPr>
            <w:noProof/>
            <w:webHidden/>
          </w:rPr>
        </w:r>
        <w:r w:rsidR="00D37A97">
          <w:rPr>
            <w:noProof/>
            <w:webHidden/>
          </w:rPr>
          <w:fldChar w:fldCharType="separate"/>
        </w:r>
        <w:r w:rsidR="00F6061F">
          <w:rPr>
            <w:noProof/>
            <w:webHidden/>
          </w:rPr>
          <w:t>75</w:t>
        </w:r>
        <w:r w:rsidR="00D37A97">
          <w:rPr>
            <w:noProof/>
            <w:webHidden/>
          </w:rPr>
          <w:fldChar w:fldCharType="end"/>
        </w:r>
      </w:hyperlink>
    </w:p>
    <w:p w14:paraId="71919D9F" w14:textId="7B4167F6" w:rsidR="00D37A97" w:rsidRDefault="0012793B" w:rsidP="003C53A8">
      <w:pPr>
        <w:pStyle w:val="TableofFigures"/>
        <w:keepNext/>
        <w:rPr>
          <w:rFonts w:asciiTheme="minorHAnsi" w:eastAsiaTheme="minorEastAsia" w:hAnsiTheme="minorHAnsi" w:cstheme="minorBidi"/>
          <w:noProof/>
          <w:sz w:val="22"/>
          <w:szCs w:val="22"/>
        </w:rPr>
      </w:pPr>
      <w:hyperlink w:anchor="_Toc97793404" w:history="1">
        <w:r w:rsidR="00D37A97" w:rsidRPr="00F42D4F">
          <w:rPr>
            <w:rStyle w:val="Hyperlink"/>
            <w:noProof/>
          </w:rPr>
          <w:t>Table 3.18 Number of IP items intercepted and IP interception incidents, 2014-19</w:t>
        </w:r>
        <w:r w:rsidR="00D37A97">
          <w:rPr>
            <w:noProof/>
            <w:webHidden/>
          </w:rPr>
          <w:tab/>
        </w:r>
        <w:r w:rsidR="00D37A97">
          <w:rPr>
            <w:noProof/>
            <w:webHidden/>
          </w:rPr>
          <w:fldChar w:fldCharType="begin"/>
        </w:r>
        <w:r w:rsidR="00D37A97">
          <w:rPr>
            <w:noProof/>
            <w:webHidden/>
          </w:rPr>
          <w:instrText xml:space="preserve"> PAGEREF _Toc97793404 \h </w:instrText>
        </w:r>
        <w:r w:rsidR="00D37A97">
          <w:rPr>
            <w:noProof/>
            <w:webHidden/>
          </w:rPr>
        </w:r>
        <w:r w:rsidR="00D37A97">
          <w:rPr>
            <w:noProof/>
            <w:webHidden/>
          </w:rPr>
          <w:fldChar w:fldCharType="separate"/>
        </w:r>
        <w:r w:rsidR="00F6061F">
          <w:rPr>
            <w:noProof/>
            <w:webHidden/>
          </w:rPr>
          <w:t>89</w:t>
        </w:r>
        <w:r w:rsidR="00D37A97">
          <w:rPr>
            <w:noProof/>
            <w:webHidden/>
          </w:rPr>
          <w:fldChar w:fldCharType="end"/>
        </w:r>
      </w:hyperlink>
    </w:p>
    <w:p w14:paraId="7A58CFA0" w14:textId="0311F1E9" w:rsidR="00D37A97" w:rsidRDefault="0012793B" w:rsidP="003C53A8">
      <w:pPr>
        <w:pStyle w:val="TableofFigures"/>
        <w:keepNext/>
        <w:rPr>
          <w:rFonts w:asciiTheme="minorHAnsi" w:eastAsiaTheme="minorEastAsia" w:hAnsiTheme="minorHAnsi" w:cstheme="minorBidi"/>
          <w:noProof/>
          <w:sz w:val="22"/>
          <w:szCs w:val="22"/>
        </w:rPr>
      </w:pPr>
      <w:hyperlink w:anchor="_Toc97793405" w:history="1">
        <w:r w:rsidR="00D37A97" w:rsidRPr="00F42D4F">
          <w:rPr>
            <w:rStyle w:val="Hyperlink"/>
            <w:noProof/>
          </w:rPr>
          <w:t>Table 4.1 Agriculture production by main categories, 2015-20</w:t>
        </w:r>
        <w:r w:rsidR="00D37A97">
          <w:rPr>
            <w:noProof/>
            <w:webHidden/>
          </w:rPr>
          <w:tab/>
        </w:r>
        <w:r w:rsidR="00D37A97">
          <w:rPr>
            <w:noProof/>
            <w:webHidden/>
          </w:rPr>
          <w:fldChar w:fldCharType="begin"/>
        </w:r>
        <w:r w:rsidR="00D37A97">
          <w:rPr>
            <w:noProof/>
            <w:webHidden/>
          </w:rPr>
          <w:instrText xml:space="preserve"> PAGEREF _Toc97793405 \h </w:instrText>
        </w:r>
        <w:r w:rsidR="00D37A97">
          <w:rPr>
            <w:noProof/>
            <w:webHidden/>
          </w:rPr>
        </w:r>
        <w:r w:rsidR="00D37A97">
          <w:rPr>
            <w:noProof/>
            <w:webHidden/>
          </w:rPr>
          <w:fldChar w:fldCharType="separate"/>
        </w:r>
        <w:r w:rsidR="00F6061F">
          <w:rPr>
            <w:noProof/>
            <w:webHidden/>
          </w:rPr>
          <w:t>93</w:t>
        </w:r>
        <w:r w:rsidR="00D37A97">
          <w:rPr>
            <w:noProof/>
            <w:webHidden/>
          </w:rPr>
          <w:fldChar w:fldCharType="end"/>
        </w:r>
      </w:hyperlink>
    </w:p>
    <w:p w14:paraId="3C22187F" w14:textId="6B2D4891" w:rsidR="00D37A97" w:rsidRDefault="0012793B" w:rsidP="003C53A8">
      <w:pPr>
        <w:pStyle w:val="TableofFigures"/>
        <w:keepNext/>
        <w:rPr>
          <w:rFonts w:asciiTheme="minorHAnsi" w:eastAsiaTheme="minorEastAsia" w:hAnsiTheme="minorHAnsi" w:cstheme="minorBidi"/>
          <w:noProof/>
          <w:sz w:val="22"/>
          <w:szCs w:val="22"/>
        </w:rPr>
      </w:pPr>
      <w:hyperlink w:anchor="_Toc97793406" w:history="1">
        <w:r w:rsidR="00D37A97" w:rsidRPr="00F42D4F">
          <w:rPr>
            <w:rStyle w:val="Hyperlink"/>
            <w:noProof/>
          </w:rPr>
          <w:t>Table 4.2 Energy production and its breakdown by source, 2015-20</w:t>
        </w:r>
        <w:r w:rsidR="00D37A97">
          <w:rPr>
            <w:noProof/>
            <w:webHidden/>
          </w:rPr>
          <w:tab/>
        </w:r>
        <w:r w:rsidR="00D37A97">
          <w:rPr>
            <w:noProof/>
            <w:webHidden/>
          </w:rPr>
          <w:fldChar w:fldCharType="begin"/>
        </w:r>
        <w:r w:rsidR="00D37A97">
          <w:rPr>
            <w:noProof/>
            <w:webHidden/>
          </w:rPr>
          <w:instrText xml:space="preserve"> PAGEREF _Toc97793406 \h </w:instrText>
        </w:r>
        <w:r w:rsidR="00D37A97">
          <w:rPr>
            <w:noProof/>
            <w:webHidden/>
          </w:rPr>
        </w:r>
        <w:r w:rsidR="00D37A97">
          <w:rPr>
            <w:noProof/>
            <w:webHidden/>
          </w:rPr>
          <w:fldChar w:fldCharType="separate"/>
        </w:r>
        <w:r w:rsidR="00F6061F">
          <w:rPr>
            <w:noProof/>
            <w:webHidden/>
          </w:rPr>
          <w:t>98</w:t>
        </w:r>
        <w:r w:rsidR="00D37A97">
          <w:rPr>
            <w:noProof/>
            <w:webHidden/>
          </w:rPr>
          <w:fldChar w:fldCharType="end"/>
        </w:r>
      </w:hyperlink>
    </w:p>
    <w:p w14:paraId="0312A538" w14:textId="61D1724C" w:rsidR="00D37A97" w:rsidRDefault="0012793B" w:rsidP="003C53A8">
      <w:pPr>
        <w:pStyle w:val="TableofFigures"/>
        <w:keepNext/>
        <w:rPr>
          <w:rFonts w:asciiTheme="minorHAnsi" w:eastAsiaTheme="minorEastAsia" w:hAnsiTheme="minorHAnsi" w:cstheme="minorBidi"/>
          <w:noProof/>
          <w:sz w:val="22"/>
          <w:szCs w:val="22"/>
        </w:rPr>
      </w:pPr>
      <w:hyperlink w:anchor="_Toc97793407" w:history="1">
        <w:r w:rsidR="00D37A97" w:rsidRPr="00F42D4F">
          <w:rPr>
            <w:rStyle w:val="Hyperlink"/>
            <w:noProof/>
          </w:rPr>
          <w:t>Table 4.3 Total energy consumption by sector/user, 2015-20</w:t>
        </w:r>
        <w:r w:rsidR="00D37A97">
          <w:rPr>
            <w:noProof/>
            <w:webHidden/>
          </w:rPr>
          <w:tab/>
        </w:r>
        <w:r w:rsidR="00D37A97">
          <w:rPr>
            <w:noProof/>
            <w:webHidden/>
          </w:rPr>
          <w:fldChar w:fldCharType="begin"/>
        </w:r>
        <w:r w:rsidR="00D37A97">
          <w:rPr>
            <w:noProof/>
            <w:webHidden/>
          </w:rPr>
          <w:instrText xml:space="preserve"> PAGEREF _Toc97793407 \h </w:instrText>
        </w:r>
        <w:r w:rsidR="00D37A97">
          <w:rPr>
            <w:noProof/>
            <w:webHidden/>
          </w:rPr>
        </w:r>
        <w:r w:rsidR="00D37A97">
          <w:rPr>
            <w:noProof/>
            <w:webHidden/>
          </w:rPr>
          <w:fldChar w:fldCharType="separate"/>
        </w:r>
        <w:r w:rsidR="00F6061F">
          <w:rPr>
            <w:noProof/>
            <w:webHidden/>
          </w:rPr>
          <w:t>98</w:t>
        </w:r>
        <w:r w:rsidR="00D37A97">
          <w:rPr>
            <w:noProof/>
            <w:webHidden/>
          </w:rPr>
          <w:fldChar w:fldCharType="end"/>
        </w:r>
      </w:hyperlink>
    </w:p>
    <w:p w14:paraId="7D590A17" w14:textId="28660DAE" w:rsidR="00D37A97" w:rsidRDefault="0012793B" w:rsidP="003C53A8">
      <w:pPr>
        <w:pStyle w:val="TableofFigures"/>
        <w:keepNext/>
        <w:rPr>
          <w:rFonts w:asciiTheme="minorHAnsi" w:eastAsiaTheme="minorEastAsia" w:hAnsiTheme="minorHAnsi" w:cstheme="minorBidi"/>
          <w:noProof/>
          <w:sz w:val="22"/>
          <w:szCs w:val="22"/>
        </w:rPr>
      </w:pPr>
      <w:hyperlink w:anchor="_Toc97793408" w:history="1">
        <w:r w:rsidR="00D37A97" w:rsidRPr="00F42D4F">
          <w:rPr>
            <w:rStyle w:val="Hyperlink"/>
            <w:noProof/>
          </w:rPr>
          <w:t>Table 4.4 New Zealand's installed power generation capacity, 2015-20</w:t>
        </w:r>
        <w:r w:rsidR="00D37A97">
          <w:rPr>
            <w:noProof/>
            <w:webHidden/>
          </w:rPr>
          <w:tab/>
        </w:r>
        <w:r w:rsidR="00D37A97">
          <w:rPr>
            <w:noProof/>
            <w:webHidden/>
          </w:rPr>
          <w:fldChar w:fldCharType="begin"/>
        </w:r>
        <w:r w:rsidR="00D37A97">
          <w:rPr>
            <w:noProof/>
            <w:webHidden/>
          </w:rPr>
          <w:instrText xml:space="preserve"> PAGEREF _Toc97793408 \h </w:instrText>
        </w:r>
        <w:r w:rsidR="00D37A97">
          <w:rPr>
            <w:noProof/>
            <w:webHidden/>
          </w:rPr>
        </w:r>
        <w:r w:rsidR="00D37A97">
          <w:rPr>
            <w:noProof/>
            <w:webHidden/>
          </w:rPr>
          <w:fldChar w:fldCharType="separate"/>
        </w:r>
        <w:r w:rsidR="00F6061F">
          <w:rPr>
            <w:noProof/>
            <w:webHidden/>
          </w:rPr>
          <w:t>99</w:t>
        </w:r>
        <w:r w:rsidR="00D37A97">
          <w:rPr>
            <w:noProof/>
            <w:webHidden/>
          </w:rPr>
          <w:fldChar w:fldCharType="end"/>
        </w:r>
      </w:hyperlink>
    </w:p>
    <w:p w14:paraId="5BE50FC3" w14:textId="1E36B39A" w:rsidR="00D37A97" w:rsidRDefault="0012793B" w:rsidP="003C53A8">
      <w:pPr>
        <w:pStyle w:val="TableofFigures"/>
        <w:keepNext/>
        <w:rPr>
          <w:rFonts w:asciiTheme="minorHAnsi" w:eastAsiaTheme="minorEastAsia" w:hAnsiTheme="minorHAnsi" w:cstheme="minorBidi"/>
          <w:noProof/>
          <w:sz w:val="22"/>
          <w:szCs w:val="22"/>
        </w:rPr>
      </w:pPr>
      <w:hyperlink w:anchor="_Toc97793409" w:history="1">
        <w:r w:rsidR="00D37A97" w:rsidRPr="00F42D4F">
          <w:rPr>
            <w:rStyle w:val="Hyperlink"/>
            <w:noProof/>
          </w:rPr>
          <w:t>Table 4.5 New Zealand's production, imports, and exports of oil and gas, 2015-20</w:t>
        </w:r>
        <w:r w:rsidR="00D37A97">
          <w:rPr>
            <w:noProof/>
            <w:webHidden/>
          </w:rPr>
          <w:tab/>
        </w:r>
        <w:r w:rsidR="00D37A97">
          <w:rPr>
            <w:noProof/>
            <w:webHidden/>
          </w:rPr>
          <w:fldChar w:fldCharType="begin"/>
        </w:r>
        <w:r w:rsidR="00D37A97">
          <w:rPr>
            <w:noProof/>
            <w:webHidden/>
          </w:rPr>
          <w:instrText xml:space="preserve"> PAGEREF _Toc97793409 \h </w:instrText>
        </w:r>
        <w:r w:rsidR="00D37A97">
          <w:rPr>
            <w:noProof/>
            <w:webHidden/>
          </w:rPr>
        </w:r>
        <w:r w:rsidR="00D37A97">
          <w:rPr>
            <w:noProof/>
            <w:webHidden/>
          </w:rPr>
          <w:fldChar w:fldCharType="separate"/>
        </w:r>
        <w:r w:rsidR="00F6061F">
          <w:rPr>
            <w:noProof/>
            <w:webHidden/>
          </w:rPr>
          <w:t>101</w:t>
        </w:r>
        <w:r w:rsidR="00D37A97">
          <w:rPr>
            <w:noProof/>
            <w:webHidden/>
          </w:rPr>
          <w:fldChar w:fldCharType="end"/>
        </w:r>
      </w:hyperlink>
    </w:p>
    <w:p w14:paraId="7D9AA2E6" w14:textId="15275B9F" w:rsidR="00D37A97" w:rsidRDefault="0012793B" w:rsidP="003C53A8">
      <w:pPr>
        <w:pStyle w:val="TableofFigures"/>
        <w:keepNext/>
        <w:rPr>
          <w:rFonts w:asciiTheme="minorHAnsi" w:eastAsiaTheme="minorEastAsia" w:hAnsiTheme="minorHAnsi" w:cstheme="minorBidi"/>
          <w:noProof/>
          <w:sz w:val="22"/>
          <w:szCs w:val="22"/>
        </w:rPr>
      </w:pPr>
      <w:hyperlink w:anchor="_Toc97793410" w:history="1">
        <w:r w:rsidR="00D37A97" w:rsidRPr="00F42D4F">
          <w:rPr>
            <w:rStyle w:val="Hyperlink"/>
            <w:noProof/>
          </w:rPr>
          <w:t>Table 4.6 Manufacturing production by main subsector, 2015-20</w:t>
        </w:r>
        <w:r w:rsidR="00D37A97">
          <w:rPr>
            <w:noProof/>
            <w:webHidden/>
          </w:rPr>
          <w:tab/>
        </w:r>
        <w:r w:rsidR="00D37A97">
          <w:rPr>
            <w:noProof/>
            <w:webHidden/>
          </w:rPr>
          <w:fldChar w:fldCharType="begin"/>
        </w:r>
        <w:r w:rsidR="00D37A97">
          <w:rPr>
            <w:noProof/>
            <w:webHidden/>
          </w:rPr>
          <w:instrText xml:space="preserve"> PAGEREF _Toc97793410 \h </w:instrText>
        </w:r>
        <w:r w:rsidR="00D37A97">
          <w:rPr>
            <w:noProof/>
            <w:webHidden/>
          </w:rPr>
        </w:r>
        <w:r w:rsidR="00D37A97">
          <w:rPr>
            <w:noProof/>
            <w:webHidden/>
          </w:rPr>
          <w:fldChar w:fldCharType="separate"/>
        </w:r>
        <w:r w:rsidR="00F6061F">
          <w:rPr>
            <w:noProof/>
            <w:webHidden/>
          </w:rPr>
          <w:t>102</w:t>
        </w:r>
        <w:r w:rsidR="00D37A97">
          <w:rPr>
            <w:noProof/>
            <w:webHidden/>
          </w:rPr>
          <w:fldChar w:fldCharType="end"/>
        </w:r>
      </w:hyperlink>
    </w:p>
    <w:p w14:paraId="30684372" w14:textId="4546484C" w:rsidR="00D37A97" w:rsidRDefault="0012793B" w:rsidP="003C53A8">
      <w:pPr>
        <w:pStyle w:val="TableofFigures"/>
        <w:keepNext/>
        <w:rPr>
          <w:rFonts w:asciiTheme="minorHAnsi" w:eastAsiaTheme="minorEastAsia" w:hAnsiTheme="minorHAnsi" w:cstheme="minorBidi"/>
          <w:noProof/>
          <w:sz w:val="22"/>
          <w:szCs w:val="22"/>
        </w:rPr>
      </w:pPr>
      <w:hyperlink w:anchor="_Toc97793411" w:history="1">
        <w:r w:rsidR="00D37A97" w:rsidRPr="00F42D4F">
          <w:rPr>
            <w:rStyle w:val="Hyperlink"/>
            <w:noProof/>
          </w:rPr>
          <w:t>Table 4.7 Registered banks, 2022</w:t>
        </w:r>
        <w:r w:rsidR="00D37A97">
          <w:rPr>
            <w:noProof/>
            <w:webHidden/>
          </w:rPr>
          <w:tab/>
        </w:r>
        <w:r w:rsidR="00D37A97">
          <w:rPr>
            <w:noProof/>
            <w:webHidden/>
          </w:rPr>
          <w:fldChar w:fldCharType="begin"/>
        </w:r>
        <w:r w:rsidR="00D37A97">
          <w:rPr>
            <w:noProof/>
            <w:webHidden/>
          </w:rPr>
          <w:instrText xml:space="preserve"> PAGEREF _Toc97793411 \h </w:instrText>
        </w:r>
        <w:r w:rsidR="00D37A97">
          <w:rPr>
            <w:noProof/>
            <w:webHidden/>
          </w:rPr>
        </w:r>
        <w:r w:rsidR="00D37A97">
          <w:rPr>
            <w:noProof/>
            <w:webHidden/>
          </w:rPr>
          <w:fldChar w:fldCharType="separate"/>
        </w:r>
        <w:r w:rsidR="00F6061F">
          <w:rPr>
            <w:noProof/>
            <w:webHidden/>
          </w:rPr>
          <w:t>106</w:t>
        </w:r>
        <w:r w:rsidR="00D37A97">
          <w:rPr>
            <w:noProof/>
            <w:webHidden/>
          </w:rPr>
          <w:fldChar w:fldCharType="end"/>
        </w:r>
      </w:hyperlink>
    </w:p>
    <w:p w14:paraId="2AF049DA" w14:textId="6AD9DEAA" w:rsidR="00D37A97" w:rsidRDefault="0012793B" w:rsidP="003C53A8">
      <w:pPr>
        <w:pStyle w:val="TableofFigures"/>
        <w:keepNext/>
        <w:rPr>
          <w:rFonts w:asciiTheme="minorHAnsi" w:eastAsiaTheme="minorEastAsia" w:hAnsiTheme="minorHAnsi" w:cstheme="minorBidi"/>
          <w:noProof/>
          <w:sz w:val="22"/>
          <w:szCs w:val="22"/>
        </w:rPr>
      </w:pPr>
      <w:hyperlink w:anchor="_Toc97793412" w:history="1">
        <w:r w:rsidR="00D37A97" w:rsidRPr="00F42D4F">
          <w:rPr>
            <w:rStyle w:val="Hyperlink"/>
            <w:noProof/>
          </w:rPr>
          <w:t>Table 4.8 Banking sector indicators, 2015-20</w:t>
        </w:r>
        <w:r w:rsidR="00D37A97">
          <w:rPr>
            <w:noProof/>
            <w:webHidden/>
          </w:rPr>
          <w:tab/>
        </w:r>
        <w:r w:rsidR="00D37A97">
          <w:rPr>
            <w:noProof/>
            <w:webHidden/>
          </w:rPr>
          <w:fldChar w:fldCharType="begin"/>
        </w:r>
        <w:r w:rsidR="00D37A97">
          <w:rPr>
            <w:noProof/>
            <w:webHidden/>
          </w:rPr>
          <w:instrText xml:space="preserve"> PAGEREF _Toc97793412 \h </w:instrText>
        </w:r>
        <w:r w:rsidR="00D37A97">
          <w:rPr>
            <w:noProof/>
            <w:webHidden/>
          </w:rPr>
        </w:r>
        <w:r w:rsidR="00D37A97">
          <w:rPr>
            <w:noProof/>
            <w:webHidden/>
          </w:rPr>
          <w:fldChar w:fldCharType="separate"/>
        </w:r>
        <w:r w:rsidR="00F6061F">
          <w:rPr>
            <w:noProof/>
            <w:webHidden/>
          </w:rPr>
          <w:t>107</w:t>
        </w:r>
        <w:r w:rsidR="00D37A97">
          <w:rPr>
            <w:noProof/>
            <w:webHidden/>
          </w:rPr>
          <w:fldChar w:fldCharType="end"/>
        </w:r>
      </w:hyperlink>
    </w:p>
    <w:p w14:paraId="5F4DF713" w14:textId="70ABF776" w:rsidR="00D37A97" w:rsidRDefault="0012793B" w:rsidP="003C53A8">
      <w:pPr>
        <w:pStyle w:val="TableofFigures"/>
        <w:keepNext/>
        <w:rPr>
          <w:rFonts w:asciiTheme="minorHAnsi" w:eastAsiaTheme="minorEastAsia" w:hAnsiTheme="minorHAnsi" w:cstheme="minorBidi"/>
          <w:noProof/>
          <w:sz w:val="22"/>
          <w:szCs w:val="22"/>
        </w:rPr>
      </w:pPr>
      <w:hyperlink w:anchor="_Toc97793413" w:history="1">
        <w:r w:rsidR="00D37A97" w:rsidRPr="00F42D4F">
          <w:rPr>
            <w:rStyle w:val="Hyperlink"/>
            <w:noProof/>
          </w:rPr>
          <w:t>Table 4.9 New Zealand telecommunications snapshot statistics, 2013/14-2019/20</w:t>
        </w:r>
        <w:r w:rsidR="00D37A97">
          <w:rPr>
            <w:noProof/>
            <w:webHidden/>
          </w:rPr>
          <w:tab/>
        </w:r>
        <w:r w:rsidR="00D37A97">
          <w:rPr>
            <w:noProof/>
            <w:webHidden/>
          </w:rPr>
          <w:fldChar w:fldCharType="begin"/>
        </w:r>
        <w:r w:rsidR="00D37A97">
          <w:rPr>
            <w:noProof/>
            <w:webHidden/>
          </w:rPr>
          <w:instrText xml:space="preserve"> PAGEREF _Toc97793413 \h </w:instrText>
        </w:r>
        <w:r w:rsidR="00D37A97">
          <w:rPr>
            <w:noProof/>
            <w:webHidden/>
          </w:rPr>
        </w:r>
        <w:r w:rsidR="00D37A97">
          <w:rPr>
            <w:noProof/>
            <w:webHidden/>
          </w:rPr>
          <w:fldChar w:fldCharType="separate"/>
        </w:r>
        <w:r w:rsidR="00F6061F">
          <w:rPr>
            <w:noProof/>
            <w:webHidden/>
          </w:rPr>
          <w:t>111</w:t>
        </w:r>
        <w:r w:rsidR="00D37A97">
          <w:rPr>
            <w:noProof/>
            <w:webHidden/>
          </w:rPr>
          <w:fldChar w:fldCharType="end"/>
        </w:r>
      </w:hyperlink>
    </w:p>
    <w:p w14:paraId="4D0C8DA9" w14:textId="5094C017" w:rsidR="00D37A97" w:rsidRDefault="0012793B" w:rsidP="003C53A8">
      <w:pPr>
        <w:pStyle w:val="TableofFigures"/>
        <w:keepNext/>
        <w:rPr>
          <w:rFonts w:asciiTheme="minorHAnsi" w:eastAsiaTheme="minorEastAsia" w:hAnsiTheme="minorHAnsi" w:cstheme="minorBidi"/>
          <w:noProof/>
          <w:sz w:val="22"/>
          <w:szCs w:val="22"/>
        </w:rPr>
      </w:pPr>
      <w:hyperlink w:anchor="_Toc97793414" w:history="1">
        <w:r w:rsidR="00D37A97" w:rsidRPr="00F42D4F">
          <w:rPr>
            <w:rStyle w:val="Hyperlink"/>
            <w:noProof/>
          </w:rPr>
          <w:t>Table 4.10 Visitors by key markets with percentage of total, 2015-21</w:t>
        </w:r>
        <w:r w:rsidR="00D37A97">
          <w:rPr>
            <w:noProof/>
            <w:webHidden/>
          </w:rPr>
          <w:tab/>
        </w:r>
        <w:r w:rsidR="00D37A97">
          <w:rPr>
            <w:noProof/>
            <w:webHidden/>
          </w:rPr>
          <w:fldChar w:fldCharType="begin"/>
        </w:r>
        <w:r w:rsidR="00D37A97">
          <w:rPr>
            <w:noProof/>
            <w:webHidden/>
          </w:rPr>
          <w:instrText xml:space="preserve"> PAGEREF _Toc97793414 \h </w:instrText>
        </w:r>
        <w:r w:rsidR="00D37A97">
          <w:rPr>
            <w:noProof/>
            <w:webHidden/>
          </w:rPr>
        </w:r>
        <w:r w:rsidR="00D37A97">
          <w:rPr>
            <w:noProof/>
            <w:webHidden/>
          </w:rPr>
          <w:fldChar w:fldCharType="separate"/>
        </w:r>
        <w:r w:rsidR="00F6061F">
          <w:rPr>
            <w:noProof/>
            <w:webHidden/>
          </w:rPr>
          <w:t>120</w:t>
        </w:r>
        <w:r w:rsidR="00D37A97">
          <w:rPr>
            <w:noProof/>
            <w:webHidden/>
          </w:rPr>
          <w:fldChar w:fldCharType="end"/>
        </w:r>
      </w:hyperlink>
    </w:p>
    <w:p w14:paraId="48DE47CD" w14:textId="75A36C99" w:rsidR="00120717" w:rsidRPr="00B93EE1" w:rsidRDefault="00120717" w:rsidP="003C53A8">
      <w:pPr>
        <w:keepNext/>
        <w:spacing w:before="120" w:after="120"/>
      </w:pPr>
      <w:r w:rsidRPr="00B93EE1">
        <w:rPr>
          <w:b/>
          <w:bCs/>
        </w:rPr>
        <w:fldChar w:fldCharType="end"/>
      </w:r>
    </w:p>
    <w:p w14:paraId="20F03FF8" w14:textId="77777777" w:rsidR="003C53A8" w:rsidRDefault="003C53A8">
      <w:pPr>
        <w:spacing w:after="200" w:line="276" w:lineRule="auto"/>
        <w:jc w:val="left"/>
        <w:rPr>
          <w:rFonts w:eastAsia="Times New Roman" w:cs="Times New Roman"/>
          <w:b/>
          <w:bCs/>
          <w:szCs w:val="28"/>
          <w:lang w:eastAsia="en-GB"/>
        </w:rPr>
      </w:pPr>
      <w:r>
        <w:br w:type="page"/>
      </w:r>
    </w:p>
    <w:p w14:paraId="12756C27" w14:textId="7FEF788A" w:rsidR="00120717" w:rsidRPr="00B93EE1" w:rsidRDefault="00120717" w:rsidP="00732A15">
      <w:pPr>
        <w:pStyle w:val="TOCHeading"/>
        <w:spacing w:before="120" w:after="120"/>
      </w:pPr>
      <w:r w:rsidRPr="00B93EE1">
        <w:lastRenderedPageBreak/>
        <w:t>BOXES</w:t>
      </w:r>
    </w:p>
    <w:p w14:paraId="3DC2BE21" w14:textId="77777777" w:rsidR="00120717" w:rsidRPr="00B93EE1" w:rsidRDefault="00120717" w:rsidP="00732A15">
      <w:pPr>
        <w:keepNext/>
        <w:keepLines/>
        <w:spacing w:before="120" w:after="120"/>
      </w:pPr>
    </w:p>
    <w:p w14:paraId="2D2E11A8" w14:textId="472E8357" w:rsidR="00C83C78" w:rsidRDefault="00120717" w:rsidP="00732A15">
      <w:pPr>
        <w:pStyle w:val="TableofFigures"/>
        <w:rPr>
          <w:rFonts w:asciiTheme="minorHAnsi" w:eastAsiaTheme="minorEastAsia" w:hAnsiTheme="minorHAnsi" w:cstheme="minorBidi"/>
          <w:noProof/>
          <w:sz w:val="22"/>
          <w:szCs w:val="22"/>
        </w:rPr>
      </w:pPr>
      <w:r w:rsidRPr="00B93EE1">
        <w:fldChar w:fldCharType="begin"/>
      </w:r>
      <w:r w:rsidRPr="00B93EE1">
        <w:instrText xml:space="preserve"> TOC \h \z \c "Box" </w:instrText>
      </w:r>
      <w:r w:rsidRPr="00B93EE1">
        <w:fldChar w:fldCharType="separate"/>
      </w:r>
      <w:hyperlink w:anchor="_Toc97743425" w:history="1">
        <w:r w:rsidR="00C83C78" w:rsidRPr="00AC0AB4">
          <w:rPr>
            <w:rStyle w:val="Hyperlink"/>
            <w:noProof/>
          </w:rPr>
          <w:t>Box 2.1 Selected reforms simplifying New Zealand's foreign investment regime</w:t>
        </w:r>
        <w:r w:rsidR="00C83C78">
          <w:rPr>
            <w:noProof/>
            <w:webHidden/>
          </w:rPr>
          <w:tab/>
        </w:r>
        <w:r w:rsidR="00C83C78">
          <w:rPr>
            <w:noProof/>
            <w:webHidden/>
          </w:rPr>
          <w:fldChar w:fldCharType="begin"/>
        </w:r>
        <w:r w:rsidR="00C83C78">
          <w:rPr>
            <w:noProof/>
            <w:webHidden/>
          </w:rPr>
          <w:instrText xml:space="preserve"> PAGEREF _Toc97743425 \h </w:instrText>
        </w:r>
        <w:r w:rsidR="00C83C78">
          <w:rPr>
            <w:noProof/>
            <w:webHidden/>
          </w:rPr>
        </w:r>
        <w:r w:rsidR="00C83C78">
          <w:rPr>
            <w:noProof/>
            <w:webHidden/>
          </w:rPr>
          <w:fldChar w:fldCharType="separate"/>
        </w:r>
        <w:r w:rsidR="00F6061F">
          <w:rPr>
            <w:noProof/>
            <w:webHidden/>
          </w:rPr>
          <w:t>35</w:t>
        </w:r>
        <w:r w:rsidR="00C83C78">
          <w:rPr>
            <w:noProof/>
            <w:webHidden/>
          </w:rPr>
          <w:fldChar w:fldCharType="end"/>
        </w:r>
      </w:hyperlink>
    </w:p>
    <w:p w14:paraId="5B681898" w14:textId="4231D24B" w:rsidR="00C83C78" w:rsidRDefault="0012793B" w:rsidP="00732A15">
      <w:pPr>
        <w:pStyle w:val="TableofFigures"/>
        <w:rPr>
          <w:rFonts w:asciiTheme="minorHAnsi" w:eastAsiaTheme="minorEastAsia" w:hAnsiTheme="minorHAnsi" w:cstheme="minorBidi"/>
          <w:noProof/>
          <w:sz w:val="22"/>
          <w:szCs w:val="22"/>
        </w:rPr>
      </w:pPr>
      <w:hyperlink w:anchor="_Toc97743426" w:history="1">
        <w:r w:rsidR="00C83C78" w:rsidRPr="00AC0AB4">
          <w:rPr>
            <w:rStyle w:val="Hyperlink"/>
            <w:noProof/>
          </w:rPr>
          <w:t>Box 3.1 Development process of New Zealand standards</w:t>
        </w:r>
        <w:r w:rsidR="00C83C78">
          <w:rPr>
            <w:noProof/>
            <w:webHidden/>
          </w:rPr>
          <w:tab/>
        </w:r>
        <w:r w:rsidR="00C83C78">
          <w:rPr>
            <w:noProof/>
            <w:webHidden/>
          </w:rPr>
          <w:fldChar w:fldCharType="begin"/>
        </w:r>
        <w:r w:rsidR="00C83C78">
          <w:rPr>
            <w:noProof/>
            <w:webHidden/>
          </w:rPr>
          <w:instrText xml:space="preserve"> PAGEREF _Toc97743426 \h </w:instrText>
        </w:r>
        <w:r w:rsidR="00C83C78">
          <w:rPr>
            <w:noProof/>
            <w:webHidden/>
          </w:rPr>
        </w:r>
        <w:r w:rsidR="00C83C78">
          <w:rPr>
            <w:noProof/>
            <w:webHidden/>
          </w:rPr>
          <w:fldChar w:fldCharType="separate"/>
        </w:r>
        <w:r w:rsidR="00F6061F">
          <w:rPr>
            <w:noProof/>
            <w:webHidden/>
          </w:rPr>
          <w:t>58</w:t>
        </w:r>
        <w:r w:rsidR="00C83C78">
          <w:rPr>
            <w:noProof/>
            <w:webHidden/>
          </w:rPr>
          <w:fldChar w:fldCharType="end"/>
        </w:r>
      </w:hyperlink>
    </w:p>
    <w:p w14:paraId="438472C2" w14:textId="472617B8" w:rsidR="00C83C78" w:rsidRDefault="0012793B" w:rsidP="00732A15">
      <w:pPr>
        <w:pStyle w:val="TableofFigures"/>
        <w:rPr>
          <w:rFonts w:asciiTheme="minorHAnsi" w:eastAsiaTheme="minorEastAsia" w:hAnsiTheme="minorHAnsi" w:cstheme="minorBidi"/>
          <w:noProof/>
          <w:sz w:val="22"/>
          <w:szCs w:val="22"/>
        </w:rPr>
      </w:pPr>
      <w:hyperlink w:anchor="_Toc97743427" w:history="1">
        <w:r w:rsidR="00C83C78" w:rsidRPr="00AC0AB4">
          <w:rPr>
            <w:rStyle w:val="Hyperlink"/>
            <w:noProof/>
          </w:rPr>
          <w:t>Box 3.2 Conformity assessments and related MRAs signed by New Zealand, 2022</w:t>
        </w:r>
        <w:r w:rsidR="00C83C78">
          <w:rPr>
            <w:noProof/>
            <w:webHidden/>
          </w:rPr>
          <w:tab/>
        </w:r>
        <w:r w:rsidR="00C83C78">
          <w:rPr>
            <w:noProof/>
            <w:webHidden/>
          </w:rPr>
          <w:fldChar w:fldCharType="begin"/>
        </w:r>
        <w:r w:rsidR="00C83C78">
          <w:rPr>
            <w:noProof/>
            <w:webHidden/>
          </w:rPr>
          <w:instrText xml:space="preserve"> PAGEREF _Toc97743427 \h </w:instrText>
        </w:r>
        <w:r w:rsidR="00C83C78">
          <w:rPr>
            <w:noProof/>
            <w:webHidden/>
          </w:rPr>
        </w:r>
        <w:r w:rsidR="00C83C78">
          <w:rPr>
            <w:noProof/>
            <w:webHidden/>
          </w:rPr>
          <w:fldChar w:fldCharType="separate"/>
        </w:r>
        <w:r w:rsidR="00F6061F">
          <w:rPr>
            <w:noProof/>
            <w:webHidden/>
          </w:rPr>
          <w:t>61</w:t>
        </w:r>
        <w:r w:rsidR="00C83C78">
          <w:rPr>
            <w:noProof/>
            <w:webHidden/>
          </w:rPr>
          <w:fldChar w:fldCharType="end"/>
        </w:r>
      </w:hyperlink>
    </w:p>
    <w:p w14:paraId="7304C709" w14:textId="4B3359C3" w:rsidR="00120717" w:rsidRPr="00B93EE1" w:rsidRDefault="00120717" w:rsidP="00732A15">
      <w:pPr>
        <w:keepNext/>
        <w:keepLines/>
        <w:spacing w:before="120" w:after="120"/>
      </w:pPr>
      <w:r w:rsidRPr="00B93EE1">
        <w:rPr>
          <w:b/>
          <w:bCs/>
        </w:rPr>
        <w:fldChar w:fldCharType="end"/>
      </w:r>
    </w:p>
    <w:p w14:paraId="19549650" w14:textId="77777777" w:rsidR="00120717" w:rsidRPr="00B93EE1" w:rsidRDefault="00120717" w:rsidP="00732A15">
      <w:pPr>
        <w:pStyle w:val="TOCHeading"/>
        <w:spacing w:before="120" w:after="120"/>
      </w:pPr>
      <w:r w:rsidRPr="00B93EE1">
        <w:t>APPENDIX TABLES</w:t>
      </w:r>
    </w:p>
    <w:p w14:paraId="5D174038" w14:textId="77777777" w:rsidR="00120717" w:rsidRPr="00B93EE1" w:rsidRDefault="00120717" w:rsidP="00732A15">
      <w:pPr>
        <w:spacing w:before="120" w:after="120"/>
      </w:pPr>
    </w:p>
    <w:p w14:paraId="19C92F0E" w14:textId="6CA7682E" w:rsidR="003D7746" w:rsidRDefault="00120717">
      <w:pPr>
        <w:pStyle w:val="TableofFigures"/>
        <w:rPr>
          <w:rFonts w:asciiTheme="minorHAnsi" w:eastAsiaTheme="minorEastAsia" w:hAnsiTheme="minorHAnsi" w:cstheme="minorBidi"/>
          <w:noProof/>
          <w:sz w:val="22"/>
          <w:szCs w:val="22"/>
          <w:lang w:val="fr-FR" w:eastAsia="fr-FR"/>
        </w:rPr>
      </w:pPr>
      <w:r w:rsidRPr="00B93EE1">
        <w:rPr>
          <w:rStyle w:val="Hyperlink"/>
          <w:rFonts w:eastAsiaTheme="majorEastAsia"/>
          <w:color w:val="auto"/>
        </w:rPr>
        <w:fldChar w:fldCharType="begin"/>
      </w:r>
      <w:r w:rsidRPr="00B93EE1">
        <w:rPr>
          <w:rStyle w:val="Hyperlink"/>
          <w:rFonts w:eastAsiaTheme="majorEastAsia"/>
          <w:color w:val="auto"/>
        </w:rPr>
        <w:instrText xml:space="preserve"> TOC \h \z \c "Table A1." </w:instrText>
      </w:r>
      <w:r w:rsidRPr="00B93EE1">
        <w:rPr>
          <w:rStyle w:val="Hyperlink"/>
          <w:rFonts w:eastAsiaTheme="majorEastAsia"/>
          <w:color w:val="auto"/>
        </w:rPr>
        <w:fldChar w:fldCharType="separate"/>
      </w:r>
      <w:hyperlink w:anchor="_Toc97803822" w:history="1">
        <w:r w:rsidR="003D7746" w:rsidRPr="00382F0A">
          <w:rPr>
            <w:rStyle w:val="Hyperlink"/>
            <w:noProof/>
          </w:rPr>
          <w:t>Table A1.1 Merchandise exports by HS section and major chapter/subheading, 2015-21</w:t>
        </w:r>
        <w:r w:rsidR="003D7746">
          <w:rPr>
            <w:noProof/>
            <w:webHidden/>
          </w:rPr>
          <w:tab/>
        </w:r>
        <w:r w:rsidR="003D7746">
          <w:rPr>
            <w:noProof/>
            <w:webHidden/>
          </w:rPr>
          <w:fldChar w:fldCharType="begin"/>
        </w:r>
        <w:r w:rsidR="003D7746">
          <w:rPr>
            <w:noProof/>
            <w:webHidden/>
          </w:rPr>
          <w:instrText xml:space="preserve"> PAGEREF _Toc97803822 \h </w:instrText>
        </w:r>
        <w:r w:rsidR="003D7746">
          <w:rPr>
            <w:noProof/>
            <w:webHidden/>
          </w:rPr>
        </w:r>
        <w:r w:rsidR="003D7746">
          <w:rPr>
            <w:noProof/>
            <w:webHidden/>
          </w:rPr>
          <w:fldChar w:fldCharType="separate"/>
        </w:r>
        <w:r w:rsidR="00F6061F">
          <w:rPr>
            <w:noProof/>
            <w:webHidden/>
          </w:rPr>
          <w:t>123</w:t>
        </w:r>
        <w:r w:rsidR="003D7746">
          <w:rPr>
            <w:noProof/>
            <w:webHidden/>
          </w:rPr>
          <w:fldChar w:fldCharType="end"/>
        </w:r>
      </w:hyperlink>
    </w:p>
    <w:p w14:paraId="561EE04F" w14:textId="2A75053A" w:rsidR="003D7746" w:rsidRDefault="0012793B">
      <w:pPr>
        <w:pStyle w:val="TableofFigures"/>
        <w:rPr>
          <w:rFonts w:asciiTheme="minorHAnsi" w:eastAsiaTheme="minorEastAsia" w:hAnsiTheme="minorHAnsi" w:cstheme="minorBidi"/>
          <w:noProof/>
          <w:sz w:val="22"/>
          <w:szCs w:val="22"/>
          <w:lang w:val="fr-FR" w:eastAsia="fr-FR"/>
        </w:rPr>
      </w:pPr>
      <w:hyperlink w:anchor="_Toc97803823" w:history="1">
        <w:r w:rsidR="003D7746" w:rsidRPr="00382F0A">
          <w:rPr>
            <w:rStyle w:val="Hyperlink"/>
            <w:noProof/>
          </w:rPr>
          <w:t>Table A1.2 Merchandise exports by destination, 2015-21</w:t>
        </w:r>
        <w:r w:rsidR="003D7746">
          <w:rPr>
            <w:noProof/>
            <w:webHidden/>
          </w:rPr>
          <w:tab/>
        </w:r>
        <w:r w:rsidR="003D7746">
          <w:rPr>
            <w:noProof/>
            <w:webHidden/>
          </w:rPr>
          <w:fldChar w:fldCharType="begin"/>
        </w:r>
        <w:r w:rsidR="003D7746">
          <w:rPr>
            <w:noProof/>
            <w:webHidden/>
          </w:rPr>
          <w:instrText xml:space="preserve"> PAGEREF _Toc97803823 \h </w:instrText>
        </w:r>
        <w:r w:rsidR="003D7746">
          <w:rPr>
            <w:noProof/>
            <w:webHidden/>
          </w:rPr>
        </w:r>
        <w:r w:rsidR="003D7746">
          <w:rPr>
            <w:noProof/>
            <w:webHidden/>
          </w:rPr>
          <w:fldChar w:fldCharType="separate"/>
        </w:r>
        <w:r w:rsidR="00F6061F">
          <w:rPr>
            <w:noProof/>
            <w:webHidden/>
          </w:rPr>
          <w:t>124</w:t>
        </w:r>
        <w:r w:rsidR="003D7746">
          <w:rPr>
            <w:noProof/>
            <w:webHidden/>
          </w:rPr>
          <w:fldChar w:fldCharType="end"/>
        </w:r>
      </w:hyperlink>
    </w:p>
    <w:p w14:paraId="799027B0" w14:textId="3D3D440A" w:rsidR="003D7746" w:rsidRDefault="0012793B">
      <w:pPr>
        <w:pStyle w:val="TableofFigures"/>
        <w:rPr>
          <w:rFonts w:asciiTheme="minorHAnsi" w:eastAsiaTheme="minorEastAsia" w:hAnsiTheme="minorHAnsi" w:cstheme="minorBidi"/>
          <w:noProof/>
          <w:sz w:val="22"/>
          <w:szCs w:val="22"/>
          <w:lang w:val="fr-FR" w:eastAsia="fr-FR"/>
        </w:rPr>
      </w:pPr>
      <w:hyperlink w:anchor="_Toc97803824" w:history="1">
        <w:r w:rsidR="003D7746" w:rsidRPr="00382F0A">
          <w:rPr>
            <w:rStyle w:val="Hyperlink"/>
            <w:noProof/>
          </w:rPr>
          <w:t>Table A1.3 Merchandise imports by HS section and major chapter/subheading, 2015-21</w:t>
        </w:r>
        <w:r w:rsidR="003D7746">
          <w:rPr>
            <w:noProof/>
            <w:webHidden/>
          </w:rPr>
          <w:tab/>
        </w:r>
        <w:r w:rsidR="003D7746">
          <w:rPr>
            <w:noProof/>
            <w:webHidden/>
          </w:rPr>
          <w:fldChar w:fldCharType="begin"/>
        </w:r>
        <w:r w:rsidR="003D7746">
          <w:rPr>
            <w:noProof/>
            <w:webHidden/>
          </w:rPr>
          <w:instrText xml:space="preserve"> PAGEREF _Toc97803824 \h </w:instrText>
        </w:r>
        <w:r w:rsidR="003D7746">
          <w:rPr>
            <w:noProof/>
            <w:webHidden/>
          </w:rPr>
        </w:r>
        <w:r w:rsidR="003D7746">
          <w:rPr>
            <w:noProof/>
            <w:webHidden/>
          </w:rPr>
          <w:fldChar w:fldCharType="separate"/>
        </w:r>
        <w:r w:rsidR="00F6061F">
          <w:rPr>
            <w:noProof/>
            <w:webHidden/>
          </w:rPr>
          <w:t>125</w:t>
        </w:r>
        <w:r w:rsidR="003D7746">
          <w:rPr>
            <w:noProof/>
            <w:webHidden/>
          </w:rPr>
          <w:fldChar w:fldCharType="end"/>
        </w:r>
      </w:hyperlink>
    </w:p>
    <w:p w14:paraId="2A4F87D8" w14:textId="23245A26" w:rsidR="003D7746" w:rsidRDefault="0012793B">
      <w:pPr>
        <w:pStyle w:val="TableofFigures"/>
        <w:rPr>
          <w:rFonts w:asciiTheme="minorHAnsi" w:eastAsiaTheme="minorEastAsia" w:hAnsiTheme="minorHAnsi" w:cstheme="minorBidi"/>
          <w:noProof/>
          <w:sz w:val="22"/>
          <w:szCs w:val="22"/>
          <w:lang w:val="fr-FR" w:eastAsia="fr-FR"/>
        </w:rPr>
      </w:pPr>
      <w:hyperlink w:anchor="_Toc97803825" w:history="1">
        <w:r w:rsidR="003D7746" w:rsidRPr="00382F0A">
          <w:rPr>
            <w:rStyle w:val="Hyperlink"/>
            <w:noProof/>
          </w:rPr>
          <w:t>Table A1.4 Merchandise imports by origin, 2015-21</w:t>
        </w:r>
        <w:r w:rsidR="003D7746">
          <w:rPr>
            <w:noProof/>
            <w:webHidden/>
          </w:rPr>
          <w:tab/>
        </w:r>
        <w:r w:rsidR="003D7746">
          <w:rPr>
            <w:noProof/>
            <w:webHidden/>
          </w:rPr>
          <w:fldChar w:fldCharType="begin"/>
        </w:r>
        <w:r w:rsidR="003D7746">
          <w:rPr>
            <w:noProof/>
            <w:webHidden/>
          </w:rPr>
          <w:instrText xml:space="preserve"> PAGEREF _Toc97803825 \h </w:instrText>
        </w:r>
        <w:r w:rsidR="003D7746">
          <w:rPr>
            <w:noProof/>
            <w:webHidden/>
          </w:rPr>
        </w:r>
        <w:r w:rsidR="003D7746">
          <w:rPr>
            <w:noProof/>
            <w:webHidden/>
          </w:rPr>
          <w:fldChar w:fldCharType="separate"/>
        </w:r>
        <w:r w:rsidR="00F6061F">
          <w:rPr>
            <w:noProof/>
            <w:webHidden/>
          </w:rPr>
          <w:t>126</w:t>
        </w:r>
        <w:r w:rsidR="003D7746">
          <w:rPr>
            <w:noProof/>
            <w:webHidden/>
          </w:rPr>
          <w:fldChar w:fldCharType="end"/>
        </w:r>
      </w:hyperlink>
    </w:p>
    <w:p w14:paraId="000A4DE9" w14:textId="01357899" w:rsidR="00C83C78" w:rsidRDefault="00120717" w:rsidP="00732A15">
      <w:pPr>
        <w:pStyle w:val="TableofFigures"/>
        <w:rPr>
          <w:rFonts w:asciiTheme="minorHAnsi" w:eastAsiaTheme="minorEastAsia" w:hAnsiTheme="minorHAnsi" w:cstheme="minorBidi"/>
          <w:noProof/>
          <w:sz w:val="22"/>
          <w:szCs w:val="22"/>
        </w:rPr>
      </w:pPr>
      <w:r w:rsidRPr="00B93EE1">
        <w:rPr>
          <w:rStyle w:val="Hyperlink"/>
          <w:rFonts w:eastAsiaTheme="majorEastAsia"/>
          <w:color w:val="auto"/>
        </w:rPr>
        <w:fldChar w:fldCharType="end"/>
      </w:r>
      <w:r w:rsidRPr="00B93EE1">
        <w:rPr>
          <w:rStyle w:val="Hyperlink"/>
          <w:rFonts w:eastAsiaTheme="majorEastAsia"/>
          <w:color w:val="auto"/>
        </w:rPr>
        <w:fldChar w:fldCharType="begin"/>
      </w:r>
      <w:r w:rsidRPr="00B93EE1">
        <w:rPr>
          <w:rStyle w:val="Hyperlink"/>
          <w:rFonts w:eastAsiaTheme="majorEastAsia"/>
          <w:color w:val="auto"/>
        </w:rPr>
        <w:instrText xml:space="preserve"> TOC \h \z \c "Table A2." </w:instrText>
      </w:r>
      <w:r w:rsidRPr="00B93EE1">
        <w:rPr>
          <w:rStyle w:val="Hyperlink"/>
          <w:rFonts w:eastAsiaTheme="majorEastAsia"/>
          <w:color w:val="auto"/>
        </w:rPr>
        <w:fldChar w:fldCharType="separate"/>
      </w:r>
      <w:hyperlink w:anchor="_Toc97743451" w:history="1">
        <w:r w:rsidR="00C83C78" w:rsidRPr="004D5939">
          <w:rPr>
            <w:rStyle w:val="Hyperlink"/>
            <w:noProof/>
          </w:rPr>
          <w:t>Table A2.1 Selected notifications to the WTO, 1 January 2015 to 31 December 2021</w:t>
        </w:r>
        <w:r w:rsidR="00C83C78">
          <w:rPr>
            <w:noProof/>
            <w:webHidden/>
          </w:rPr>
          <w:tab/>
        </w:r>
        <w:r w:rsidR="00C83C78">
          <w:rPr>
            <w:noProof/>
            <w:webHidden/>
          </w:rPr>
          <w:fldChar w:fldCharType="begin"/>
        </w:r>
        <w:r w:rsidR="00C83C78">
          <w:rPr>
            <w:noProof/>
            <w:webHidden/>
          </w:rPr>
          <w:instrText xml:space="preserve"> PAGEREF _Toc97743451 \h </w:instrText>
        </w:r>
        <w:r w:rsidR="00C83C78">
          <w:rPr>
            <w:noProof/>
            <w:webHidden/>
          </w:rPr>
        </w:r>
        <w:r w:rsidR="00C83C78">
          <w:rPr>
            <w:noProof/>
            <w:webHidden/>
          </w:rPr>
          <w:fldChar w:fldCharType="separate"/>
        </w:r>
        <w:r w:rsidR="00F6061F">
          <w:rPr>
            <w:noProof/>
            <w:webHidden/>
          </w:rPr>
          <w:t>127</w:t>
        </w:r>
        <w:r w:rsidR="00C83C78">
          <w:rPr>
            <w:noProof/>
            <w:webHidden/>
          </w:rPr>
          <w:fldChar w:fldCharType="end"/>
        </w:r>
      </w:hyperlink>
    </w:p>
    <w:p w14:paraId="265BA31C" w14:textId="688BB708" w:rsidR="00C83C78" w:rsidRDefault="0012793B" w:rsidP="00732A15">
      <w:pPr>
        <w:pStyle w:val="TableofFigures"/>
        <w:rPr>
          <w:rFonts w:asciiTheme="minorHAnsi" w:eastAsiaTheme="minorEastAsia" w:hAnsiTheme="minorHAnsi" w:cstheme="minorBidi"/>
          <w:noProof/>
          <w:sz w:val="22"/>
          <w:szCs w:val="22"/>
        </w:rPr>
      </w:pPr>
      <w:hyperlink w:anchor="_Toc97743452" w:history="1">
        <w:r w:rsidR="00C83C78" w:rsidRPr="004D5939">
          <w:rPr>
            <w:rStyle w:val="Hyperlink"/>
            <w:noProof/>
          </w:rPr>
          <w:t>Table A2.2 FTAs in force, as at 31 December 2021</w:t>
        </w:r>
        <w:r w:rsidR="00C83C78">
          <w:rPr>
            <w:noProof/>
            <w:webHidden/>
          </w:rPr>
          <w:tab/>
        </w:r>
        <w:r w:rsidR="00C83C78">
          <w:rPr>
            <w:noProof/>
            <w:webHidden/>
          </w:rPr>
          <w:fldChar w:fldCharType="begin"/>
        </w:r>
        <w:r w:rsidR="00C83C78">
          <w:rPr>
            <w:noProof/>
            <w:webHidden/>
          </w:rPr>
          <w:instrText xml:space="preserve"> PAGEREF _Toc97743452 \h </w:instrText>
        </w:r>
        <w:r w:rsidR="00C83C78">
          <w:rPr>
            <w:noProof/>
            <w:webHidden/>
          </w:rPr>
        </w:r>
        <w:r w:rsidR="00C83C78">
          <w:rPr>
            <w:noProof/>
            <w:webHidden/>
          </w:rPr>
          <w:fldChar w:fldCharType="separate"/>
        </w:r>
        <w:r w:rsidR="00F6061F">
          <w:rPr>
            <w:noProof/>
            <w:webHidden/>
          </w:rPr>
          <w:t>129</w:t>
        </w:r>
        <w:r w:rsidR="00C83C78">
          <w:rPr>
            <w:noProof/>
            <w:webHidden/>
          </w:rPr>
          <w:fldChar w:fldCharType="end"/>
        </w:r>
      </w:hyperlink>
    </w:p>
    <w:p w14:paraId="18BCDD21" w14:textId="780F3F8C" w:rsidR="00C83C78" w:rsidRDefault="00120717" w:rsidP="00732A15">
      <w:pPr>
        <w:pStyle w:val="TableofFigures"/>
        <w:rPr>
          <w:rFonts w:asciiTheme="minorHAnsi" w:eastAsiaTheme="minorEastAsia" w:hAnsiTheme="minorHAnsi" w:cstheme="minorBidi"/>
          <w:noProof/>
          <w:sz w:val="22"/>
          <w:szCs w:val="22"/>
        </w:rPr>
      </w:pPr>
      <w:r w:rsidRPr="00B93EE1">
        <w:rPr>
          <w:rStyle w:val="Hyperlink"/>
          <w:rFonts w:eastAsiaTheme="majorEastAsia"/>
          <w:color w:val="auto"/>
        </w:rPr>
        <w:fldChar w:fldCharType="end"/>
      </w:r>
      <w:r w:rsidRPr="00B93EE1">
        <w:rPr>
          <w:rStyle w:val="Hyperlink"/>
          <w:rFonts w:eastAsiaTheme="majorEastAsia"/>
          <w:color w:val="auto"/>
        </w:rPr>
        <w:fldChar w:fldCharType="begin"/>
      </w:r>
      <w:r w:rsidRPr="00B93EE1">
        <w:rPr>
          <w:rStyle w:val="Hyperlink"/>
          <w:rFonts w:eastAsiaTheme="majorEastAsia"/>
          <w:color w:val="auto"/>
        </w:rPr>
        <w:instrText xml:space="preserve"> TOC \h \z \c "Table A3." </w:instrText>
      </w:r>
      <w:r w:rsidRPr="00B93EE1">
        <w:rPr>
          <w:rStyle w:val="Hyperlink"/>
          <w:rFonts w:eastAsiaTheme="majorEastAsia"/>
          <w:color w:val="auto"/>
        </w:rPr>
        <w:fldChar w:fldCharType="separate"/>
      </w:r>
      <w:hyperlink w:anchor="_Toc97743453" w:history="1">
        <w:r w:rsidR="00C83C78" w:rsidRPr="00F45332">
          <w:rPr>
            <w:rStyle w:val="Hyperlink"/>
            <w:noProof/>
          </w:rPr>
          <w:t>Table A3.1 MFN applied tariff summary, 2021</w:t>
        </w:r>
        <w:r w:rsidR="00C83C78">
          <w:rPr>
            <w:noProof/>
            <w:webHidden/>
          </w:rPr>
          <w:tab/>
        </w:r>
        <w:r w:rsidR="00C83C78">
          <w:rPr>
            <w:noProof/>
            <w:webHidden/>
          </w:rPr>
          <w:fldChar w:fldCharType="begin"/>
        </w:r>
        <w:r w:rsidR="00C83C78">
          <w:rPr>
            <w:noProof/>
            <w:webHidden/>
          </w:rPr>
          <w:instrText xml:space="preserve"> PAGEREF _Toc97743453 \h </w:instrText>
        </w:r>
        <w:r w:rsidR="00C83C78">
          <w:rPr>
            <w:noProof/>
            <w:webHidden/>
          </w:rPr>
        </w:r>
        <w:r w:rsidR="00C83C78">
          <w:rPr>
            <w:noProof/>
            <w:webHidden/>
          </w:rPr>
          <w:fldChar w:fldCharType="separate"/>
        </w:r>
        <w:r w:rsidR="00F6061F">
          <w:rPr>
            <w:noProof/>
            <w:webHidden/>
          </w:rPr>
          <w:t>130</w:t>
        </w:r>
        <w:r w:rsidR="00C83C78">
          <w:rPr>
            <w:noProof/>
            <w:webHidden/>
          </w:rPr>
          <w:fldChar w:fldCharType="end"/>
        </w:r>
      </w:hyperlink>
    </w:p>
    <w:p w14:paraId="207C0266" w14:textId="6DF96FD8" w:rsidR="00C83C78" w:rsidRDefault="0012793B" w:rsidP="00732A15">
      <w:pPr>
        <w:pStyle w:val="TableofFigures"/>
        <w:rPr>
          <w:rFonts w:asciiTheme="minorHAnsi" w:eastAsiaTheme="minorEastAsia" w:hAnsiTheme="minorHAnsi" w:cstheme="minorBidi"/>
          <w:noProof/>
          <w:sz w:val="22"/>
          <w:szCs w:val="22"/>
        </w:rPr>
      </w:pPr>
      <w:hyperlink w:anchor="_Toc97743454" w:history="1">
        <w:r w:rsidR="00C83C78" w:rsidRPr="00F45332">
          <w:rPr>
            <w:rStyle w:val="Hyperlink"/>
            <w:noProof/>
          </w:rPr>
          <w:t>Table A3.2 Intellectual property protection, 2022</w:t>
        </w:r>
        <w:r w:rsidR="00C83C78">
          <w:rPr>
            <w:noProof/>
            <w:webHidden/>
          </w:rPr>
          <w:tab/>
        </w:r>
        <w:r w:rsidR="00C83C78">
          <w:rPr>
            <w:noProof/>
            <w:webHidden/>
          </w:rPr>
          <w:fldChar w:fldCharType="begin"/>
        </w:r>
        <w:r w:rsidR="00C83C78">
          <w:rPr>
            <w:noProof/>
            <w:webHidden/>
          </w:rPr>
          <w:instrText xml:space="preserve"> PAGEREF _Toc97743454 \h </w:instrText>
        </w:r>
        <w:r w:rsidR="00C83C78">
          <w:rPr>
            <w:noProof/>
            <w:webHidden/>
          </w:rPr>
        </w:r>
        <w:r w:rsidR="00C83C78">
          <w:rPr>
            <w:noProof/>
            <w:webHidden/>
          </w:rPr>
          <w:fldChar w:fldCharType="separate"/>
        </w:r>
        <w:r w:rsidR="00F6061F">
          <w:rPr>
            <w:noProof/>
            <w:webHidden/>
          </w:rPr>
          <w:t>132</w:t>
        </w:r>
        <w:r w:rsidR="00C83C78">
          <w:rPr>
            <w:noProof/>
            <w:webHidden/>
          </w:rPr>
          <w:fldChar w:fldCharType="end"/>
        </w:r>
      </w:hyperlink>
    </w:p>
    <w:p w14:paraId="5074BA80" w14:textId="4921A60E" w:rsidR="00C83C78" w:rsidRDefault="0012793B" w:rsidP="003D7746">
      <w:pPr>
        <w:pStyle w:val="TableofFigures"/>
        <w:jc w:val="left"/>
        <w:rPr>
          <w:rFonts w:asciiTheme="minorHAnsi" w:eastAsiaTheme="minorEastAsia" w:hAnsiTheme="minorHAnsi" w:cstheme="minorBidi"/>
          <w:noProof/>
          <w:sz w:val="22"/>
          <w:szCs w:val="22"/>
        </w:rPr>
      </w:pPr>
      <w:hyperlink w:anchor="_Toc97743455" w:history="1">
        <w:r w:rsidR="00C83C78" w:rsidRPr="00F45332">
          <w:rPr>
            <w:rStyle w:val="Hyperlink"/>
            <w:noProof/>
          </w:rPr>
          <w:t xml:space="preserve">Table A3.3 Applications for and registrations of trademarks, patents, and industrial </w:t>
        </w:r>
        <w:r w:rsidR="00C83C78">
          <w:rPr>
            <w:rStyle w:val="Hyperlink"/>
            <w:rFonts w:eastAsiaTheme="majorEastAsia"/>
            <w:noProof/>
          </w:rPr>
          <w:br/>
        </w:r>
        <w:r w:rsidR="00C83C78" w:rsidRPr="00F45332">
          <w:rPr>
            <w:rStyle w:val="Hyperlink"/>
            <w:noProof/>
          </w:rPr>
          <w:t>designs, 2014-20</w:t>
        </w:r>
        <w:r w:rsidR="00C83C78">
          <w:rPr>
            <w:noProof/>
            <w:webHidden/>
          </w:rPr>
          <w:tab/>
        </w:r>
        <w:r w:rsidR="00C83C78">
          <w:rPr>
            <w:noProof/>
            <w:webHidden/>
          </w:rPr>
          <w:fldChar w:fldCharType="begin"/>
        </w:r>
        <w:r w:rsidR="00C83C78">
          <w:rPr>
            <w:noProof/>
            <w:webHidden/>
          </w:rPr>
          <w:instrText xml:space="preserve"> PAGEREF _Toc97743455 \h </w:instrText>
        </w:r>
        <w:r w:rsidR="00C83C78">
          <w:rPr>
            <w:noProof/>
            <w:webHidden/>
          </w:rPr>
        </w:r>
        <w:r w:rsidR="00C83C78">
          <w:rPr>
            <w:noProof/>
            <w:webHidden/>
          </w:rPr>
          <w:fldChar w:fldCharType="separate"/>
        </w:r>
        <w:r w:rsidR="00F6061F">
          <w:rPr>
            <w:noProof/>
            <w:webHidden/>
          </w:rPr>
          <w:t>135</w:t>
        </w:r>
        <w:r w:rsidR="00C83C78">
          <w:rPr>
            <w:noProof/>
            <w:webHidden/>
          </w:rPr>
          <w:fldChar w:fldCharType="end"/>
        </w:r>
      </w:hyperlink>
    </w:p>
    <w:p w14:paraId="2923AA3A" w14:textId="716F049C" w:rsidR="00C83C78" w:rsidRDefault="0012793B" w:rsidP="00732A15">
      <w:pPr>
        <w:pStyle w:val="TableofFigures"/>
        <w:rPr>
          <w:rFonts w:asciiTheme="minorHAnsi" w:eastAsiaTheme="minorEastAsia" w:hAnsiTheme="minorHAnsi" w:cstheme="minorBidi"/>
          <w:noProof/>
          <w:sz w:val="22"/>
          <w:szCs w:val="22"/>
        </w:rPr>
      </w:pPr>
      <w:hyperlink w:anchor="_Toc97743456" w:history="1">
        <w:r w:rsidR="00C83C78" w:rsidRPr="00F45332">
          <w:rPr>
            <w:rStyle w:val="Hyperlink"/>
            <w:noProof/>
          </w:rPr>
          <w:t>Table A3.4 Standards and conformance infrastructure, 2022</w:t>
        </w:r>
        <w:r w:rsidR="00C83C78">
          <w:rPr>
            <w:noProof/>
            <w:webHidden/>
          </w:rPr>
          <w:tab/>
        </w:r>
        <w:r w:rsidR="00C83C78">
          <w:rPr>
            <w:noProof/>
            <w:webHidden/>
          </w:rPr>
          <w:fldChar w:fldCharType="begin"/>
        </w:r>
        <w:r w:rsidR="00C83C78">
          <w:rPr>
            <w:noProof/>
            <w:webHidden/>
          </w:rPr>
          <w:instrText xml:space="preserve"> PAGEREF _Toc97743456 \h </w:instrText>
        </w:r>
        <w:r w:rsidR="00C83C78">
          <w:rPr>
            <w:noProof/>
            <w:webHidden/>
          </w:rPr>
        </w:r>
        <w:r w:rsidR="00C83C78">
          <w:rPr>
            <w:noProof/>
            <w:webHidden/>
          </w:rPr>
          <w:fldChar w:fldCharType="separate"/>
        </w:r>
        <w:r w:rsidR="00F6061F">
          <w:rPr>
            <w:noProof/>
            <w:webHidden/>
          </w:rPr>
          <w:t>136</w:t>
        </w:r>
        <w:r w:rsidR="00C83C78">
          <w:rPr>
            <w:noProof/>
            <w:webHidden/>
          </w:rPr>
          <w:fldChar w:fldCharType="end"/>
        </w:r>
      </w:hyperlink>
    </w:p>
    <w:p w14:paraId="40F54EAF" w14:textId="35784AB8" w:rsidR="006C5002" w:rsidRPr="00B93EE1" w:rsidRDefault="00120717" w:rsidP="00732A15">
      <w:pPr>
        <w:pStyle w:val="TableofFigures"/>
        <w:rPr>
          <w:rFonts w:asciiTheme="minorHAnsi" w:eastAsiaTheme="minorEastAsia" w:hAnsiTheme="minorHAnsi" w:cstheme="minorBidi"/>
          <w:noProof/>
          <w:sz w:val="22"/>
          <w:szCs w:val="22"/>
        </w:rPr>
      </w:pPr>
      <w:r w:rsidRPr="00B93EE1">
        <w:rPr>
          <w:rStyle w:val="Hyperlink"/>
          <w:rFonts w:eastAsiaTheme="majorEastAsia"/>
          <w:color w:val="auto"/>
        </w:rPr>
        <w:fldChar w:fldCharType="end"/>
      </w:r>
      <w:r w:rsidRPr="00B93EE1">
        <w:rPr>
          <w:rStyle w:val="Hyperlink"/>
          <w:rFonts w:eastAsiaTheme="majorEastAsia"/>
          <w:color w:val="auto"/>
        </w:rPr>
        <w:fldChar w:fldCharType="begin"/>
      </w:r>
      <w:r w:rsidRPr="00B93EE1">
        <w:rPr>
          <w:rStyle w:val="Hyperlink"/>
          <w:rFonts w:eastAsiaTheme="majorEastAsia"/>
          <w:color w:val="auto"/>
        </w:rPr>
        <w:instrText xml:space="preserve"> TOC \h \z \c "Table A4." </w:instrText>
      </w:r>
      <w:r w:rsidRPr="00B93EE1">
        <w:rPr>
          <w:rStyle w:val="Hyperlink"/>
          <w:rFonts w:eastAsiaTheme="majorEastAsia"/>
          <w:color w:val="auto"/>
        </w:rPr>
        <w:fldChar w:fldCharType="separate"/>
      </w:r>
      <w:hyperlink w:anchor="_Toc97721052" w:history="1">
        <w:r w:rsidR="006C5002" w:rsidRPr="00B93EE1">
          <w:rPr>
            <w:rStyle w:val="Hyperlink"/>
            <w:rFonts w:eastAsiaTheme="majorEastAsia"/>
            <w:noProof/>
            <w:color w:val="auto"/>
          </w:rPr>
          <w:t>Table</w:t>
        </w:r>
        <w:r w:rsidR="006C5002" w:rsidRPr="00B93EE1">
          <w:rPr>
            <w:rStyle w:val="Hyperlink"/>
            <w:rFonts w:eastAsiaTheme="majorEastAsia"/>
            <w:noProof/>
          </w:rPr>
          <w:t xml:space="preserve"> A4.1</w:t>
        </w:r>
        <w:r w:rsidR="006C5002" w:rsidRPr="00B93EE1">
          <w:rPr>
            <w:rStyle w:val="Hyperlink"/>
            <w:rFonts w:eastAsia="Calibri"/>
            <w:noProof/>
          </w:rPr>
          <w:t xml:space="preserve"> </w:t>
        </w:r>
        <w:r w:rsidR="006C5002" w:rsidRPr="00B93EE1">
          <w:rPr>
            <w:rStyle w:val="Hyperlink"/>
            <w:rFonts w:eastAsiaTheme="majorEastAsia"/>
            <w:noProof/>
          </w:rPr>
          <w:t>New Zealand air transport agreements, 2021</w:t>
        </w:r>
        <w:r w:rsidR="006C5002" w:rsidRPr="00B93EE1">
          <w:rPr>
            <w:noProof/>
            <w:webHidden/>
          </w:rPr>
          <w:tab/>
        </w:r>
        <w:r w:rsidR="006C5002" w:rsidRPr="00B93EE1">
          <w:rPr>
            <w:noProof/>
            <w:webHidden/>
          </w:rPr>
          <w:fldChar w:fldCharType="begin"/>
        </w:r>
        <w:r w:rsidR="006C5002" w:rsidRPr="00B93EE1">
          <w:rPr>
            <w:noProof/>
            <w:webHidden/>
          </w:rPr>
          <w:instrText xml:space="preserve"> PAGEREF _Toc97721052 \h </w:instrText>
        </w:r>
        <w:r w:rsidR="006C5002" w:rsidRPr="00B93EE1">
          <w:rPr>
            <w:noProof/>
            <w:webHidden/>
          </w:rPr>
        </w:r>
        <w:r w:rsidR="006C5002" w:rsidRPr="00B93EE1">
          <w:rPr>
            <w:noProof/>
            <w:webHidden/>
          </w:rPr>
          <w:fldChar w:fldCharType="separate"/>
        </w:r>
        <w:r w:rsidR="00F6061F">
          <w:rPr>
            <w:noProof/>
            <w:webHidden/>
          </w:rPr>
          <w:t>137</w:t>
        </w:r>
        <w:r w:rsidR="006C5002" w:rsidRPr="00B93EE1">
          <w:rPr>
            <w:noProof/>
            <w:webHidden/>
          </w:rPr>
          <w:fldChar w:fldCharType="end"/>
        </w:r>
      </w:hyperlink>
    </w:p>
    <w:p w14:paraId="35A6FEA8" w14:textId="1DD864FF" w:rsidR="00120717" w:rsidRPr="00B93EE1" w:rsidRDefault="00120717" w:rsidP="00732A15">
      <w:pPr>
        <w:spacing w:before="120" w:after="120"/>
        <w:ind w:right="237"/>
        <w:jc w:val="left"/>
      </w:pPr>
      <w:r w:rsidRPr="00B93EE1">
        <w:rPr>
          <w:b/>
          <w:bCs/>
        </w:rPr>
        <w:fldChar w:fldCharType="end"/>
      </w:r>
    </w:p>
    <w:p w14:paraId="7AE4BD16" w14:textId="77777777" w:rsidR="00120717" w:rsidRPr="00B93EE1" w:rsidRDefault="00120717">
      <w:pPr>
        <w:spacing w:after="200" w:line="276" w:lineRule="auto"/>
        <w:jc w:val="left"/>
      </w:pPr>
      <w:r w:rsidRPr="00B93EE1">
        <w:br w:type="page"/>
      </w:r>
    </w:p>
    <w:p w14:paraId="3436F98B" w14:textId="77777777" w:rsidR="00120717" w:rsidRPr="00B93EE1" w:rsidRDefault="00120717" w:rsidP="00BB34F7">
      <w:pPr>
        <w:pStyle w:val="SummaryHeader"/>
      </w:pPr>
      <w:bookmarkStart w:id="0" w:name="_Toc97800111"/>
      <w:r w:rsidRPr="00B93EE1">
        <w:lastRenderedPageBreak/>
        <w:t>SUMMARY</w:t>
      </w:r>
      <w:bookmarkEnd w:id="0"/>
    </w:p>
    <w:p w14:paraId="651707AB" w14:textId="77777777" w:rsidR="0058794D" w:rsidRDefault="0058794D" w:rsidP="0058794D">
      <w:pPr>
        <w:pStyle w:val="SummaryText"/>
      </w:pPr>
      <w:r>
        <w:t>During the review period 2015-21, New Zealand continued to strengthen its position as one of the most open economies in the world and updated some elements of its trade and investment regime. New Zealand considers trade as critical for its prosperity and seeks to ensure that trade is inclusive.</w:t>
      </w:r>
    </w:p>
    <w:p w14:paraId="3F8E0BDB" w14:textId="77777777" w:rsidR="0058794D" w:rsidRDefault="0058794D" w:rsidP="0058794D">
      <w:pPr>
        <w:pStyle w:val="SummaryText"/>
      </w:pPr>
      <w:r>
        <w:t>New Zealand's real GDP grew 3.4% annually on average between 2015 and 2019, reflecting positive</w:t>
      </w:r>
      <w:r w:rsidRPr="00DE2587">
        <w:t xml:space="preserve"> terms of trade</w:t>
      </w:r>
      <w:r>
        <w:t xml:space="preserve"> but witnessed the largest fall on record in the second quarter of 2020 due to the COVID-19 pandemic. The activity rebounded strongly in the second half of 2020 behind a substantial fiscal policy response focused on cushioning the pandemic's negative effects on households and businesses. The competitiveness of New Zealand's main goods exports, notably live animals and animal products also supported the resilience of the economy. </w:t>
      </w:r>
      <w:r w:rsidRPr="006971D1">
        <w:t xml:space="preserve">With one in four </w:t>
      </w:r>
      <w:r>
        <w:t>New Zealand</w:t>
      </w:r>
      <w:r w:rsidRPr="006971D1">
        <w:t>ers</w:t>
      </w:r>
      <w:r>
        <w:t>'</w:t>
      </w:r>
      <w:r w:rsidRPr="006971D1">
        <w:t xml:space="preserve"> jobs dependent on exports, trade is seen </w:t>
      </w:r>
      <w:r>
        <w:t xml:space="preserve">by the authorities </w:t>
      </w:r>
      <w:r w:rsidRPr="006971D1">
        <w:t xml:space="preserve">as the critical enabler of </w:t>
      </w:r>
      <w:r>
        <w:t xml:space="preserve">post-pandemic </w:t>
      </w:r>
      <w:r w:rsidRPr="006971D1">
        <w:t>economic recovery</w:t>
      </w:r>
      <w:r>
        <w:t xml:space="preserve">. According to the IMF, New Zealand's real GDP growth rate in 2021 is projected to be 5.1%, compounded by strong domestic demand. Nonetheless, </w:t>
      </w:r>
      <w:r w:rsidRPr="00297651">
        <w:rPr>
          <w:szCs w:val="20"/>
        </w:rPr>
        <w:t xml:space="preserve">lower labour supply </w:t>
      </w:r>
      <w:r>
        <w:rPr>
          <w:szCs w:val="20"/>
        </w:rPr>
        <w:t xml:space="preserve">because of </w:t>
      </w:r>
      <w:r w:rsidRPr="00297651">
        <w:rPr>
          <w:szCs w:val="20"/>
        </w:rPr>
        <w:t xml:space="preserve">muted migration flows, weak capital accumulation, and slowing productivity growth are </w:t>
      </w:r>
      <w:r w:rsidRPr="00297651">
        <w:t>expected to adversely affect potential output.</w:t>
      </w:r>
    </w:p>
    <w:p w14:paraId="47699724" w14:textId="77777777" w:rsidR="0058794D" w:rsidRDefault="0058794D" w:rsidP="0058794D">
      <w:pPr>
        <w:pStyle w:val="SummaryText"/>
      </w:pPr>
      <w:r>
        <w:t>According to the IMF, New Zealand's fiscal and monetary mix has been successful in promoting economic recovery and maintaining price stability</w:t>
      </w:r>
      <w:r w:rsidRPr="00C55A65">
        <w:t>.</w:t>
      </w:r>
      <w:r>
        <w:t xml:space="preserve"> Under recent a</w:t>
      </w:r>
      <w:r w:rsidRPr="0038087E">
        <w:rPr>
          <w:lang w:eastAsia="en-GB"/>
        </w:rPr>
        <w:t xml:space="preserve">mendments to </w:t>
      </w:r>
      <w:r>
        <w:rPr>
          <w:lang w:eastAsia="en-GB"/>
        </w:rPr>
        <w:t xml:space="preserve">its </w:t>
      </w:r>
      <w:r w:rsidRPr="0038087E">
        <w:rPr>
          <w:lang w:eastAsia="en-GB"/>
        </w:rPr>
        <w:t>monetary policy framework</w:t>
      </w:r>
      <w:r>
        <w:rPr>
          <w:lang w:eastAsia="en-GB"/>
        </w:rPr>
        <w:t>, price stability is defined as annual increases in the consumer price index of between 1% and 3% on average over the medium term, with a focus on keeping future average inflation near the 2% midpoint of the</w:t>
      </w:r>
      <w:r w:rsidRPr="006B3309">
        <w:rPr>
          <w:lang w:eastAsia="en-GB"/>
        </w:rPr>
        <w:t xml:space="preserve"> </w:t>
      </w:r>
      <w:r>
        <w:rPr>
          <w:lang w:eastAsia="en-GB"/>
        </w:rPr>
        <w:t>Reserve Bank of New Zealand (</w:t>
      </w:r>
      <w:proofErr w:type="spellStart"/>
      <w:r>
        <w:rPr>
          <w:lang w:eastAsia="en-GB"/>
        </w:rPr>
        <w:t>RBNZ</w:t>
      </w:r>
      <w:proofErr w:type="spellEnd"/>
      <w:r>
        <w:rPr>
          <w:lang w:eastAsia="en-GB"/>
        </w:rPr>
        <w:t xml:space="preserve">)'s target. The </w:t>
      </w:r>
      <w:proofErr w:type="spellStart"/>
      <w:r>
        <w:rPr>
          <w:lang w:eastAsia="en-GB"/>
        </w:rPr>
        <w:t>RBNZ</w:t>
      </w:r>
      <w:proofErr w:type="spellEnd"/>
      <w:r>
        <w:rPr>
          <w:lang w:eastAsia="en-GB"/>
        </w:rPr>
        <w:t xml:space="preserve"> has also included, for the first time, a second objective of encouraging maximum sustainable employment. Annual inflation averaged 1.3% during 2015-20; the IMF estimates that it increased to 3% in 2021 owing to higher commodity prices and increases in shipping costs. </w:t>
      </w:r>
      <w:r>
        <w:t xml:space="preserve">During the review period, New Zealand </w:t>
      </w:r>
      <w:r w:rsidRPr="002F7168">
        <w:t xml:space="preserve">registered </w:t>
      </w:r>
      <w:r>
        <w:t>fiscal surpluses up to 2018/19</w:t>
      </w:r>
      <w:r w:rsidRPr="002F7168">
        <w:t xml:space="preserve">, </w:t>
      </w:r>
      <w:r>
        <w:t>largel</w:t>
      </w:r>
      <w:r w:rsidRPr="002F7168">
        <w:t xml:space="preserve">y </w:t>
      </w:r>
      <w:r>
        <w:t xml:space="preserve">due to </w:t>
      </w:r>
      <w:r w:rsidRPr="002F7168">
        <w:t>spending restraint</w:t>
      </w:r>
      <w:r>
        <w:t xml:space="preserve">. Fiscal deficits followed in 2019/20 and 2020/21 on account of the </w:t>
      </w:r>
      <w:r w:rsidRPr="006A294D">
        <w:t>large-scale</w:t>
      </w:r>
      <w:r>
        <w:t xml:space="preserve"> </w:t>
      </w:r>
      <w:r w:rsidRPr="006A294D">
        <w:t xml:space="preserve">fiscal measures </w:t>
      </w:r>
      <w:r>
        <w:t>(expenditure and revenue forgone) in response to the pandemic.</w:t>
      </w:r>
      <w:r w:rsidRPr="00EE6DB1">
        <w:t xml:space="preserve"> </w:t>
      </w:r>
    </w:p>
    <w:p w14:paraId="38D81DF7" w14:textId="77777777" w:rsidR="0058794D" w:rsidRDefault="0058794D" w:rsidP="0058794D">
      <w:pPr>
        <w:pStyle w:val="SummaryText"/>
      </w:pPr>
      <w:r>
        <w:rPr>
          <w:lang w:eastAsia="en-GB"/>
        </w:rPr>
        <w:t xml:space="preserve">New Zealand's external position, including its nominal and real exchange rates, is broadly in line with fundamentals and desired policy settings in view of the IMF. The current account deficit (2.7% of GDP on average during 2015-21) was mainly driven by a large trade deficit. </w:t>
      </w:r>
      <w:r>
        <w:t>New Zealand'</w:t>
      </w:r>
      <w:r w:rsidRPr="004C289F">
        <w:t xml:space="preserve">s exports </w:t>
      </w:r>
      <w:r>
        <w:t xml:space="preserve">have performed </w:t>
      </w:r>
      <w:r w:rsidRPr="004C289F">
        <w:t xml:space="preserve">better than </w:t>
      </w:r>
      <w:r>
        <w:t xml:space="preserve">the Government </w:t>
      </w:r>
      <w:r w:rsidRPr="004C289F">
        <w:t xml:space="preserve">initially </w:t>
      </w:r>
      <w:r>
        <w:t>expected during the pandemic</w:t>
      </w:r>
      <w:r w:rsidRPr="004C289F">
        <w:t xml:space="preserve">, providing much needed </w:t>
      </w:r>
      <w:r>
        <w:t>help</w:t>
      </w:r>
      <w:r w:rsidRPr="004C289F">
        <w:t xml:space="preserve"> to the economy.</w:t>
      </w:r>
      <w:r>
        <w:t xml:space="preserve"> However, t</w:t>
      </w:r>
      <w:r w:rsidRPr="004C289F">
        <w:t xml:space="preserve">he global spread of </w:t>
      </w:r>
      <w:r>
        <w:t>COVID-19</w:t>
      </w:r>
      <w:r w:rsidRPr="004C289F">
        <w:t xml:space="preserve"> and the resulting containment measures took a heavy toll on </w:t>
      </w:r>
      <w:r>
        <w:t>New Zealand'</w:t>
      </w:r>
      <w:r w:rsidRPr="004C289F">
        <w:t xml:space="preserve">s merchandise exports and imports. </w:t>
      </w:r>
      <w:r>
        <w:t>In 2020/21, New Zealand'</w:t>
      </w:r>
      <w:r w:rsidRPr="004C289F">
        <w:t>s total</w:t>
      </w:r>
      <w:r>
        <w:t> </w:t>
      </w:r>
      <w:r w:rsidRPr="004C289F">
        <w:t xml:space="preserve">two-way trade </w:t>
      </w:r>
      <w:r>
        <w:t xml:space="preserve">had its </w:t>
      </w:r>
      <w:r w:rsidRPr="004C289F">
        <w:t xml:space="preserve">largest </w:t>
      </w:r>
      <w:r>
        <w:t xml:space="preserve">recorded </w:t>
      </w:r>
      <w:r w:rsidRPr="004C289F">
        <w:t>annual fall.</w:t>
      </w:r>
      <w:r>
        <w:t xml:space="preserve"> </w:t>
      </w:r>
      <w:r w:rsidRPr="00C41535">
        <w:t xml:space="preserve">Trade performance across </w:t>
      </w:r>
      <w:r>
        <w:t>New Zealand'</w:t>
      </w:r>
      <w:r w:rsidRPr="00C41535">
        <w:t xml:space="preserve">s </w:t>
      </w:r>
      <w:r>
        <w:t>key</w:t>
      </w:r>
      <w:r w:rsidRPr="00C41535">
        <w:t xml:space="preserve"> trading partners has varied widely through </w:t>
      </w:r>
      <w:r>
        <w:t>the pandemic</w:t>
      </w:r>
      <w:r w:rsidRPr="00C41535">
        <w:t xml:space="preserve">, based on </w:t>
      </w:r>
      <w:r>
        <w:t xml:space="preserve">a range of factors, including </w:t>
      </w:r>
      <w:r w:rsidRPr="00C41535">
        <w:t xml:space="preserve">the </w:t>
      </w:r>
      <w:r>
        <w:t>individual pandemic</w:t>
      </w:r>
      <w:r w:rsidRPr="00C41535">
        <w:t xml:space="preserve"> experience </w:t>
      </w:r>
      <w:r>
        <w:t xml:space="preserve">of each partner </w:t>
      </w:r>
      <w:r w:rsidRPr="00C41535">
        <w:t>and the respective bilateral export/import product mix.</w:t>
      </w:r>
    </w:p>
    <w:p w14:paraId="5602570F" w14:textId="77777777" w:rsidR="0058794D" w:rsidRDefault="0058794D" w:rsidP="0058794D">
      <w:pPr>
        <w:pStyle w:val="SummaryText"/>
      </w:pPr>
      <w:r>
        <w:t xml:space="preserve">During the review period, New Zealand developed </w:t>
      </w:r>
      <w:r w:rsidRPr="0061728F">
        <w:t xml:space="preserve">its </w:t>
      </w:r>
      <w:r>
        <w:t xml:space="preserve">new </w:t>
      </w:r>
      <w:r w:rsidRPr="0061728F">
        <w:t>trade strategy</w:t>
      </w:r>
      <w:r>
        <w:t xml:space="preserve">, the Trade for All Agenda, based on a </w:t>
      </w:r>
      <w:r w:rsidRPr="00580CB2">
        <w:t>wide public consultation process that took place in 2018</w:t>
      </w:r>
      <w:r>
        <w:t xml:space="preserve">. The Agenda aims to </w:t>
      </w:r>
      <w:r w:rsidRPr="00180403">
        <w:t xml:space="preserve">ensure that </w:t>
      </w:r>
      <w:r>
        <w:t xml:space="preserve">New Zealand's </w:t>
      </w:r>
      <w:r w:rsidRPr="00180403">
        <w:t xml:space="preserve">trade </w:t>
      </w:r>
      <w:r>
        <w:t xml:space="preserve">policy </w:t>
      </w:r>
      <w:r w:rsidRPr="00580CB2">
        <w:t>benefits</w:t>
      </w:r>
      <w:r w:rsidRPr="00180403">
        <w:t xml:space="preserve"> all </w:t>
      </w:r>
      <w:r>
        <w:t>New Zealand</w:t>
      </w:r>
      <w:r w:rsidRPr="00180403">
        <w:t>ers</w:t>
      </w:r>
      <w:r>
        <w:t xml:space="preserve"> </w:t>
      </w:r>
      <w:r w:rsidRPr="00180403">
        <w:t>and</w:t>
      </w:r>
      <w:r>
        <w:t xml:space="preserve"> is coherent and supportive of </w:t>
      </w:r>
      <w:r w:rsidRPr="00180403">
        <w:t xml:space="preserve">other government policies </w:t>
      </w:r>
      <w:r>
        <w:t>targeted to achieve</w:t>
      </w:r>
      <w:r w:rsidRPr="00180403">
        <w:t xml:space="preserve"> sustainable and inclusive economic development</w:t>
      </w:r>
      <w:r>
        <w:t xml:space="preserve">. In June 2020, New Zealand also adopted </w:t>
      </w:r>
      <w:r w:rsidRPr="00253B93">
        <w:t>the Trade</w:t>
      </w:r>
      <w:r>
        <w:t> </w:t>
      </w:r>
      <w:r w:rsidRPr="00253B93">
        <w:t>Recovery Strategy</w:t>
      </w:r>
      <w:r>
        <w:t>, which included: (</w:t>
      </w:r>
      <w:proofErr w:type="spellStart"/>
      <w:r>
        <w:t>i</w:t>
      </w:r>
      <w:proofErr w:type="spellEnd"/>
      <w:r>
        <w:t>) broadening the support for exporters; (ii) </w:t>
      </w:r>
      <w:r w:rsidRPr="00F21D49">
        <w:t>work</w:t>
      </w:r>
      <w:r>
        <w:t>ing</w:t>
      </w:r>
      <w:r w:rsidRPr="00F21D49">
        <w:t xml:space="preserve"> towards strengthening and reforming the WTO</w:t>
      </w:r>
      <w:r>
        <w:t xml:space="preserve"> and p</w:t>
      </w:r>
      <w:r w:rsidRPr="00F21D49">
        <w:t>ursuing trade agreements</w:t>
      </w:r>
      <w:r>
        <w:t>; and (iii) r</w:t>
      </w:r>
      <w:r w:rsidRPr="00542C35">
        <w:t>efresh</w:t>
      </w:r>
      <w:r>
        <w:t>ing</w:t>
      </w:r>
      <w:r w:rsidRPr="00542C35">
        <w:t xml:space="preserve"> </w:t>
      </w:r>
      <w:r>
        <w:t>major</w:t>
      </w:r>
      <w:r w:rsidRPr="00542C35">
        <w:t xml:space="preserve"> trade relationships</w:t>
      </w:r>
      <w:r>
        <w:t xml:space="preserve"> </w:t>
      </w:r>
      <w:r w:rsidRPr="00542C35">
        <w:t>to</w:t>
      </w:r>
      <w:r>
        <w:t xml:space="preserve"> achieve further trade diversification.</w:t>
      </w:r>
    </w:p>
    <w:p w14:paraId="32D2BB7C" w14:textId="23970D78" w:rsidR="0058794D" w:rsidRDefault="0058794D" w:rsidP="0058794D">
      <w:pPr>
        <w:pStyle w:val="SummaryText"/>
      </w:pPr>
      <w:r>
        <w:t xml:space="preserve">New Zealand is a firm supporter of the multilateral trading system and remains actively engaged at the WTO. It took leadership </w:t>
      </w:r>
      <w:r w:rsidRPr="00027E37">
        <w:t>roles as chair</w:t>
      </w:r>
      <w:r>
        <w:t>s</w:t>
      </w:r>
      <w:r w:rsidRPr="00027E37">
        <w:t xml:space="preserve"> </w:t>
      </w:r>
      <w:r>
        <w:t>of</w:t>
      </w:r>
      <w:r w:rsidRPr="00027E37">
        <w:t xml:space="preserve"> </w:t>
      </w:r>
      <w:r>
        <w:t xml:space="preserve">various </w:t>
      </w:r>
      <w:r w:rsidRPr="00027E37">
        <w:t xml:space="preserve">WTO bodies, including the General Council in 2020, and </w:t>
      </w:r>
      <w:r>
        <w:t xml:space="preserve">promoted and participated in discussions on joint initiatives such as, for example, micro, small, and medium-sized enterprises, e-commerce, services domestic regulation, investment facilitation, trade and gender, and trade and climate. It also supports a </w:t>
      </w:r>
      <w:r w:rsidRPr="00336B8D">
        <w:t>TRIPS waiver</w:t>
      </w:r>
      <w:r>
        <w:t xml:space="preserve"> on COVID-19 vaccines, as well as reforms to strengthen the WTO. In 2015, New Zealand</w:t>
      </w:r>
      <w:r w:rsidRPr="00522B9D">
        <w:t xml:space="preserve"> </w:t>
      </w:r>
      <w:r>
        <w:t xml:space="preserve">ratified the Agreement on </w:t>
      </w:r>
      <w:r w:rsidRPr="00522B9D">
        <w:t>Trade Facilitation</w:t>
      </w:r>
      <w:r>
        <w:t>, endorsed</w:t>
      </w:r>
      <w:r w:rsidRPr="00522B9D">
        <w:t xml:space="preserve"> the expansion of the Information Technology Agreement</w:t>
      </w:r>
      <w:r>
        <w:t xml:space="preserve">, and also joined </w:t>
      </w:r>
      <w:r w:rsidRPr="00522B9D">
        <w:t>the plurilateral Agreement on Government Procurement</w:t>
      </w:r>
      <w:r>
        <w:t xml:space="preserve"> (GPA). New Zealand</w:t>
      </w:r>
      <w:r w:rsidRPr="00522B9D">
        <w:t xml:space="preserve"> maintain</w:t>
      </w:r>
      <w:r>
        <w:t>s</w:t>
      </w:r>
      <w:r w:rsidRPr="00522B9D">
        <w:t xml:space="preserve"> a strong record </w:t>
      </w:r>
      <w:r>
        <w:t xml:space="preserve">of </w:t>
      </w:r>
      <w:r w:rsidRPr="00522B9D">
        <w:t xml:space="preserve">notifications, providing </w:t>
      </w:r>
      <w:r>
        <w:t>more than 300</w:t>
      </w:r>
      <w:r w:rsidRPr="00522B9D">
        <w:t xml:space="preserve"> notifications to the WTO since</w:t>
      </w:r>
      <w:r>
        <w:t> January </w:t>
      </w:r>
      <w:r w:rsidRPr="00522B9D">
        <w:t>2015</w:t>
      </w:r>
      <w:r>
        <w:t>. During the review period, New Zealand</w:t>
      </w:r>
      <w:r w:rsidRPr="00EE5F75">
        <w:t xml:space="preserve"> </w:t>
      </w:r>
      <w:r>
        <w:t>was involved as a complainant in one</w:t>
      </w:r>
      <w:r w:rsidR="006A25C8">
        <w:t> </w:t>
      </w:r>
      <w:r w:rsidRPr="00522B9D">
        <w:t>dispute settlement case</w:t>
      </w:r>
      <w:r>
        <w:t xml:space="preserve"> and has not been a </w:t>
      </w:r>
      <w:r>
        <w:rPr>
          <w:lang w:eastAsia="en-GB"/>
        </w:rPr>
        <w:t>respondent.</w:t>
      </w:r>
    </w:p>
    <w:p w14:paraId="596F4023" w14:textId="4260B170" w:rsidR="0058794D" w:rsidRDefault="0058794D" w:rsidP="0058794D">
      <w:pPr>
        <w:pStyle w:val="SummaryText"/>
      </w:pPr>
      <w:r>
        <w:lastRenderedPageBreak/>
        <w:t>New Zealand</w:t>
      </w:r>
      <w:r w:rsidRPr="00BA082E">
        <w:t xml:space="preserve"> is </w:t>
      </w:r>
      <w:r>
        <w:t xml:space="preserve">also </w:t>
      </w:r>
      <w:r w:rsidRPr="00BA082E">
        <w:t xml:space="preserve">pursuing its trade objectives through regional and bilateral initiatives. Since 2015, </w:t>
      </w:r>
      <w:r>
        <w:t>New Zealand</w:t>
      </w:r>
      <w:r w:rsidRPr="00BA082E">
        <w:t xml:space="preserve"> added four new </w:t>
      </w:r>
      <w:r>
        <w:t>regional trade agreements (RTAs)</w:t>
      </w:r>
      <w:r w:rsidRPr="00BA082E">
        <w:t xml:space="preserve"> to its network, which currently consists of 13 RTAs involving 29</w:t>
      </w:r>
      <w:r>
        <w:t xml:space="preserve"> </w:t>
      </w:r>
      <w:r w:rsidRPr="00BA082E">
        <w:t>economies, including some of its main trading partners,</w:t>
      </w:r>
      <w:r>
        <w:t> </w:t>
      </w:r>
      <w:r w:rsidRPr="00BA082E">
        <w:t xml:space="preserve">namely Australia, China, and Japan. The new four RTAs, all in force, are: the </w:t>
      </w:r>
      <w:r>
        <w:t>New Zealand</w:t>
      </w:r>
      <w:r w:rsidRPr="00BA082E">
        <w:t>-Republic</w:t>
      </w:r>
      <w:r>
        <w:t> </w:t>
      </w:r>
      <w:r w:rsidRPr="00BA082E">
        <w:t>of Korea FTA, the Pacific Agreement on Closer Economic Relations Plus (PACER Plus), the Comprehensive and Progressive Agreement for Trans-Pacific Partnership (</w:t>
      </w:r>
      <w:proofErr w:type="spellStart"/>
      <w:r w:rsidRPr="00BA082E">
        <w:t>CPTPP</w:t>
      </w:r>
      <w:proofErr w:type="spellEnd"/>
      <w:r w:rsidRPr="00BA082E">
        <w:t xml:space="preserve">), and the Regional Comprehensive Economic Partnership (RCEP). In addition, </w:t>
      </w:r>
      <w:r>
        <w:t xml:space="preserve">New Zealand signed an FTA with the </w:t>
      </w:r>
      <w:r w:rsidRPr="00BA082E">
        <w:t xml:space="preserve">United Kingdom </w:t>
      </w:r>
      <w:r>
        <w:t xml:space="preserve">in </w:t>
      </w:r>
      <w:r w:rsidRPr="00BA082E">
        <w:t xml:space="preserve">February 2022, </w:t>
      </w:r>
      <w:r>
        <w:t xml:space="preserve">and </w:t>
      </w:r>
      <w:r w:rsidRPr="00BA082E">
        <w:t>further RTAs are under negotiation with the European Union, India, and the Pacific Alliance</w:t>
      </w:r>
      <w:r>
        <w:t xml:space="preserve"> (Chile, Colombia, Mexico, and Peru)</w:t>
      </w:r>
      <w:r w:rsidRPr="00BA082E">
        <w:t>.</w:t>
      </w:r>
    </w:p>
    <w:p w14:paraId="1BFC727B" w14:textId="77777777" w:rsidR="0058794D" w:rsidRDefault="0058794D" w:rsidP="0058794D">
      <w:pPr>
        <w:pStyle w:val="SummaryText"/>
      </w:pPr>
      <w:r>
        <w:rPr>
          <w:szCs w:val="18"/>
        </w:rPr>
        <w:t>In general, f</w:t>
      </w:r>
      <w:r w:rsidRPr="00575900">
        <w:rPr>
          <w:szCs w:val="18"/>
        </w:rPr>
        <w:t>oreign investment</w:t>
      </w:r>
      <w:r>
        <w:rPr>
          <w:szCs w:val="18"/>
        </w:rPr>
        <w:t>s in New Zealand are</w:t>
      </w:r>
      <w:r w:rsidRPr="00575900">
        <w:rPr>
          <w:szCs w:val="18"/>
        </w:rPr>
        <w:t xml:space="preserve"> permitted</w:t>
      </w:r>
      <w:r>
        <w:rPr>
          <w:szCs w:val="18"/>
        </w:rPr>
        <w:t xml:space="preserve"> </w:t>
      </w:r>
      <w:r w:rsidRPr="00575900">
        <w:rPr>
          <w:szCs w:val="18"/>
        </w:rPr>
        <w:t>without restrictions</w:t>
      </w:r>
      <w:r>
        <w:rPr>
          <w:szCs w:val="18"/>
        </w:rPr>
        <w:t>; some exceptions apply notably to</w:t>
      </w:r>
      <w:r w:rsidRPr="00575900">
        <w:rPr>
          <w:szCs w:val="18"/>
        </w:rPr>
        <w:t xml:space="preserve"> inv</w:t>
      </w:r>
      <w:r>
        <w:rPr>
          <w:szCs w:val="18"/>
        </w:rPr>
        <w:t xml:space="preserve">estments involving </w:t>
      </w:r>
      <w:r>
        <w:t xml:space="preserve">assets deemed as sensitive, which are subject to approval following a screening process, and since 2020, </w:t>
      </w:r>
      <w:r>
        <w:rPr>
          <w:szCs w:val="18"/>
        </w:rPr>
        <w:t>to</w:t>
      </w:r>
      <w:r w:rsidRPr="00575900">
        <w:rPr>
          <w:szCs w:val="18"/>
        </w:rPr>
        <w:t xml:space="preserve"> </w:t>
      </w:r>
      <w:r>
        <w:rPr>
          <w:szCs w:val="18"/>
        </w:rPr>
        <w:t xml:space="preserve">those involving </w:t>
      </w:r>
      <w:r>
        <w:t xml:space="preserve">businesses considered strategically important. New Zealand also applies specific limitations on foreign investments in its </w:t>
      </w:r>
      <w:r w:rsidRPr="00575900">
        <w:rPr>
          <w:szCs w:val="18"/>
        </w:rPr>
        <w:t xml:space="preserve">national </w:t>
      </w:r>
      <w:r>
        <w:rPr>
          <w:szCs w:val="18"/>
        </w:rPr>
        <w:t>flag carrier</w:t>
      </w:r>
      <w:r w:rsidRPr="00575900">
        <w:rPr>
          <w:szCs w:val="18"/>
        </w:rPr>
        <w:t xml:space="preserve"> and </w:t>
      </w:r>
      <w:r>
        <w:rPr>
          <w:szCs w:val="18"/>
        </w:rPr>
        <w:t xml:space="preserve">the </w:t>
      </w:r>
      <w:r w:rsidRPr="00575900">
        <w:rPr>
          <w:szCs w:val="18"/>
        </w:rPr>
        <w:t>telecommunications company</w:t>
      </w:r>
      <w:r>
        <w:rPr>
          <w:szCs w:val="18"/>
        </w:rPr>
        <w:t xml:space="preserve"> (Chorus). </w:t>
      </w:r>
      <w:r>
        <w:t xml:space="preserve">During the review period, New Zealand launched a broad reform to simplify its foreign investment regime and enhance the coverage of high-risk transactions. </w:t>
      </w:r>
    </w:p>
    <w:p w14:paraId="3EC0A483" w14:textId="77777777" w:rsidR="0058794D" w:rsidRDefault="0058794D" w:rsidP="0058794D">
      <w:pPr>
        <w:pStyle w:val="SummaryText"/>
      </w:pPr>
      <w:r>
        <w:t xml:space="preserve">New Zealand updated and modernized its customs legislation since its last Review. Import and export </w:t>
      </w:r>
      <w:r w:rsidRPr="00185006">
        <w:t>procedures, including customs valuation regulations</w:t>
      </w:r>
      <w:r>
        <w:t xml:space="preserve"> and </w:t>
      </w:r>
      <w:r w:rsidRPr="00185006">
        <w:t>appeal mechanisms</w:t>
      </w:r>
      <w:r>
        <w:t xml:space="preserve">, as well as import/export prohibitions, restrictions and licensing </w:t>
      </w:r>
      <w:r w:rsidRPr="00185006">
        <w:t>are now regulated through the Customs and Excise Act 2018</w:t>
      </w:r>
      <w:r>
        <w:t>, which</w:t>
      </w:r>
      <w:r w:rsidRPr="00185006">
        <w:t xml:space="preserve"> replaced the Customs and Excise Act 1996. The 2018 Act came into </w:t>
      </w:r>
      <w:r>
        <w:t>force</w:t>
      </w:r>
      <w:r w:rsidRPr="00185006">
        <w:t xml:space="preserve"> on 1</w:t>
      </w:r>
      <w:r>
        <w:t> </w:t>
      </w:r>
      <w:r w:rsidRPr="00185006">
        <w:t>October</w:t>
      </w:r>
      <w:r>
        <w:t> </w:t>
      </w:r>
      <w:r w:rsidRPr="00185006">
        <w:t xml:space="preserve">2018 </w:t>
      </w:r>
      <w:r>
        <w:t xml:space="preserve">with a view of making the customs regime </w:t>
      </w:r>
      <w:r w:rsidRPr="00185006">
        <w:t>more transparent</w:t>
      </w:r>
      <w:r>
        <w:t xml:space="preserve">. It </w:t>
      </w:r>
      <w:r w:rsidRPr="00185006">
        <w:t>provides for a number of new services and better support compliance</w:t>
      </w:r>
      <w:r>
        <w:t xml:space="preserve">, and </w:t>
      </w:r>
      <w:r w:rsidRPr="00185006">
        <w:t xml:space="preserve">also </w:t>
      </w:r>
      <w:r>
        <w:t xml:space="preserve">intends to </w:t>
      </w:r>
      <w:r w:rsidRPr="00185006">
        <w:t>promote economic growth by making it easier for traders to do business</w:t>
      </w:r>
      <w:r>
        <w:t>.</w:t>
      </w:r>
    </w:p>
    <w:p w14:paraId="7F740888" w14:textId="77777777" w:rsidR="0058794D" w:rsidRDefault="0058794D" w:rsidP="0058794D">
      <w:pPr>
        <w:pStyle w:val="SummaryText"/>
      </w:pPr>
      <w:r>
        <w:t>New Zealand's simple average a</w:t>
      </w:r>
      <w:r w:rsidRPr="00185006">
        <w:t xml:space="preserve">pplied MFN tariff </w:t>
      </w:r>
      <w:r>
        <w:t xml:space="preserve">rate was 2.2% in 2021 </w:t>
      </w:r>
      <w:r w:rsidRPr="00185006">
        <w:t>(2.4% in 2014)</w:t>
      </w:r>
      <w:r>
        <w:t>, considerably lower than the simple average bound tariff rate of 10.5%</w:t>
      </w:r>
      <w:r w:rsidRPr="00185006">
        <w:t xml:space="preserve">. </w:t>
      </w:r>
      <w:r w:rsidRPr="00BF3990">
        <w:t xml:space="preserve">Differences between bound and applied rates may provide the Government with scope to raise applied tariffs, although this </w:t>
      </w:r>
      <w:r>
        <w:t xml:space="preserve">was not </w:t>
      </w:r>
      <w:r w:rsidRPr="00BF3990">
        <w:t>the case during the period under review.</w:t>
      </w:r>
      <w:r>
        <w:t xml:space="preserve"> Over 60% of tariff lines are duty free, although higher tariffs continue to apply to </w:t>
      </w:r>
      <w:r w:rsidRPr="00185006">
        <w:t>footwear, textiles, and clothing</w:t>
      </w:r>
      <w:r>
        <w:t>.</w:t>
      </w:r>
    </w:p>
    <w:p w14:paraId="21784C88" w14:textId="77777777" w:rsidR="0058794D" w:rsidRDefault="0058794D" w:rsidP="0058794D">
      <w:pPr>
        <w:pStyle w:val="SummaryText"/>
      </w:pPr>
      <w:r>
        <w:t xml:space="preserve">New Zealand's </w:t>
      </w:r>
      <w:r w:rsidRPr="00185006">
        <w:t xml:space="preserve">current quantitative restrictions in force are implemented for various purposes, such as protection of public morals, compliance with domestic regulations and international conventions, or protection of public health. They include agricultural products, chemicals, </w:t>
      </w:r>
      <w:r>
        <w:t xml:space="preserve">and </w:t>
      </w:r>
      <w:r w:rsidRPr="00185006">
        <w:t>endangered species, as well as a range of food products.</w:t>
      </w:r>
    </w:p>
    <w:p w14:paraId="1F1CD274" w14:textId="77777777" w:rsidR="0058794D" w:rsidRDefault="0058794D" w:rsidP="0058794D">
      <w:pPr>
        <w:pStyle w:val="SummaryText"/>
      </w:pPr>
      <w:r>
        <w:t>T</w:t>
      </w:r>
      <w:r w:rsidRPr="00185006">
        <w:t xml:space="preserve">he Dumping and Countervailing Duties Act 1988 was amended </w:t>
      </w:r>
      <w:r>
        <w:t xml:space="preserve">in May 2017 </w:t>
      </w:r>
      <w:r w:rsidRPr="00185006">
        <w:t xml:space="preserve">to provide for a public interest assessment in the application of anti-dumping and countervailing duties. Otherwise, no </w:t>
      </w:r>
      <w:r>
        <w:t>major</w:t>
      </w:r>
      <w:r w:rsidRPr="00185006">
        <w:t xml:space="preserve"> changes were made during the </w:t>
      </w:r>
      <w:r>
        <w:t xml:space="preserve">review </w:t>
      </w:r>
      <w:r w:rsidRPr="00185006">
        <w:t xml:space="preserve">period to </w:t>
      </w:r>
      <w:r>
        <w:t>New Zealand</w:t>
      </w:r>
      <w:r w:rsidRPr="00185006">
        <w:t>'s legislation and institutional framework on anti-dumping, countervailing and safeguard measures.</w:t>
      </w:r>
      <w:r>
        <w:t xml:space="preserve"> Since its last Review, New Zealand</w:t>
      </w:r>
      <w:r w:rsidRPr="00185006">
        <w:t xml:space="preserve"> initiated </w:t>
      </w:r>
      <w:r>
        <w:t xml:space="preserve">and completed several anti-dumping and countervailing investigations, with some anti-dumping duties levied and no </w:t>
      </w:r>
      <w:r w:rsidRPr="00185006">
        <w:t xml:space="preserve">countervailing duties </w:t>
      </w:r>
      <w:r>
        <w:t xml:space="preserve">applied. New Zealand </w:t>
      </w:r>
      <w:r w:rsidRPr="00301DFC">
        <w:t>did not impose any safeguard measures or undertake any safeguard investigations during the review period.</w:t>
      </w:r>
    </w:p>
    <w:p w14:paraId="2FC265D6" w14:textId="77777777" w:rsidR="0058794D" w:rsidRDefault="0058794D" w:rsidP="0058794D">
      <w:pPr>
        <w:pStyle w:val="SummaryText"/>
      </w:pPr>
      <w:r>
        <w:t>Over the last few years, the main export promotion agency, New Zealand</w:t>
      </w:r>
      <w:r w:rsidRPr="00B67E27">
        <w:t xml:space="preserve"> Trade and Enterprise</w:t>
      </w:r>
      <w:r>
        <w:t>,</w:t>
      </w:r>
      <w:r w:rsidRPr="00B67E27">
        <w:t xml:space="preserve"> received additional funding and resource to support </w:t>
      </w:r>
      <w:r>
        <w:t>the country's t</w:t>
      </w:r>
      <w:r w:rsidRPr="00B67E27">
        <w:t xml:space="preserve">rade </w:t>
      </w:r>
      <w:r>
        <w:t>r</w:t>
      </w:r>
      <w:r w:rsidRPr="00B67E27">
        <w:t>ecovery.</w:t>
      </w:r>
      <w:r>
        <w:t xml:space="preserve"> New Zealand</w:t>
      </w:r>
      <w:r w:rsidRPr="00185006">
        <w:t xml:space="preserve"> </w:t>
      </w:r>
      <w:r>
        <w:t xml:space="preserve">continues to </w:t>
      </w:r>
      <w:r w:rsidRPr="00185006">
        <w:t>provide various forms of incentives to firms</w:t>
      </w:r>
      <w:r>
        <w:t xml:space="preserve"> with a strong emphasis on innovation and capacity building</w:t>
      </w:r>
      <w:r w:rsidRPr="00185006">
        <w:t xml:space="preserve">; </w:t>
      </w:r>
      <w:r>
        <w:t xml:space="preserve">according to the authorities </w:t>
      </w:r>
      <w:r w:rsidRPr="00185006">
        <w:t>these are not targeted at specific sectors.</w:t>
      </w:r>
      <w:r>
        <w:t xml:space="preserve"> In its latest notification to the WTO, New Zealand</w:t>
      </w:r>
      <w:r w:rsidRPr="00185006">
        <w:t xml:space="preserve"> </w:t>
      </w:r>
      <w:r>
        <w:t>reported</w:t>
      </w:r>
      <w:r w:rsidRPr="00185006">
        <w:t xml:space="preserve"> </w:t>
      </w:r>
      <w:r>
        <w:t>3</w:t>
      </w:r>
      <w:r w:rsidRPr="00185006">
        <w:t xml:space="preserve"> subsidy schemes</w:t>
      </w:r>
      <w:r>
        <w:t xml:space="preserve"> in 2021</w:t>
      </w:r>
      <w:r w:rsidRPr="00185006">
        <w:t xml:space="preserve"> (down from </w:t>
      </w:r>
      <w:r>
        <w:t>11</w:t>
      </w:r>
      <w:r w:rsidRPr="00185006">
        <w:t xml:space="preserve"> in 2011)</w:t>
      </w:r>
      <w:r>
        <w:t>, which</w:t>
      </w:r>
      <w:r w:rsidRPr="00185006">
        <w:t xml:space="preserve"> aim to promote R&amp;D, industry innovation, business capabilities, jobs, sustainable economic development, and environmental sustainability</w:t>
      </w:r>
      <w:r>
        <w:t xml:space="preserve">. </w:t>
      </w:r>
    </w:p>
    <w:p w14:paraId="4FC99756" w14:textId="77777777" w:rsidR="0058794D" w:rsidRDefault="0058794D" w:rsidP="0058794D">
      <w:pPr>
        <w:pStyle w:val="SummaryText"/>
      </w:pPr>
      <w:r>
        <w:t xml:space="preserve">The </w:t>
      </w:r>
      <w:r w:rsidRPr="00EC43CF">
        <w:t>Standards and Accreditation Act 2015</w:t>
      </w:r>
      <w:r>
        <w:t xml:space="preserve"> entered into force in March 2016 as the principal </w:t>
      </w:r>
      <w:r w:rsidRPr="00EC43CF">
        <w:t xml:space="preserve">legal instrument </w:t>
      </w:r>
      <w:r>
        <w:t xml:space="preserve">for the development and </w:t>
      </w:r>
      <w:r w:rsidRPr="00EC43CF">
        <w:t>adoption of standards and conformity assessments</w:t>
      </w:r>
      <w:r>
        <w:t>. It has led to institutional reforms affecting the</w:t>
      </w:r>
      <w:r w:rsidRPr="00EC43CF">
        <w:t xml:space="preserve"> process for the approval of standards</w:t>
      </w:r>
      <w:r>
        <w:t xml:space="preserve">, and the </w:t>
      </w:r>
      <w:r w:rsidRPr="00EC43CF">
        <w:t xml:space="preserve">management structure of </w:t>
      </w:r>
      <w:r>
        <w:t xml:space="preserve">the </w:t>
      </w:r>
      <w:r w:rsidRPr="00044165">
        <w:t xml:space="preserve">International Accreditation </w:t>
      </w:r>
      <w:r>
        <w:t xml:space="preserve">New Zealand, the country's accreditation body. Since 2015, </w:t>
      </w:r>
      <w:r>
        <w:rPr>
          <w:szCs w:val="18"/>
        </w:rPr>
        <w:t>New Zealand</w:t>
      </w:r>
      <w:r w:rsidRPr="00E57E99">
        <w:rPr>
          <w:szCs w:val="18"/>
        </w:rPr>
        <w:t xml:space="preserve"> has signed three new </w:t>
      </w:r>
      <w:r w:rsidRPr="007430B9">
        <w:t>recognition agreements or arrangements</w:t>
      </w:r>
      <w:r>
        <w:t xml:space="preserve">: one for the acceptance of </w:t>
      </w:r>
      <w:r w:rsidRPr="007430B9">
        <w:t xml:space="preserve">conformity assessment </w:t>
      </w:r>
      <w:r>
        <w:t xml:space="preserve">results, and two for certification. New Zealand has also adopted two new Consumer Information Standards Regulations requiring labelling information for water-using equipment (2017), and food (2021). The latter, requiring that labels include the country </w:t>
      </w:r>
      <w:r>
        <w:lastRenderedPageBreak/>
        <w:t xml:space="preserve">of origin, was the object of the only TBT specific trade concern against New Zealand </w:t>
      </w:r>
      <w:r w:rsidRPr="007430B9">
        <w:t>during th</w:t>
      </w:r>
      <w:r>
        <w:t>e review</w:t>
      </w:r>
      <w:r w:rsidRPr="007430B9">
        <w:t xml:space="preserve"> period</w:t>
      </w:r>
      <w:r>
        <w:t xml:space="preserve">. In 2018, New Zealand also started to fully implement its standardized packaging regime for tobacco. </w:t>
      </w:r>
    </w:p>
    <w:p w14:paraId="03BF9ADC" w14:textId="77777777" w:rsidR="0058794D" w:rsidRDefault="0058794D" w:rsidP="0058794D">
      <w:pPr>
        <w:pStyle w:val="SummaryText"/>
      </w:pPr>
      <w:r>
        <w:t xml:space="preserve">The authorities have continued to take actions with a view to further reinforcing New Zealand's biosecurity protection, including </w:t>
      </w:r>
      <w:r w:rsidRPr="001A1E8F">
        <w:t xml:space="preserve">traceability obligations and </w:t>
      </w:r>
      <w:r>
        <w:t xml:space="preserve">food </w:t>
      </w:r>
      <w:r w:rsidRPr="001A1E8F">
        <w:t>recall requirements</w:t>
      </w:r>
      <w:r>
        <w:t xml:space="preserve">. At the same time, SPS-related boarder procedures were streamlined through a number of reforms, including the </w:t>
      </w:r>
      <w:r w:rsidRPr="001A1E8F">
        <w:t>use of automated electronic systems for issuing export certificates for food, plant, and animal products</w:t>
      </w:r>
      <w:r>
        <w:t xml:space="preserve">. New Zealand's risk-based SPS regulations apply equally to imported and domestically produced food, animal, and plant products. Food products </w:t>
      </w:r>
      <w:r w:rsidRPr="001A1E8F">
        <w:t>that represent higher risk</w:t>
      </w:r>
      <w:r>
        <w:t xml:space="preserve"> are identified by the authorities on a regular basis, and are subject to </w:t>
      </w:r>
      <w:r w:rsidRPr="001A1E8F">
        <w:t>more stringent food safety requirements.</w:t>
      </w:r>
      <w:r>
        <w:t xml:space="preserve"> A</w:t>
      </w:r>
      <w:r w:rsidRPr="001A1E8F">
        <w:t>nimal and plant products</w:t>
      </w:r>
      <w:r>
        <w:t xml:space="preserve"> cannot be imported </w:t>
      </w:r>
      <w:r w:rsidRPr="001A1E8F">
        <w:t xml:space="preserve">into </w:t>
      </w:r>
      <w:r>
        <w:t>New Zealand</w:t>
      </w:r>
      <w:r w:rsidRPr="001A1E8F">
        <w:t>, unless an import health standard</w:t>
      </w:r>
      <w:r>
        <w:t xml:space="preserve"> (</w:t>
      </w:r>
      <w:proofErr w:type="spellStart"/>
      <w:r>
        <w:t>IHS</w:t>
      </w:r>
      <w:proofErr w:type="spellEnd"/>
      <w:r>
        <w:t>)</w:t>
      </w:r>
      <w:r w:rsidRPr="001A1E8F">
        <w:t xml:space="preserve"> has been developed </w:t>
      </w:r>
      <w:r>
        <w:t xml:space="preserve">to </w:t>
      </w:r>
      <w:r w:rsidRPr="001A1E8F">
        <w:t xml:space="preserve">specify the biosecurity requirements that must be met </w:t>
      </w:r>
      <w:r>
        <w:t xml:space="preserve">by that product; </w:t>
      </w:r>
      <w:r w:rsidRPr="001A1E8F">
        <w:t>16</w:t>
      </w:r>
      <w:r>
        <w:t> </w:t>
      </w:r>
      <w:proofErr w:type="spellStart"/>
      <w:r>
        <w:t>IHSs</w:t>
      </w:r>
      <w:proofErr w:type="spellEnd"/>
      <w:r>
        <w:t xml:space="preserve"> were </w:t>
      </w:r>
      <w:r w:rsidRPr="001A1E8F">
        <w:t>drafted between 2015 and 202</w:t>
      </w:r>
      <w:r>
        <w:t xml:space="preserve">1. In 2018, </w:t>
      </w:r>
      <w:r w:rsidRPr="00604062">
        <w:t xml:space="preserve">specific trade concerns were raised with respect to </w:t>
      </w:r>
      <w:r>
        <w:t>New Zealand</w:t>
      </w:r>
      <w:r w:rsidRPr="00604062">
        <w:t>'s draft import health standard for vehicles, machinery, and equipment in the SPS Committee</w:t>
      </w:r>
      <w:r>
        <w:t>.</w:t>
      </w:r>
    </w:p>
    <w:p w14:paraId="68A48A83" w14:textId="77777777" w:rsidR="0058794D" w:rsidRPr="00EB3F89" w:rsidRDefault="0058794D" w:rsidP="0058794D">
      <w:pPr>
        <w:pStyle w:val="SummaryText"/>
      </w:pPr>
      <w:r w:rsidRPr="001E3D36">
        <w:t xml:space="preserve">During the </w:t>
      </w:r>
      <w:r>
        <w:t>review</w:t>
      </w:r>
      <w:r w:rsidRPr="001E3D36">
        <w:t xml:space="preserve"> period, </w:t>
      </w:r>
      <w:r>
        <w:rPr>
          <w:lang w:val="en-NZ"/>
        </w:rPr>
        <w:t>New Zealand</w:t>
      </w:r>
      <w:r w:rsidRPr="001E3D36">
        <w:rPr>
          <w:lang w:val="en-NZ"/>
        </w:rPr>
        <w:t xml:space="preserve">'s competition </w:t>
      </w:r>
      <w:r>
        <w:rPr>
          <w:lang w:val="en-NZ"/>
        </w:rPr>
        <w:t xml:space="preserve">framework, under the Commerce Act, </w:t>
      </w:r>
      <w:r>
        <w:t xml:space="preserve">was amended several times. The amendments created </w:t>
      </w:r>
      <w:r w:rsidRPr="001E3D36">
        <w:t xml:space="preserve">a new regime </w:t>
      </w:r>
      <w:r>
        <w:t>relating to</w:t>
      </w:r>
      <w:r w:rsidRPr="001E3D36">
        <w:t xml:space="preserve"> cartels by </w:t>
      </w:r>
      <w:r>
        <w:t xml:space="preserve">categorizing cartel conduct into </w:t>
      </w:r>
      <w:r w:rsidRPr="001E3D36">
        <w:t xml:space="preserve">three </w:t>
      </w:r>
      <w:r>
        <w:t xml:space="preserve">different </w:t>
      </w:r>
      <w:r w:rsidRPr="001E3D36">
        <w:t>types</w:t>
      </w:r>
      <w:r>
        <w:t xml:space="preserve">: </w:t>
      </w:r>
      <w:r w:rsidRPr="001E3D36">
        <w:t>price</w:t>
      </w:r>
      <w:r>
        <w:noBreakHyphen/>
      </w:r>
      <w:r w:rsidRPr="001E3D36">
        <w:t>fixing, restricting output, and allocating markets</w:t>
      </w:r>
      <w:r>
        <w:t xml:space="preserve">. The amendments also </w:t>
      </w:r>
      <w:r w:rsidRPr="001E3D36">
        <w:rPr>
          <w:szCs w:val="20"/>
        </w:rPr>
        <w:t>criminali</w:t>
      </w:r>
      <w:r>
        <w:rPr>
          <w:szCs w:val="20"/>
        </w:rPr>
        <w:t>z</w:t>
      </w:r>
      <w:r w:rsidRPr="001E3D36">
        <w:rPr>
          <w:szCs w:val="20"/>
        </w:rPr>
        <w:t>e cartels</w:t>
      </w:r>
      <w:r>
        <w:rPr>
          <w:szCs w:val="20"/>
        </w:rPr>
        <w:t xml:space="preserve"> and accorded t</w:t>
      </w:r>
      <w:r>
        <w:t>h</w:t>
      </w:r>
      <w:r w:rsidRPr="001E3D36">
        <w:t xml:space="preserve">e Commerce Commission </w:t>
      </w:r>
      <w:r>
        <w:t xml:space="preserve">the </w:t>
      </w:r>
      <w:r w:rsidRPr="001E3D36">
        <w:t xml:space="preserve">power to conduct market studies </w:t>
      </w:r>
      <w:r>
        <w:t xml:space="preserve">and </w:t>
      </w:r>
      <w:r w:rsidRPr="001E3D36">
        <w:t>the right to accept enforceable undertakings to resolve competition concerns</w:t>
      </w:r>
      <w:r>
        <w:t>. The Commission has the power to clear</w:t>
      </w:r>
      <w:r w:rsidRPr="000260D1">
        <w:t xml:space="preserve"> </w:t>
      </w:r>
      <w:r>
        <w:t>a proposed</w:t>
      </w:r>
      <w:r w:rsidRPr="000260D1">
        <w:t xml:space="preserve"> merger if the transaction </w:t>
      </w:r>
      <w:r>
        <w:t>is unlikely to have the effect of</w:t>
      </w:r>
      <w:r w:rsidRPr="000260D1">
        <w:t xml:space="preserve"> substantially lessen</w:t>
      </w:r>
      <w:r>
        <w:t>ing</w:t>
      </w:r>
      <w:r w:rsidRPr="000260D1">
        <w:t xml:space="preserve"> competition</w:t>
      </w:r>
      <w:r>
        <w:t xml:space="preserve"> in a market</w:t>
      </w:r>
      <w:r w:rsidRPr="000260D1">
        <w:t xml:space="preserve"> in </w:t>
      </w:r>
      <w:r>
        <w:t>New Zealand</w:t>
      </w:r>
      <w:r w:rsidRPr="000260D1">
        <w:t>.</w:t>
      </w:r>
      <w:r>
        <w:t xml:space="preserve"> S</w:t>
      </w:r>
      <w:r w:rsidRPr="00417967">
        <w:t xml:space="preserve">ome </w:t>
      </w:r>
      <w:r>
        <w:t>sectors</w:t>
      </w:r>
      <w:r w:rsidRPr="00417967">
        <w:t xml:space="preserve"> of </w:t>
      </w:r>
      <w:r>
        <w:t xml:space="preserve">the </w:t>
      </w:r>
      <w:r w:rsidRPr="00417967">
        <w:t>economy</w:t>
      </w:r>
      <w:r>
        <w:t xml:space="preserve"> (such as the fuel market and the retail grocery sector)</w:t>
      </w:r>
      <w:r w:rsidRPr="00417967">
        <w:t xml:space="preserve"> still suffer from l</w:t>
      </w:r>
      <w:r>
        <w:t>imited</w:t>
      </w:r>
      <w:r w:rsidRPr="00417967">
        <w:t xml:space="preserve"> competition</w:t>
      </w:r>
      <w:r>
        <w:t>.</w:t>
      </w:r>
    </w:p>
    <w:p w14:paraId="0B62C452" w14:textId="77777777" w:rsidR="0058794D" w:rsidRDefault="0058794D" w:rsidP="0058794D">
      <w:pPr>
        <w:pStyle w:val="SummaryText"/>
      </w:pPr>
      <w:r>
        <w:t xml:space="preserve">In 2019, updated </w:t>
      </w:r>
      <w:r w:rsidRPr="008054DD">
        <w:t xml:space="preserve">Government Procurement Rules came into </w:t>
      </w:r>
      <w:r>
        <w:t xml:space="preserve">force, introducing the concept of "broader outcomes" </w:t>
      </w:r>
      <w:r w:rsidRPr="00305A18">
        <w:t>to be considered by procuring entities in their procurement strategies, individual procurement procedures, and at the contract management stage</w:t>
      </w:r>
      <w:r>
        <w:t xml:space="preserve">; one such outcome is the </w:t>
      </w:r>
      <w:r w:rsidRPr="000045D5">
        <w:rPr>
          <w:bCs/>
        </w:rPr>
        <w:t xml:space="preserve">requirement that at </w:t>
      </w:r>
      <w:r>
        <w:rPr>
          <w:bCs/>
        </w:rPr>
        <w:t>least</w:t>
      </w:r>
      <w:r w:rsidRPr="000045D5">
        <w:rPr>
          <w:bCs/>
        </w:rPr>
        <w:t xml:space="preserve"> </w:t>
      </w:r>
      <w:r>
        <w:rPr>
          <w:bCs/>
        </w:rPr>
        <w:t>5%</w:t>
      </w:r>
      <w:r w:rsidRPr="000045D5">
        <w:rPr>
          <w:bCs/>
        </w:rPr>
        <w:t xml:space="preserve"> of the total number of mandated government agencies’ procurement contracts (including contracts above the GPA thresholds) be</w:t>
      </w:r>
      <w:r w:rsidRPr="000045D5">
        <w:rPr>
          <w:rFonts w:cs="Helvetica"/>
          <w:color w:val="555555"/>
          <w:shd w:val="clear" w:color="auto" w:fill="FFFFFF"/>
        </w:rPr>
        <w:t xml:space="preserve"> </w:t>
      </w:r>
      <w:r w:rsidRPr="000045D5">
        <w:rPr>
          <w:bCs/>
        </w:rPr>
        <w:t xml:space="preserve">awarded to Māori businesses. </w:t>
      </w:r>
    </w:p>
    <w:p w14:paraId="67123383" w14:textId="77777777" w:rsidR="0058794D" w:rsidRDefault="0058794D" w:rsidP="0058794D">
      <w:pPr>
        <w:pStyle w:val="SummaryText"/>
      </w:pPr>
      <w:r>
        <w:t xml:space="preserve">Since its last Review, New Zealand acceded to four new WIPO treaties as well as the Paris Act (1971) of the Berne Convention, undertook new IP commitments in its FTAs, and amended/adopted several IP laws. The Government has continued to work with </w:t>
      </w:r>
      <w:r w:rsidRPr="005F3F44">
        <w:t>Māori</w:t>
      </w:r>
      <w:r>
        <w:t xml:space="preserve"> to address the protection, use and development of </w:t>
      </w:r>
      <w:r w:rsidRPr="008054DD">
        <w:t>Māori</w:t>
      </w:r>
      <w:r>
        <w:t xml:space="preserve"> knowledge system. A </w:t>
      </w:r>
      <w:r>
        <w:rPr>
          <w:i/>
          <w:iCs/>
        </w:rPr>
        <w:t xml:space="preserve">sui generis </w:t>
      </w:r>
      <w:r>
        <w:t>system for the protection of geographical indications was implemented in 2017, while a new regime for the protection of plant variety rights is expected to enter into force in 2022. Patenting activity has declined in New Zealand, following the implementation of higher patentability requirements, while trademark applications and grants has steadily increased. Data protection for confidential information supporting an application for registration of an agricultural or veterinary compound was expanded. The Copyright Act 1994 was recently amended to strengthen the related rights of performers and to expand the availability of copyrighted works to those with print disabilities. Creative and broadcasting industries have recently called for new measures to combat digital piracy. Interceptions of trademark and copyright-related goods by customs authorities declined sharply in the last few years.</w:t>
      </w:r>
    </w:p>
    <w:p w14:paraId="404F0B7F" w14:textId="77777777" w:rsidR="0058794D" w:rsidRDefault="0058794D" w:rsidP="0058794D">
      <w:pPr>
        <w:pStyle w:val="SummaryText"/>
      </w:pPr>
      <w:r>
        <w:t>During the review period, agricultural output increased, mainly due to meat and dairy production. The sector continued to contribute significantly to New Zealand's total merchandise exports (over half of goods exported), while it accounted for 6.2% of GDP in 2019/2020 and 5.84% of employment in 2019. Nonetheless, growth in agricultural total factor productivity lags behind the OECD's average, and n</w:t>
      </w:r>
      <w:r w:rsidRPr="00AD680A">
        <w:t xml:space="preserve">early half of </w:t>
      </w:r>
      <w:r>
        <w:t>New Zealand</w:t>
      </w:r>
      <w:r w:rsidRPr="00AD680A">
        <w:t>'s greenhouse gas emissions come from agriculture</w:t>
      </w:r>
      <w:r>
        <w:t>; Government efforts are underway to address these issues.</w:t>
      </w:r>
      <w:r w:rsidRPr="00C92A27">
        <w:rPr>
          <w:lang w:val="en-NZ"/>
        </w:rPr>
        <w:t xml:space="preserve"> </w:t>
      </w:r>
      <w:r>
        <w:rPr>
          <w:lang w:val="en-NZ"/>
        </w:rPr>
        <w:t xml:space="preserve">The simple average applied MFN tariff </w:t>
      </w:r>
      <w:r w:rsidRPr="00C92A27">
        <w:rPr>
          <w:lang w:val="en-NZ"/>
        </w:rPr>
        <w:t>on agricultural products</w:t>
      </w:r>
      <w:r>
        <w:rPr>
          <w:lang w:val="en-NZ"/>
        </w:rPr>
        <w:t xml:space="preserve"> (WTO definition) was 1.8% in 2021,</w:t>
      </w:r>
      <w:r w:rsidRPr="00C92A27">
        <w:rPr>
          <w:lang w:val="en-NZ"/>
        </w:rPr>
        <w:t xml:space="preserve"> and</w:t>
      </w:r>
      <w:r>
        <w:t xml:space="preserve"> government support to the sector is among the lowest within the OECD, with the main support measures focused on </w:t>
      </w:r>
      <w:r w:rsidRPr="00575B04">
        <w:t>pest and disease control</w:t>
      </w:r>
      <w:r>
        <w:t xml:space="preserve">, </w:t>
      </w:r>
      <w:r w:rsidRPr="00575B04">
        <w:t>knowledge and innovation system</w:t>
      </w:r>
      <w:r>
        <w:t xml:space="preserve">s, environmental programmes, and infrastructural services. Export regulations establish a prior approval system for export of Kiwifruit, and a licensing system for export of horticultural products. Fishing activities have a great socio-economic and strategic importance, with some </w:t>
      </w:r>
      <w:r w:rsidRPr="00604062">
        <w:t>13,500</w:t>
      </w:r>
      <w:r>
        <w:t> </w:t>
      </w:r>
      <w:r w:rsidRPr="00604062">
        <w:t xml:space="preserve">people </w:t>
      </w:r>
      <w:r>
        <w:t xml:space="preserve">employed in the sector </w:t>
      </w:r>
      <w:r w:rsidRPr="00604062">
        <w:t xml:space="preserve">and </w:t>
      </w:r>
      <w:r>
        <w:t xml:space="preserve">a </w:t>
      </w:r>
      <w:r w:rsidRPr="00604062">
        <w:t>contribut</w:t>
      </w:r>
      <w:r>
        <w:t>ion of</w:t>
      </w:r>
      <w:r w:rsidRPr="00604062">
        <w:t xml:space="preserve"> NZD</w:t>
      </w:r>
      <w:r>
        <w:t> </w:t>
      </w:r>
      <w:r w:rsidRPr="00604062">
        <w:t>4.2</w:t>
      </w:r>
      <w:r>
        <w:t> </w:t>
      </w:r>
      <w:r w:rsidRPr="00604062">
        <w:t>billion per year in economic activity.</w:t>
      </w:r>
      <w:r>
        <w:t xml:space="preserve"> With a view to ensuring sustainability of its fish stock, </w:t>
      </w:r>
      <w:r>
        <w:lastRenderedPageBreak/>
        <w:t>New Zealand implements a quota management system. F</w:t>
      </w:r>
      <w:r w:rsidRPr="002D1913">
        <w:t xml:space="preserve">oreign-flagged charter vessels fishing in </w:t>
      </w:r>
      <w:r>
        <w:t>New Zealand</w:t>
      </w:r>
      <w:r w:rsidRPr="002D1913">
        <w:t xml:space="preserve"> waters (within the 200-mile limit) are required to reflag as </w:t>
      </w:r>
      <w:r>
        <w:t>New Zealand ship.</w:t>
      </w:r>
    </w:p>
    <w:p w14:paraId="3378D7FC" w14:textId="77777777" w:rsidR="0058794D" w:rsidRDefault="0058794D" w:rsidP="0058794D">
      <w:pPr>
        <w:pStyle w:val="SummaryText"/>
      </w:pPr>
      <w:r>
        <w:t>While h</w:t>
      </w:r>
      <w:r w:rsidRPr="0087095B">
        <w:t xml:space="preserve">ydrocarbons continue to be </w:t>
      </w:r>
      <w:r>
        <w:t>New Zealand</w:t>
      </w:r>
      <w:r w:rsidRPr="0087095B">
        <w:t>'s main source of primary energy</w:t>
      </w:r>
      <w:r>
        <w:t xml:space="preserve"> and an important source of greenhouse gas emissions, energy efficiency is a high priority for the authorities. Several strategic plans, and an emission trading system, were put in place during the review period to achieve environmental targets at both domestic and international levels, </w:t>
      </w:r>
      <w:r w:rsidRPr="00C92A27">
        <w:rPr>
          <w:lang w:val="en-NZ"/>
        </w:rPr>
        <w:t>including a goal to transition to net zero carbon emissions by 2050</w:t>
      </w:r>
      <w:r>
        <w:t xml:space="preserve">. </w:t>
      </w:r>
    </w:p>
    <w:p w14:paraId="3E02B803" w14:textId="77777777" w:rsidR="0058794D" w:rsidRDefault="0058794D" w:rsidP="0058794D">
      <w:pPr>
        <w:pStyle w:val="SummaryText"/>
      </w:pPr>
      <w:bookmarkStart w:id="1" w:name="_Hlk97798321"/>
      <w:r>
        <w:t xml:space="preserve">The manufacturing sector accounted for </w:t>
      </w:r>
      <w:r w:rsidRPr="00650AC7">
        <w:t>10.7% of GDP</w:t>
      </w:r>
      <w:r>
        <w:t xml:space="preserve"> and </w:t>
      </w:r>
      <w:r w:rsidRPr="00650AC7">
        <w:t>8.6% of employment</w:t>
      </w:r>
      <w:r>
        <w:t xml:space="preserve"> in 2019/20</w:t>
      </w:r>
      <w:bookmarkEnd w:id="1"/>
      <w:r>
        <w:t xml:space="preserve">, and 17.8% of merchandise exports in 2021. </w:t>
      </w:r>
      <w:r w:rsidRPr="002D1913">
        <w:t xml:space="preserve">The </w:t>
      </w:r>
      <w:r>
        <w:t xml:space="preserve">simple average </w:t>
      </w:r>
      <w:r w:rsidRPr="002D1913">
        <w:t xml:space="preserve">applied </w:t>
      </w:r>
      <w:r>
        <w:t xml:space="preserve">MFN </w:t>
      </w:r>
      <w:r w:rsidRPr="002D1913">
        <w:t xml:space="preserve">tariff in manufacturing </w:t>
      </w:r>
      <w:r>
        <w:t xml:space="preserve">was 2.3% in 2021 compared with 2.5% in 2015. The Government's main efforts seek to promote innovation, while limiting the sector's environmental footprint. </w:t>
      </w:r>
    </w:p>
    <w:p w14:paraId="095A2049" w14:textId="77777777" w:rsidR="0058794D" w:rsidRDefault="0058794D" w:rsidP="0058794D">
      <w:pPr>
        <w:pStyle w:val="SummaryText"/>
      </w:pPr>
      <w:r>
        <w:t xml:space="preserve">The services sector accounts for 71.6% of GDP. Financial services are dominated by the banking industry, which held </w:t>
      </w:r>
      <w:r w:rsidRPr="008D4CF8">
        <w:t>some 86% of overall financial system assets</w:t>
      </w:r>
      <w:r>
        <w:t xml:space="preserve"> in 2021. </w:t>
      </w:r>
      <w:r w:rsidRPr="008D4CF8">
        <w:t xml:space="preserve">The four large </w:t>
      </w:r>
      <w:r>
        <w:t>foreign</w:t>
      </w:r>
      <w:r w:rsidRPr="008D4CF8">
        <w:t>-owned banks hold 85% of bank lending</w:t>
      </w:r>
      <w:r>
        <w:t xml:space="preserve">. Efforts are underway to further develop capital markets. Several regulations have recently been issued to further reinforce the prudential regime for financial institutions. </w:t>
      </w:r>
    </w:p>
    <w:p w14:paraId="61955826" w14:textId="77777777" w:rsidR="0058794D" w:rsidRDefault="0058794D" w:rsidP="0058794D">
      <w:pPr>
        <w:pStyle w:val="SummaryText"/>
      </w:pPr>
      <w:r>
        <w:t>The telecommunications market has continued to grow over the last few years, in line with the rising trend in mobile services, while fixed-line connections were declining. The pandemic led to an increase</w:t>
      </w:r>
      <w:r w:rsidRPr="008A09D0">
        <w:t xml:space="preserve"> in fixed broadband data usage</w:t>
      </w:r>
      <w:r>
        <w:t>; however, travel</w:t>
      </w:r>
      <w:r w:rsidRPr="008A09D0">
        <w:t xml:space="preserve"> restrictions led to </w:t>
      </w:r>
      <w:r>
        <w:t xml:space="preserve">a collapse in </w:t>
      </w:r>
      <w:r w:rsidRPr="008A09D0">
        <w:t>total mobile roaming</w:t>
      </w:r>
      <w:r>
        <w:t xml:space="preserve">. The Government, in collaboration with the private sector, has mobilized large resources to further improve telecommunications infrastructure, including broadband connectivity. In recent years, digital inclusion and cybersecurity have become strategic goals for the authorities. Several public programmes have been launched to further improve mobile coverage and access to fast broadband in homes and businesses. As </w:t>
      </w:r>
      <w:r w:rsidRPr="007D7C2C">
        <w:t>connectivity continue</w:t>
      </w:r>
      <w:r>
        <w:t>s</w:t>
      </w:r>
      <w:r w:rsidRPr="007D7C2C">
        <w:t xml:space="preserve"> to support </w:t>
      </w:r>
      <w:r>
        <w:t>New Zealand</w:t>
      </w:r>
      <w:r w:rsidRPr="007D7C2C">
        <w:t xml:space="preserve">'s </w:t>
      </w:r>
      <w:r>
        <w:t>economy</w:t>
      </w:r>
      <w:r w:rsidRPr="007D7C2C">
        <w:t>,</w:t>
      </w:r>
      <w:r>
        <w:t xml:space="preserve"> measures have been taken to protect</w:t>
      </w:r>
      <w:r w:rsidRPr="007D7C2C">
        <w:t xml:space="preserve"> </w:t>
      </w:r>
      <w:r>
        <w:t xml:space="preserve">users </w:t>
      </w:r>
      <w:r w:rsidRPr="007D7C2C">
        <w:t>against cyber threats</w:t>
      </w:r>
      <w:r>
        <w:t>.</w:t>
      </w:r>
    </w:p>
    <w:p w14:paraId="39639C85" w14:textId="77777777" w:rsidR="0058794D" w:rsidRDefault="0058794D" w:rsidP="0058794D">
      <w:pPr>
        <w:pStyle w:val="SummaryText"/>
      </w:pPr>
      <w:r>
        <w:t xml:space="preserve">New Zealand has </w:t>
      </w:r>
      <w:r w:rsidRPr="002673D4">
        <w:t xml:space="preserve">signed </w:t>
      </w:r>
      <w:r>
        <w:t>air services agreements</w:t>
      </w:r>
      <w:r w:rsidRPr="002673D4">
        <w:t xml:space="preserve"> with 71 partners</w:t>
      </w:r>
      <w:r>
        <w:t>, and</w:t>
      </w:r>
      <w:r w:rsidRPr="002673D4">
        <w:t xml:space="preserve"> continue</w:t>
      </w:r>
      <w:r>
        <w:t>s</w:t>
      </w:r>
      <w:r w:rsidRPr="002673D4">
        <w:t xml:space="preserve"> to advocate for open skies agreements, </w:t>
      </w:r>
      <w:r>
        <w:t>based on its i</w:t>
      </w:r>
      <w:r w:rsidRPr="002673D4">
        <w:t xml:space="preserve">nternational </w:t>
      </w:r>
      <w:r>
        <w:t>a</w:t>
      </w:r>
      <w:r w:rsidRPr="002673D4">
        <w:t xml:space="preserve">ir </w:t>
      </w:r>
      <w:r>
        <w:t>t</w:t>
      </w:r>
      <w:r w:rsidRPr="002673D4">
        <w:t xml:space="preserve">ransport </w:t>
      </w:r>
      <w:r>
        <w:t>p</w:t>
      </w:r>
      <w:r w:rsidRPr="002673D4">
        <w:t>olicy</w:t>
      </w:r>
      <w:r>
        <w:t xml:space="preserve">. In the wake of the pandemic, </w:t>
      </w:r>
      <w:r w:rsidRPr="00F32060">
        <w:t xml:space="preserve">the Government implemented </w:t>
      </w:r>
      <w:r>
        <w:t xml:space="preserve">a number of </w:t>
      </w:r>
      <w:r w:rsidRPr="00F32060">
        <w:t>financial package</w:t>
      </w:r>
      <w:r>
        <w:t xml:space="preserve">s </w:t>
      </w:r>
      <w:r w:rsidRPr="00F32060">
        <w:t>to</w:t>
      </w:r>
      <w:r>
        <w:t>: (</w:t>
      </w:r>
      <w:proofErr w:type="spellStart"/>
      <w:r>
        <w:t>i</w:t>
      </w:r>
      <w:proofErr w:type="spellEnd"/>
      <w:r>
        <w:t>) </w:t>
      </w:r>
      <w:r w:rsidRPr="00F32060">
        <w:t xml:space="preserve">support </w:t>
      </w:r>
      <w:r>
        <w:t xml:space="preserve">the continuation of </w:t>
      </w:r>
      <w:r w:rsidRPr="00F32060">
        <w:t>essential trade flows, including the import of medical supplies</w:t>
      </w:r>
      <w:r>
        <w:t xml:space="preserve"> and</w:t>
      </w:r>
      <w:r w:rsidRPr="00F32060">
        <w:t xml:space="preserve"> </w:t>
      </w:r>
      <w:r>
        <w:t>the maintenance of</w:t>
      </w:r>
      <w:r w:rsidRPr="00F32060">
        <w:t xml:space="preserve"> air connectivity for passengers and future tourism capacity, and </w:t>
      </w:r>
      <w:r>
        <w:t>(ii) </w:t>
      </w:r>
      <w:r w:rsidRPr="00F32060">
        <w:t>ensure the sustainability of the aviation sector.</w:t>
      </w:r>
      <w:r>
        <w:t xml:space="preserve"> </w:t>
      </w:r>
    </w:p>
    <w:p w14:paraId="3D7877AD" w14:textId="77777777" w:rsidR="0058794D" w:rsidRDefault="0058794D" w:rsidP="0058794D">
      <w:pPr>
        <w:pStyle w:val="SummaryText"/>
      </w:pPr>
      <w:r>
        <w:t>N</w:t>
      </w:r>
      <w:r w:rsidRPr="00805661">
        <w:t xml:space="preserve">o significant </w:t>
      </w:r>
      <w:r>
        <w:t xml:space="preserve">regulatory </w:t>
      </w:r>
      <w:r w:rsidRPr="00805661">
        <w:t xml:space="preserve">changes took place </w:t>
      </w:r>
      <w:r>
        <w:t xml:space="preserve">in maritime transport </w:t>
      </w:r>
      <w:r w:rsidRPr="00805661">
        <w:t xml:space="preserve">during the review period. </w:t>
      </w:r>
      <w:r w:rsidRPr="006228AC">
        <w:t xml:space="preserve">Maritime transport </w:t>
      </w:r>
      <w:r>
        <w:t>remains key to</w:t>
      </w:r>
      <w:r w:rsidRPr="006228AC">
        <w:t xml:space="preserve"> </w:t>
      </w:r>
      <w:r>
        <w:t>New Zealand</w:t>
      </w:r>
      <w:r w:rsidRPr="006228AC">
        <w:t xml:space="preserve"> freight movement. Shipping services are provided by both </w:t>
      </w:r>
      <w:r>
        <w:t>New Zealand</w:t>
      </w:r>
      <w:r w:rsidRPr="006228AC">
        <w:t xml:space="preserve"> based ship operators and international shipping lines</w:t>
      </w:r>
      <w:r>
        <w:t>, for whom cabotage is restricted</w:t>
      </w:r>
      <w:r w:rsidRPr="006228AC">
        <w:t>.</w:t>
      </w:r>
      <w:r>
        <w:t xml:space="preserve"> </w:t>
      </w:r>
      <w:r w:rsidRPr="006228AC">
        <w:t>Foreign</w:t>
      </w:r>
      <w:r>
        <w:t>ers</w:t>
      </w:r>
      <w:r w:rsidRPr="006228AC">
        <w:t xml:space="preserve"> are only allowed to register a ship under the country's flag in co-ownership with </w:t>
      </w:r>
      <w:r>
        <w:t>majority owner New Zealand</w:t>
      </w:r>
      <w:r w:rsidRPr="006228AC">
        <w:t xml:space="preserve"> nationals.</w:t>
      </w:r>
    </w:p>
    <w:p w14:paraId="3C100969" w14:textId="51940E20" w:rsidR="00120717" w:rsidRDefault="0058794D" w:rsidP="0058794D">
      <w:pPr>
        <w:pStyle w:val="SummaryText"/>
      </w:pPr>
      <w:r>
        <w:t>Historically, tourism is New Zealand's largest export earner, and it contributes significantly to GDP, employment, and tax revenue. However, in 2020 and 2021, the tourism industry suffered from the impact of the pandemic. In response, the Government undertook several support measures for the sector. F</w:t>
      </w:r>
      <w:r w:rsidRPr="002C4303">
        <w:t xml:space="preserve">unding </w:t>
      </w:r>
      <w:r>
        <w:t xml:space="preserve">was provided through </w:t>
      </w:r>
      <w:r w:rsidRPr="002C4303">
        <w:t xml:space="preserve">a range of initiatives including </w:t>
      </w:r>
      <w:r>
        <w:t xml:space="preserve">the </w:t>
      </w:r>
      <w:r w:rsidRPr="002C4303">
        <w:t>protect</w:t>
      </w:r>
      <w:r>
        <w:t xml:space="preserve">ion of </w:t>
      </w:r>
      <w:r w:rsidRPr="002C4303">
        <w:t>core tourism assets</w:t>
      </w:r>
      <w:r>
        <w:t xml:space="preserve">, as well as the development of the </w:t>
      </w:r>
      <w:r w:rsidRPr="002C4303">
        <w:t xml:space="preserve">domestic </w:t>
      </w:r>
      <w:r>
        <w:t xml:space="preserve">tourism </w:t>
      </w:r>
      <w:r w:rsidRPr="002C4303">
        <w:t xml:space="preserve">market, </w:t>
      </w:r>
      <w:r>
        <w:t xml:space="preserve">and </w:t>
      </w:r>
      <w:r w:rsidRPr="002C4303">
        <w:t>digital capabilit</w:t>
      </w:r>
      <w:r>
        <w:t>ies</w:t>
      </w:r>
      <w:r w:rsidRPr="002C4303">
        <w:t>.</w:t>
      </w:r>
    </w:p>
    <w:p w14:paraId="2774C6BA" w14:textId="77777777" w:rsidR="003C53A8" w:rsidRDefault="003C53A8" w:rsidP="008F77AA">
      <w:pPr>
        <w:pStyle w:val="Heading1"/>
        <w:sectPr w:rsidR="003C53A8" w:rsidSect="003D774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440" w:bottom="1440" w:left="1440" w:header="720" w:footer="720" w:gutter="0"/>
          <w:cols w:space="720"/>
          <w:titlePg/>
          <w:docGrid w:linePitch="360"/>
        </w:sectPr>
      </w:pPr>
      <w:bookmarkStart w:id="11" w:name="_Toc97800112"/>
    </w:p>
    <w:p w14:paraId="50D6B61F" w14:textId="6BE0BB0D" w:rsidR="00120717" w:rsidRPr="00F64A35" w:rsidRDefault="00120717" w:rsidP="008F77AA">
      <w:pPr>
        <w:pStyle w:val="Heading1"/>
      </w:pPr>
      <w:r w:rsidRPr="00B93EE1">
        <w:lastRenderedPageBreak/>
        <w:t>ECONOMIC ENVIRONMENT</w:t>
      </w:r>
      <w:bookmarkEnd w:id="11"/>
    </w:p>
    <w:p w14:paraId="5815AC3C" w14:textId="77777777" w:rsidR="00120717" w:rsidRPr="00F64A35" w:rsidRDefault="00120717" w:rsidP="00F64A35">
      <w:pPr>
        <w:pStyle w:val="Heading2"/>
      </w:pPr>
      <w:bookmarkStart w:id="12" w:name="_Toc403466391"/>
      <w:bookmarkStart w:id="13" w:name="_Toc459103073"/>
      <w:bookmarkStart w:id="14" w:name="_Toc97800113"/>
      <w:bookmarkStart w:id="15" w:name="_Hlk67416757"/>
      <w:r w:rsidRPr="00B93EE1">
        <w:t>Main Features of the Economy</w:t>
      </w:r>
      <w:bookmarkEnd w:id="12"/>
      <w:bookmarkEnd w:id="13"/>
      <w:bookmarkEnd w:id="14"/>
    </w:p>
    <w:p w14:paraId="527D65FE" w14:textId="77777777" w:rsidR="00120717" w:rsidRPr="00F64A35" w:rsidRDefault="00120717" w:rsidP="00E962FF">
      <w:pPr>
        <w:pStyle w:val="BodyText"/>
      </w:pPr>
      <w:r w:rsidRPr="00B93EE1">
        <w:t>New Zealand remains one of the most open economies in the world, as it highly encourages private entrepreneurship and competition. During the period under review, New Zealand maintained its efforts in creating a proactive regulatory framework, with strong emphasis on innovation and capacity</w:t>
      </w:r>
      <w:r w:rsidRPr="00B93EE1">
        <w:noBreakHyphen/>
        <w:t>building. According to the latest Institute for Management Development (</w:t>
      </w:r>
      <w:proofErr w:type="spellStart"/>
      <w:r w:rsidRPr="00B93EE1">
        <w:t>IMD</w:t>
      </w:r>
      <w:proofErr w:type="spellEnd"/>
      <w:r w:rsidRPr="00B93EE1">
        <w:t>) World Competitiveness report, New Zealand ranked 20</w:t>
      </w:r>
      <w:r w:rsidRPr="00F64A35">
        <w:rPr>
          <w:vertAlign w:val="superscript"/>
        </w:rPr>
        <w:t>th</w:t>
      </w:r>
      <w:r w:rsidRPr="00B93EE1">
        <w:t> among 64 economies, with an effective legal system, policy stability and predictability, and a business-friendly environment as some of its main strengths. On the other hand, the report also indicates that sustaining the ease of doing business amid tighter regulations and overall low levels of workforce productivity are some of New Zealand's main challenges.</w:t>
      </w:r>
      <w:r w:rsidRPr="00B93EE1">
        <w:rPr>
          <w:rStyle w:val="FootnoteReference"/>
        </w:rPr>
        <w:footnoteReference w:id="1"/>
      </w:r>
    </w:p>
    <w:p w14:paraId="2FBEA634" w14:textId="77777777" w:rsidR="00120717" w:rsidRPr="00F64A35" w:rsidRDefault="00120717" w:rsidP="00647ADC">
      <w:pPr>
        <w:pStyle w:val="BodyText"/>
      </w:pPr>
      <w:r w:rsidRPr="00B93EE1">
        <w:t>Despite New Zealand's conducive economic policy context, gross domestic product (GDP) growth potential remains constrained by long-standing structural issues, notably weak productivity growth.</w:t>
      </w:r>
      <w:r w:rsidRPr="00B93EE1">
        <w:rPr>
          <w:rStyle w:val="FootnoteReference"/>
          <w:color w:val="2C2825"/>
          <w:szCs w:val="18"/>
          <w:lang w:eastAsia="en-GB"/>
        </w:rPr>
        <w:footnoteReference w:id="2"/>
      </w:r>
      <w:r w:rsidRPr="00B93EE1">
        <w:t xml:space="preserve"> According to the IMF, </w:t>
      </w:r>
      <w:r w:rsidRPr="00B93EE1">
        <w:rPr>
          <w:color w:val="2C2825"/>
          <w:szCs w:val="18"/>
          <w:lang w:eastAsia="en-GB"/>
        </w:rPr>
        <w:t>better financed R&amp;D, by both the Government and the private sector, could further enhance innovation and productivity, while larger foreign direct investment (</w:t>
      </w:r>
      <w:proofErr w:type="spellStart"/>
      <w:r w:rsidRPr="00B93EE1">
        <w:rPr>
          <w:color w:val="2C2825"/>
          <w:szCs w:val="18"/>
          <w:lang w:eastAsia="en-GB"/>
        </w:rPr>
        <w:t>FDI</w:t>
      </w:r>
      <w:proofErr w:type="spellEnd"/>
      <w:r w:rsidRPr="00B93EE1">
        <w:rPr>
          <w:color w:val="2C2825"/>
          <w:szCs w:val="18"/>
          <w:lang w:eastAsia="en-GB"/>
        </w:rPr>
        <w:t xml:space="preserve">) inflows could boost </w:t>
      </w:r>
      <w:r w:rsidRPr="00B93EE1">
        <w:t>global collaboration</w:t>
      </w:r>
      <w:r w:rsidRPr="00B93EE1">
        <w:rPr>
          <w:color w:val="2C2825"/>
          <w:szCs w:val="18"/>
          <w:lang w:eastAsia="en-GB"/>
        </w:rPr>
        <w:t xml:space="preserve"> and technology sharing. Recent reforms of the Overseas Investment Act, with the aim of streamlining approval procedures, could help in this regard </w:t>
      </w:r>
      <w:r w:rsidRPr="001A2CCA">
        <w:rPr>
          <w:color w:val="2C2825"/>
          <w:szCs w:val="18"/>
          <w:lang w:eastAsia="en-GB"/>
        </w:rPr>
        <w:t>(Section 2.4)</w:t>
      </w:r>
      <w:r w:rsidRPr="00B93EE1">
        <w:rPr>
          <w:color w:val="2C2825"/>
          <w:szCs w:val="18"/>
          <w:lang w:eastAsia="en-GB"/>
        </w:rPr>
        <w:t>. T</w:t>
      </w:r>
      <w:r w:rsidRPr="00B93EE1">
        <w:rPr>
          <w:rFonts w:eastAsia="Calibri"/>
          <w:szCs w:val="18"/>
        </w:rPr>
        <w:t>he IMF also suggests reducing</w:t>
      </w:r>
      <w:r w:rsidRPr="00B93EE1">
        <w:rPr>
          <w:rFonts w:eastAsia="Times New Roman"/>
          <w:color w:val="2C2825"/>
          <w:szCs w:val="18"/>
          <w:lang w:eastAsia="en-GB"/>
        </w:rPr>
        <w:t xml:space="preserve"> infrastructure gaps, particularly in energy, transport, and telecoms; revisiting product market regulations to lower costs and spurring competition without sacrificing safety or other interests; and reducing high unemployment among young people/some ethnic communities</w:t>
      </w:r>
      <w:r w:rsidRPr="00B93EE1">
        <w:rPr>
          <w:rStyle w:val="FootnoteReference"/>
          <w:color w:val="2C2825"/>
          <w:szCs w:val="18"/>
          <w:lang w:eastAsia="en-GB"/>
        </w:rPr>
        <w:footnoteReference w:id="3"/>
      </w:r>
      <w:r w:rsidRPr="00B93EE1">
        <w:rPr>
          <w:rFonts w:eastAsia="Times New Roman"/>
          <w:color w:val="2C2825"/>
          <w:szCs w:val="18"/>
          <w:lang w:eastAsia="en-GB"/>
        </w:rPr>
        <w:t>, and addressing income inequality through targeted labour market interventions.</w:t>
      </w:r>
      <w:r w:rsidRPr="00B93EE1">
        <w:rPr>
          <w:rStyle w:val="FootnoteReference"/>
          <w:color w:val="2C2825"/>
          <w:szCs w:val="18"/>
          <w:lang w:eastAsia="en-GB"/>
        </w:rPr>
        <w:footnoteReference w:id="4"/>
      </w:r>
    </w:p>
    <w:p w14:paraId="3FFAE611" w14:textId="77777777" w:rsidR="00120717" w:rsidRPr="00F64A35" w:rsidRDefault="00120717" w:rsidP="005D74E4">
      <w:pPr>
        <w:pStyle w:val="BodyText"/>
      </w:pPr>
      <w:r w:rsidRPr="00B93EE1">
        <w:rPr>
          <w:rFonts w:eastAsia="Calibri"/>
        </w:rPr>
        <w:t>The structure of New Zealand's economy has not changed significantly over the past few years.</w:t>
      </w:r>
      <w:r w:rsidRPr="00B93EE1">
        <w:rPr>
          <w:szCs w:val="18"/>
          <w:lang w:eastAsia="en-GB"/>
        </w:rPr>
        <w:t xml:space="preserve"> As shown in Chart 1.1, the services sector continues to be the main contributor to GDP, with an estimated 71.6% share in FY2019/20 (71.5% in 2014/15), followed by manufacturing with 10.7% (12.1% in 2014/15); construction with 7.6% (6.2% in 2014/15); agriculture, forestry and fishing with 6.2% (5.2% in 2014/15); electricity, gas and water with 3.0% (3.4% in 2014/15); and mining and quarrying with 1.0% (1.6% in 2014/15).</w:t>
      </w:r>
    </w:p>
    <w:p w14:paraId="1758F777" w14:textId="77777777" w:rsidR="00120717" w:rsidRPr="00F64A35" w:rsidRDefault="00120717" w:rsidP="00647ADC">
      <w:pPr>
        <w:pStyle w:val="BodyText"/>
      </w:pPr>
      <w:r w:rsidRPr="00B93EE1">
        <w:t>International trade plays an important role in New Zealand's economy, albeit decreasingly: merchandise trade (exports and imports), as percentage of GDP, went down from 40.7% in 2014/15 to 35.3% in 2020/21.</w:t>
      </w:r>
      <w:r w:rsidRPr="00B93EE1">
        <w:rPr>
          <w:rStyle w:val="FootnoteReference"/>
        </w:rPr>
        <w:footnoteReference w:id="5"/>
      </w:r>
      <w:r w:rsidRPr="00B93EE1">
        <w:t xml:space="preserve"> This fall is partly due to the negative impact the COVID-19 pandemic had on both exports and imports of goods and services. T</w:t>
      </w:r>
      <w:r w:rsidRPr="00B93EE1">
        <w:rPr>
          <w:rFonts w:eastAsia="Calibri"/>
        </w:rPr>
        <w:t xml:space="preserve">he small size of </w:t>
      </w:r>
      <w:r w:rsidRPr="00B93EE1">
        <w:t>New Zealand's economy, the remote access to markets and suppliers, and limited participation in global value chains (</w:t>
      </w:r>
      <w:proofErr w:type="spellStart"/>
      <w:r w:rsidRPr="00B93EE1">
        <w:t>GVCs</w:t>
      </w:r>
      <w:proofErr w:type="spellEnd"/>
      <w:r w:rsidRPr="00B93EE1">
        <w:t xml:space="preserve">) other than food and agriculture also reduce the ability of firms to exploit economies of scale and to export. </w:t>
      </w:r>
      <w:r w:rsidRPr="00B93EE1">
        <w:rPr>
          <w:color w:val="000000"/>
        </w:rPr>
        <w:t>In 2020, New Zealand ranked 37</w:t>
      </w:r>
      <w:r w:rsidRPr="00B93EE1">
        <w:rPr>
          <w:color w:val="000000"/>
          <w:vertAlign w:val="superscript"/>
        </w:rPr>
        <w:t>th</w:t>
      </w:r>
      <w:r w:rsidRPr="00B93EE1">
        <w:rPr>
          <w:color w:val="000000"/>
        </w:rPr>
        <w:t xml:space="preserve"> among world merchandise exporters and 40</w:t>
      </w:r>
      <w:r w:rsidRPr="00B93EE1">
        <w:rPr>
          <w:color w:val="000000"/>
          <w:vertAlign w:val="superscript"/>
        </w:rPr>
        <w:t>th</w:t>
      </w:r>
      <w:r w:rsidRPr="00B93EE1">
        <w:rPr>
          <w:color w:val="000000"/>
        </w:rPr>
        <w:t xml:space="preserve"> among importers (considering the countries of the European Union together and excluding intra-EU trade). </w:t>
      </w:r>
      <w:r w:rsidRPr="00B93EE1">
        <w:rPr>
          <w:rFonts w:eastAsia="Calibri"/>
        </w:rPr>
        <w:t xml:space="preserve">Services exports, mainly travel services, are also a significant source of foreign exchange earnings. </w:t>
      </w:r>
      <w:r w:rsidRPr="00B93EE1">
        <w:rPr>
          <w:color w:val="000000"/>
        </w:rPr>
        <w:t>In services trade, New Zealand ranked 30</w:t>
      </w:r>
      <w:r w:rsidRPr="00B93EE1">
        <w:rPr>
          <w:color w:val="000000"/>
          <w:vertAlign w:val="superscript"/>
        </w:rPr>
        <w:t>th</w:t>
      </w:r>
      <w:r w:rsidRPr="00B93EE1">
        <w:rPr>
          <w:color w:val="000000"/>
        </w:rPr>
        <w:t xml:space="preserve"> among exporters and 34</w:t>
      </w:r>
      <w:r w:rsidRPr="00B93EE1">
        <w:rPr>
          <w:color w:val="000000"/>
          <w:vertAlign w:val="superscript"/>
        </w:rPr>
        <w:t>th</w:t>
      </w:r>
      <w:r w:rsidRPr="00B93EE1">
        <w:rPr>
          <w:color w:val="000000"/>
        </w:rPr>
        <w:t xml:space="preserve"> among importers.</w:t>
      </w:r>
      <w:r w:rsidRPr="00B93EE1">
        <w:rPr>
          <w:rStyle w:val="FootnoteReference"/>
          <w:color w:val="000000"/>
        </w:rPr>
        <w:footnoteReference w:id="6"/>
      </w:r>
    </w:p>
    <w:p w14:paraId="4B1A492D" w14:textId="7008EFEE" w:rsidR="00120717" w:rsidRPr="00B93EE1" w:rsidRDefault="00927DD0" w:rsidP="00927DD0">
      <w:pPr>
        <w:pStyle w:val="Caption"/>
        <w:rPr>
          <w:highlight w:val="green"/>
        </w:rPr>
      </w:pPr>
      <w:bookmarkStart w:id="16" w:name="_Toc402270068"/>
      <w:bookmarkStart w:id="17" w:name="_Toc459103058"/>
      <w:bookmarkStart w:id="18" w:name="_Toc97792506"/>
      <w:r>
        <w:lastRenderedPageBreak/>
        <w:t xml:space="preserve">Chart </w:t>
      </w:r>
      <w:r w:rsidR="0012793B">
        <w:fldChar w:fldCharType="begin"/>
      </w:r>
      <w:r w:rsidR="0012793B">
        <w:instrText xml:space="preserve"> STYLEREF 1 \s </w:instrText>
      </w:r>
      <w:r w:rsidR="0012793B">
        <w:fldChar w:fldCharType="separate"/>
      </w:r>
      <w:r w:rsidR="00133D67">
        <w:rPr>
          <w:noProof/>
        </w:rPr>
        <w:t>1</w:t>
      </w:r>
      <w:r w:rsidR="0012793B">
        <w:rPr>
          <w:noProof/>
        </w:rPr>
        <w:fldChar w:fldCharType="end"/>
      </w:r>
      <w:r w:rsidR="00133D67">
        <w:t>.</w:t>
      </w:r>
      <w:r w:rsidR="0012793B">
        <w:fldChar w:fldCharType="begin"/>
      </w:r>
      <w:r w:rsidR="0012793B">
        <w:instrText xml:space="preserve"> SEQ Chart \* ARABIC \s 1 </w:instrText>
      </w:r>
      <w:r w:rsidR="0012793B">
        <w:fldChar w:fldCharType="separate"/>
      </w:r>
      <w:r w:rsidR="00133D67">
        <w:rPr>
          <w:noProof/>
        </w:rPr>
        <w:t>1</w:t>
      </w:r>
      <w:r w:rsidR="0012793B">
        <w:rPr>
          <w:noProof/>
        </w:rPr>
        <w:fldChar w:fldCharType="end"/>
      </w:r>
      <w:bookmarkEnd w:id="16"/>
      <w:r w:rsidR="00120717" w:rsidRPr="00B93EE1">
        <w:t xml:space="preserve"> GDP by economic activity (at basic current prices), 2019/20</w:t>
      </w:r>
      <w:bookmarkEnd w:id="17"/>
      <w:bookmarkEnd w:id="18"/>
    </w:p>
    <w:p w14:paraId="4A761EFC" w14:textId="77777777" w:rsidR="00120717" w:rsidRPr="00B93EE1" w:rsidRDefault="00120717" w:rsidP="003A1485">
      <w:pPr>
        <w:keepLines/>
      </w:pPr>
      <w:r w:rsidRPr="00B93EE1">
        <w:rPr>
          <w:noProof/>
        </w:rPr>
        <w:drawing>
          <wp:inline distT="0" distB="0" distL="0" distR="0" wp14:anchorId="74383B77" wp14:editId="2C4E27F6">
            <wp:extent cx="5730952" cy="306977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273" b="12184"/>
                    <a:stretch/>
                  </pic:blipFill>
                  <pic:spPr bwMode="auto">
                    <a:xfrm>
                      <a:off x="0" y="0"/>
                      <a:ext cx="5731510" cy="3070070"/>
                    </a:xfrm>
                    <a:prstGeom prst="rect">
                      <a:avLst/>
                    </a:prstGeom>
                    <a:noFill/>
                    <a:ln>
                      <a:noFill/>
                    </a:ln>
                    <a:extLst>
                      <a:ext uri="{53640926-AAD7-44D8-BBD7-CCE9431645EC}">
                        <a14:shadowObscured xmlns:a14="http://schemas.microsoft.com/office/drawing/2010/main"/>
                      </a:ext>
                    </a:extLst>
                  </pic:spPr>
                </pic:pic>
              </a:graphicData>
            </a:graphic>
          </wp:inline>
        </w:drawing>
      </w:r>
    </w:p>
    <w:p w14:paraId="308F8902" w14:textId="77777777" w:rsidR="00120717" w:rsidRPr="00B93EE1" w:rsidRDefault="00120717" w:rsidP="003C53A8">
      <w:pPr>
        <w:pStyle w:val="NoteText"/>
        <w:spacing w:before="120"/>
      </w:pPr>
      <w:r w:rsidRPr="00B93EE1">
        <w:rPr>
          <w:lang w:eastAsia="en-GB"/>
        </w:rPr>
        <w:t>Note:</w:t>
      </w:r>
      <w:r w:rsidRPr="00B93EE1">
        <w:rPr>
          <w:lang w:eastAsia="en-GB"/>
        </w:rPr>
        <w:tab/>
        <w:t>Fiscal year: 1 April to 31 March.</w:t>
      </w:r>
    </w:p>
    <w:p w14:paraId="0D87D4F1" w14:textId="77777777" w:rsidR="00120717" w:rsidRPr="00B93EE1" w:rsidRDefault="00120717" w:rsidP="003C53A8">
      <w:pPr>
        <w:pStyle w:val="NoteText"/>
        <w:spacing w:before="120" w:after="240"/>
        <w:rPr>
          <w:highlight w:val="green"/>
          <w:lang w:eastAsia="en-GB"/>
        </w:rPr>
      </w:pPr>
      <w:r w:rsidRPr="00B93EE1">
        <w:rPr>
          <w:lang w:eastAsia="en-GB"/>
        </w:rPr>
        <w:t>Source:</w:t>
      </w:r>
      <w:r w:rsidRPr="00B93EE1">
        <w:rPr>
          <w:lang w:eastAsia="en-GB"/>
        </w:rPr>
        <w:tab/>
        <w:t>WTO Secretariat calculations, based on data provided by the authorities.</w:t>
      </w:r>
    </w:p>
    <w:p w14:paraId="2F00D268" w14:textId="77777777" w:rsidR="00120717" w:rsidRPr="00F64A35" w:rsidRDefault="00120717" w:rsidP="00647ADC">
      <w:pPr>
        <w:pStyle w:val="BodyText"/>
      </w:pPr>
      <w:r w:rsidRPr="00B93EE1">
        <w:t>New Zealand's economy has comparative advantage in resource-based activities. Indeed, primary sector products (e.g. live animals and animal products, dairy, and meat products) continue to dominate New Zealand's merchandise exports, while imports concentrate in manufacturing (transport equipment and machinery) and raw materials. New Zealand's trade is also increasingly concentrated geographically, with Asian economies, notably China and Australia, accounting for almost 70% and 60% of total merchandise exports and imports, respectively (Section 1.3.1).</w:t>
      </w:r>
    </w:p>
    <w:p w14:paraId="4D94A3BE" w14:textId="77777777" w:rsidR="00120717" w:rsidRPr="00F64A35" w:rsidRDefault="00120717" w:rsidP="005D74E4">
      <w:pPr>
        <w:pStyle w:val="Heading2"/>
      </w:pPr>
      <w:bookmarkStart w:id="19" w:name="_Toc415735837"/>
      <w:bookmarkStart w:id="20" w:name="_Toc97800114"/>
      <w:r w:rsidRPr="00B93EE1">
        <w:t>Recent Economic Developments</w:t>
      </w:r>
      <w:bookmarkEnd w:id="19"/>
      <w:bookmarkEnd w:id="20"/>
    </w:p>
    <w:p w14:paraId="5A5A8032" w14:textId="77777777" w:rsidR="00120717" w:rsidRPr="00F64A35" w:rsidRDefault="00120717" w:rsidP="00647ADC">
      <w:pPr>
        <w:pStyle w:val="BodyText"/>
      </w:pPr>
      <w:r w:rsidRPr="00B93EE1">
        <w:t>At the time of New Zealand's previous Review, real GDP had expanded at an average annual rate of 2.1% between 2008/09 and 2013/14, driven primarily by private consumption and gross fixed capital formation associated with reconstruction spending after the 2010/11 Canterbury earthquakes. New Zealand also benefited from high export commodity prices and rising terms of trade during most of the review period. Nevertheless, New Zealand also faced some important challenges, including high foreign debt, weak external demand, and low labour productivity.</w:t>
      </w:r>
      <w:r w:rsidRPr="00B93EE1">
        <w:rPr>
          <w:rStyle w:val="FootnoteReference"/>
        </w:rPr>
        <w:footnoteReference w:id="7"/>
      </w:r>
    </w:p>
    <w:p w14:paraId="5CF4E5A3" w14:textId="77777777" w:rsidR="00120717" w:rsidRPr="00F64A35" w:rsidRDefault="00120717" w:rsidP="00647ADC">
      <w:pPr>
        <w:pStyle w:val="BodyText"/>
      </w:pPr>
      <w:r w:rsidRPr="00B93EE1">
        <w:rPr>
          <w:szCs w:val="18"/>
          <w:lang w:eastAsia="en-GB"/>
        </w:rPr>
        <w:t>Since then, according to the IMF, real GDP growth averaged 3.4% during 2015-19 (up from 2.3% over 2003-12).</w:t>
      </w:r>
      <w:r w:rsidRPr="00B93EE1">
        <w:rPr>
          <w:rStyle w:val="FootnoteReference"/>
          <w:szCs w:val="18"/>
          <w:lang w:eastAsia="en-GB"/>
        </w:rPr>
        <w:footnoteReference w:id="8"/>
      </w:r>
      <w:r w:rsidRPr="00B93EE1">
        <w:rPr>
          <w:szCs w:val="18"/>
          <w:lang w:eastAsia="en-GB"/>
        </w:rPr>
        <w:t xml:space="preserve"> </w:t>
      </w:r>
      <w:r w:rsidRPr="00B93EE1">
        <w:t>New Zealand's expansion lost momentum in 2017-18 as some key drivers of the strong growth through 2016 (such as reconstruction spending, high net migration, a housing boom, and strong terms of trade) weakened. Economic growth picked up in early 2019 after slowing in the second half of 2018 mostly reflecting a rebound in private business investment growth, and strengthening of residential investment, notwithstanding cooling housing markets.</w:t>
      </w:r>
      <w:r w:rsidRPr="00B93EE1">
        <w:rPr>
          <w:rStyle w:val="FootnoteReference"/>
        </w:rPr>
        <w:footnoteReference w:id="9"/>
      </w:r>
    </w:p>
    <w:p w14:paraId="3A1A9880" w14:textId="77777777" w:rsidR="00120717" w:rsidRPr="00F64A35" w:rsidRDefault="00120717" w:rsidP="00647ADC">
      <w:pPr>
        <w:pStyle w:val="BodyText"/>
      </w:pPr>
      <w:r w:rsidRPr="00B93EE1">
        <w:rPr>
          <w:lang w:eastAsia="en-GB"/>
        </w:rPr>
        <w:t xml:space="preserve">In 2020, the IMF estimates that New Zealand's real GDP contracted by 2.1% mainly due to the COVID-19 pandemic. However, according to the IMF, </w:t>
      </w:r>
      <w:r w:rsidRPr="00B93EE1">
        <w:t>New Zealand's economy has weathered the pandemic relatively well.</w:t>
      </w:r>
      <w:r w:rsidRPr="00B93EE1">
        <w:rPr>
          <w:rStyle w:val="FootnoteReference"/>
          <w:szCs w:val="18"/>
          <w:lang w:eastAsia="en-GB"/>
        </w:rPr>
        <w:footnoteReference w:id="10"/>
      </w:r>
      <w:r w:rsidRPr="00B93EE1">
        <w:t xml:space="preserve"> </w:t>
      </w:r>
      <w:r w:rsidRPr="00B93EE1">
        <w:rPr>
          <w:szCs w:val="20"/>
        </w:rPr>
        <w:t xml:space="preserve">Strict public health measures including lockdowns and border controls led to the sharpest fall in GDP on record in the second quarter of 2020. Nonetheless, </w:t>
      </w:r>
      <w:r w:rsidRPr="00B93EE1">
        <w:t xml:space="preserve">activity </w:t>
      </w:r>
      <w:r w:rsidRPr="00B93EE1">
        <w:lastRenderedPageBreak/>
        <w:t xml:space="preserve">rebounded strongly in the second half of 2020 </w:t>
      </w:r>
      <w:r w:rsidRPr="00B93EE1">
        <w:rPr>
          <w:szCs w:val="20"/>
        </w:rPr>
        <w:t>supported by a substantial fiscal policy response focused on cushioning the blow for households and businesses.</w:t>
      </w:r>
      <w:r w:rsidRPr="00B93EE1">
        <w:rPr>
          <w:rStyle w:val="FootnoteReference"/>
          <w:szCs w:val="20"/>
        </w:rPr>
        <w:footnoteReference w:id="11"/>
      </w:r>
      <w:r w:rsidRPr="00B93EE1">
        <w:rPr>
          <w:szCs w:val="20"/>
        </w:rPr>
        <w:t xml:space="preserve"> These measures, combined with businesses' own adaptability to COVID-19 restrictions, contributed to the economy, and the labour market in particular, proving more resilient than expected. The relative strength of New Zealand's main goods exports, notably in key primary industries, has also supported the economy (Section 1.3.1).</w:t>
      </w:r>
    </w:p>
    <w:p w14:paraId="29592AC3" w14:textId="77777777" w:rsidR="00120717" w:rsidRPr="00F64A35" w:rsidRDefault="00120717" w:rsidP="00647ADC">
      <w:pPr>
        <w:pStyle w:val="BodyText"/>
      </w:pPr>
      <w:r w:rsidRPr="00B93EE1">
        <w:t>With one in four New Zealanders' jobs dependent on exports, trade is seen by the authorities as the critical enabler of economic recovery for New Zealand post-COVID-19. Trade policy measures adopted in response to the pandemic initially focused on maintaining its critical trade and supply links to</w:t>
      </w:r>
      <w:r w:rsidRPr="00B93EE1">
        <w:rPr>
          <w:rFonts w:cs="Helvetica"/>
          <w:lang w:eastAsia="en-NZ"/>
        </w:rPr>
        <w:t xml:space="preserve"> ensure the continued access to essential goods such as medicines and testing kits. </w:t>
      </w:r>
      <w:r w:rsidRPr="00B93EE1">
        <w:t>New Zealand unilaterally suspended tariffs on medical and pandemic-related goods, concluded a negotiation on essential COVID-19 goods with Singapore and other economies to ensuring supply chain connectivity</w:t>
      </w:r>
      <w:r w:rsidRPr="00B93EE1">
        <w:rPr>
          <w:rStyle w:val="FootnoteReference"/>
        </w:rPr>
        <w:footnoteReference w:id="12"/>
      </w:r>
      <w:r w:rsidRPr="00B93EE1">
        <w:t>, and set out its Trade Recovery Strategy to provide a framework to help businesses get through the pandemic disruption and to recalibrate trade policy to navigate a turbulent environment (</w:t>
      </w:r>
      <w:r w:rsidRPr="001A2CCA">
        <w:t>Section 2.2</w:t>
      </w:r>
      <w:r w:rsidRPr="00B93EE1">
        <w:t>).</w:t>
      </w:r>
      <w:r w:rsidRPr="00B93EE1">
        <w:rPr>
          <w:rStyle w:val="FootnoteReference"/>
          <w:szCs w:val="20"/>
        </w:rPr>
        <w:footnoteReference w:id="13"/>
      </w:r>
    </w:p>
    <w:p w14:paraId="5CCA4086" w14:textId="77777777" w:rsidR="00120717" w:rsidRPr="00F64A35" w:rsidRDefault="00120717" w:rsidP="005D74E4">
      <w:pPr>
        <w:pStyle w:val="BodyText"/>
      </w:pPr>
      <w:r w:rsidRPr="00B93EE1">
        <w:rPr>
          <w:szCs w:val="20"/>
        </w:rPr>
        <w:t>New Zealand's economic recovery, however, remains uneven across sectors. While housing</w:t>
      </w:r>
      <w:r w:rsidRPr="00B93EE1">
        <w:rPr>
          <w:szCs w:val="20"/>
        </w:rPr>
        <w:noBreakHyphen/>
        <w:t>related sectors (e.g. construction and durable goods retail) have fared well, border restrictions continue to weigh on sectors most exposed to tourism and those reliant on delivering services offshore. The economic impacts of COVID-19 have also been felt disproportionately across the population, with more vulnerable labour market cohorts, such as youth, women, and Māori and Pacific peoples, most affected initially. Nonetheless, according to the authorities, there are signs that some of these impacts are beginning to unwind.</w:t>
      </w:r>
      <w:r w:rsidRPr="00B93EE1">
        <w:rPr>
          <w:rStyle w:val="FootnoteReference"/>
          <w:szCs w:val="20"/>
        </w:rPr>
        <w:footnoteReference w:id="14"/>
      </w:r>
    </w:p>
    <w:p w14:paraId="561A2BAC" w14:textId="77777777" w:rsidR="00120717" w:rsidRPr="00F64A35" w:rsidRDefault="00120717" w:rsidP="005D74E4">
      <w:pPr>
        <w:pStyle w:val="BodyText"/>
      </w:pPr>
      <w:r w:rsidRPr="00B93EE1">
        <w:rPr>
          <w:szCs w:val="20"/>
        </w:rPr>
        <w:t>Pandemic-related challenges also continue to be felt. B</w:t>
      </w:r>
      <w:r w:rsidRPr="00B93EE1">
        <w:rPr>
          <w:color w:val="000000"/>
          <w:szCs w:val="20"/>
        </w:rPr>
        <w:t xml:space="preserve">usinesses are increasingly reporting that border restrictions are making it difficult to fill positions. These difficulties are particularly acute for skilled labour in the construction and IT sectors, as well as seasonal workers. In addition, disruption to </w:t>
      </w:r>
      <w:proofErr w:type="spellStart"/>
      <w:r w:rsidRPr="00B93EE1">
        <w:rPr>
          <w:color w:val="000000"/>
          <w:szCs w:val="20"/>
        </w:rPr>
        <w:t>GVC</w:t>
      </w:r>
      <w:proofErr w:type="spellEnd"/>
      <w:r w:rsidRPr="00B93EE1">
        <w:rPr>
          <w:color w:val="000000"/>
          <w:szCs w:val="20"/>
        </w:rPr>
        <w:t>, congestion at key ports, and significant increases in shipping costs are all challenges for New Zealand businesses. The cost of shipping goods to and from New Zealand has increased significantly, particularly for container-based freight, which includes many consumer goods. Supply chain bottlenecks are also causing material delays in getting goods into and out of New Zealand. These disruptions to the usual flow of both goods and workers are likely to result in greater capacity constraints</w:t>
      </w:r>
      <w:r w:rsidRPr="00B93EE1">
        <w:rPr>
          <w:szCs w:val="20"/>
        </w:rPr>
        <w:t xml:space="preserve"> and inflationary pressures in the economy.</w:t>
      </w:r>
      <w:r w:rsidRPr="00B93EE1">
        <w:rPr>
          <w:rStyle w:val="FootnoteReference"/>
          <w:szCs w:val="20"/>
        </w:rPr>
        <w:footnoteReference w:id="15"/>
      </w:r>
    </w:p>
    <w:p w14:paraId="450A3AE7" w14:textId="77777777" w:rsidR="00120717" w:rsidRPr="00F64A35" w:rsidRDefault="00120717" w:rsidP="005D74E4">
      <w:pPr>
        <w:pStyle w:val="BodyText"/>
      </w:pPr>
      <w:r w:rsidRPr="00B93EE1">
        <w:rPr>
          <w:szCs w:val="20"/>
        </w:rPr>
        <w:t>According to the IMF, New Zealand's real GDP is projected to grow by 5.1% in 2021, driven by strong domestic demand.</w:t>
      </w:r>
      <w:r w:rsidRPr="00B93EE1">
        <w:rPr>
          <w:rStyle w:val="FootnoteReference"/>
          <w:szCs w:val="20"/>
        </w:rPr>
        <w:footnoteReference w:id="16"/>
      </w:r>
      <w:r w:rsidRPr="00B93EE1">
        <w:rPr>
          <w:szCs w:val="20"/>
        </w:rPr>
        <w:t xml:space="preserve"> Nonetheless, lower labour supply due to muted migration flows, weak capital accumulation, and slowing productivity growth are </w:t>
      </w:r>
      <w:r w:rsidRPr="00B93EE1">
        <w:t>expected to adversely affect potential output. Employment and labour incomes have held up better than expected but, as already indicated, the impact has been uneven.</w:t>
      </w:r>
      <w:r w:rsidRPr="00B93EE1">
        <w:rPr>
          <w:rStyle w:val="FootnoteReference"/>
        </w:rPr>
        <w:footnoteReference w:id="17"/>
      </w:r>
      <w:r w:rsidRPr="00B93EE1">
        <w:t xml:space="preserve"> The unemployment rate decreased from 5.4% in 2014/15 to 4.7% in 2020/21. </w:t>
      </w:r>
      <w:r w:rsidRPr="00B93EE1">
        <w:rPr>
          <w:rFonts w:eastAsia="Calibri"/>
        </w:rPr>
        <w:t>Between 2014/15 and 2020/21, GDP per capita remained relative stable at around USD 42,500 (Table 1.1), while New Zealand's ranking in the UN Human Development Index went from 7</w:t>
      </w:r>
      <w:r w:rsidRPr="00B93EE1">
        <w:rPr>
          <w:rFonts w:eastAsia="Calibri"/>
          <w:vertAlign w:val="superscript"/>
        </w:rPr>
        <w:t>th</w:t>
      </w:r>
      <w:r w:rsidRPr="00B93EE1">
        <w:rPr>
          <w:rFonts w:eastAsia="Calibri"/>
        </w:rPr>
        <w:t xml:space="preserve"> to 14</w:t>
      </w:r>
      <w:r w:rsidRPr="00B93EE1">
        <w:rPr>
          <w:rFonts w:eastAsia="Calibri"/>
          <w:vertAlign w:val="superscript"/>
        </w:rPr>
        <w:t>th</w:t>
      </w:r>
      <w:r w:rsidRPr="00B93EE1">
        <w:rPr>
          <w:rFonts w:eastAsia="Calibri"/>
        </w:rPr>
        <w:t xml:space="preserve"> (out of 189 countries) during the review period.</w:t>
      </w:r>
      <w:r w:rsidRPr="00B93EE1">
        <w:rPr>
          <w:rFonts w:eastAsia="Calibri"/>
          <w:vertAlign w:val="superscript"/>
        </w:rPr>
        <w:footnoteReference w:id="18"/>
      </w:r>
    </w:p>
    <w:p w14:paraId="34828C75" w14:textId="6162FFC6" w:rsidR="00120717" w:rsidRPr="00B93EE1" w:rsidRDefault="00E724E6" w:rsidP="00E724E6">
      <w:pPr>
        <w:pStyle w:val="Caption"/>
      </w:pPr>
      <w:bookmarkStart w:id="21" w:name="_Toc418783227"/>
      <w:bookmarkStart w:id="22" w:name="_Toc97793381"/>
      <w:r>
        <w:lastRenderedPageBreak/>
        <w:t xml:space="preserve">Table </w:t>
      </w:r>
      <w:r w:rsidR="0012793B">
        <w:fldChar w:fldCharType="begin"/>
      </w:r>
      <w:r w:rsidR="0012793B">
        <w:instrText xml:space="preserve"> STYLEREF 1 \s </w:instrText>
      </w:r>
      <w:r w:rsidR="0012793B">
        <w:fldChar w:fldCharType="separate"/>
      </w:r>
      <w:r w:rsidR="00D37A97">
        <w:rPr>
          <w:noProof/>
        </w:rPr>
        <w:t>1</w:t>
      </w:r>
      <w:r w:rsidR="0012793B">
        <w:rPr>
          <w:noProof/>
        </w:rPr>
        <w:fldChar w:fldCharType="end"/>
      </w:r>
      <w:r w:rsidR="00D37A97">
        <w:t>.</w:t>
      </w:r>
      <w:r w:rsidR="0012793B">
        <w:fldChar w:fldCharType="begin"/>
      </w:r>
      <w:r w:rsidR="0012793B">
        <w:instrText xml:space="preserve"> SEQ Table \* ARABIC \s 1 </w:instrText>
      </w:r>
      <w:r w:rsidR="0012793B">
        <w:fldChar w:fldCharType="separate"/>
      </w:r>
      <w:r w:rsidR="00D37A97">
        <w:rPr>
          <w:noProof/>
        </w:rPr>
        <w:t>1</w:t>
      </w:r>
      <w:r w:rsidR="0012793B">
        <w:rPr>
          <w:noProof/>
        </w:rPr>
        <w:fldChar w:fldCharType="end"/>
      </w:r>
      <w:r w:rsidR="00120717" w:rsidRPr="00B93EE1">
        <w:t xml:space="preserve"> Selected macroeconomic indicators, 2014/15-2020/21</w:t>
      </w:r>
      <w:bookmarkEnd w:id="21"/>
      <w:bookmarkEnd w:id="22"/>
    </w:p>
    <w:p w14:paraId="0F53247F" w14:textId="77777777" w:rsidR="00120717" w:rsidRPr="00B93EE1" w:rsidRDefault="00120717" w:rsidP="00136551">
      <w:pPr>
        <w:keepNext/>
        <w:keepLines/>
        <w:rPr>
          <w:rFonts w:cs="Arial"/>
          <w:color w:val="000000"/>
          <w:sz w:val="16"/>
          <w:szCs w:val="16"/>
        </w:rPr>
      </w:pPr>
      <w:r w:rsidRPr="00B93EE1">
        <w:rPr>
          <w:rFonts w:cs="Arial"/>
          <w:color w:val="000000"/>
          <w:sz w:val="16"/>
          <w:szCs w:val="16"/>
        </w:rPr>
        <w:t>(Year-end: March, unless otherwise indicated)</w:t>
      </w:r>
    </w:p>
    <w:tbl>
      <w:tblPr>
        <w:tblStyle w:val="WTOTable1"/>
        <w:tblW w:w="9016" w:type="dxa"/>
        <w:tblLayout w:type="fixed"/>
        <w:tblLook w:val="04A0" w:firstRow="1" w:lastRow="0" w:firstColumn="1" w:lastColumn="0" w:noHBand="0" w:noVBand="1"/>
      </w:tblPr>
      <w:tblGrid>
        <w:gridCol w:w="2431"/>
        <w:gridCol w:w="940"/>
        <w:gridCol w:w="941"/>
        <w:gridCol w:w="941"/>
        <w:gridCol w:w="940"/>
        <w:gridCol w:w="941"/>
        <w:gridCol w:w="941"/>
        <w:gridCol w:w="941"/>
      </w:tblGrid>
      <w:tr w:rsidR="00120717" w:rsidRPr="00B93EE1" w14:paraId="13BFB89D" w14:textId="77777777" w:rsidTr="009C2A96">
        <w:trPr>
          <w:cnfStyle w:val="100000000000" w:firstRow="1" w:lastRow="0" w:firstColumn="0" w:lastColumn="0" w:oddVBand="0" w:evenVBand="0" w:oddHBand="0" w:evenHBand="0" w:firstRowFirstColumn="0" w:firstRowLastColumn="0" w:lastRowFirstColumn="0" w:lastRowLastColumn="0"/>
          <w:tblHeader/>
        </w:trPr>
        <w:tc>
          <w:tcPr>
            <w:tcW w:w="2431" w:type="dxa"/>
            <w:noWrap/>
            <w:hideMark/>
          </w:tcPr>
          <w:p w14:paraId="03ABD443" w14:textId="77777777" w:rsidR="00120717" w:rsidRPr="00B93EE1" w:rsidRDefault="00120717" w:rsidP="00701B5B">
            <w:pPr>
              <w:keepNext/>
              <w:keepLines/>
              <w:jc w:val="left"/>
              <w:rPr>
                <w:rFonts w:cs="Arial"/>
                <w:color w:val="FFFFFF" w:themeColor="background1"/>
                <w:sz w:val="14"/>
                <w:szCs w:val="14"/>
              </w:rPr>
            </w:pPr>
            <w:r w:rsidRPr="00B93EE1">
              <w:t xml:space="preserve"> </w:t>
            </w:r>
          </w:p>
        </w:tc>
        <w:tc>
          <w:tcPr>
            <w:tcW w:w="940" w:type="dxa"/>
            <w:noWrap/>
            <w:hideMark/>
          </w:tcPr>
          <w:p w14:paraId="71FAC3B0" w14:textId="77777777" w:rsidR="00120717" w:rsidRPr="00B93EE1" w:rsidRDefault="00120717" w:rsidP="0032360B">
            <w:pPr>
              <w:keepNext/>
              <w:keepLines/>
              <w:jc w:val="right"/>
              <w:rPr>
                <w:rFonts w:cs="Arial"/>
                <w:color w:val="FFFFFF" w:themeColor="background1"/>
                <w:sz w:val="14"/>
                <w:szCs w:val="14"/>
              </w:rPr>
            </w:pPr>
            <w:r w:rsidRPr="00B93EE1">
              <w:rPr>
                <w:rFonts w:cs="Arial"/>
                <w:color w:val="FFFFFF" w:themeColor="background1"/>
                <w:sz w:val="14"/>
                <w:szCs w:val="14"/>
              </w:rPr>
              <w:t>2014/15</w:t>
            </w:r>
          </w:p>
        </w:tc>
        <w:tc>
          <w:tcPr>
            <w:tcW w:w="941" w:type="dxa"/>
            <w:noWrap/>
            <w:hideMark/>
          </w:tcPr>
          <w:p w14:paraId="3C321D5D" w14:textId="77777777" w:rsidR="00120717" w:rsidRPr="00B93EE1" w:rsidRDefault="00120717" w:rsidP="0032360B">
            <w:pPr>
              <w:keepNext/>
              <w:keepLines/>
              <w:jc w:val="right"/>
              <w:rPr>
                <w:rFonts w:cs="Arial"/>
                <w:color w:val="FFFFFF" w:themeColor="background1"/>
                <w:sz w:val="14"/>
                <w:szCs w:val="14"/>
              </w:rPr>
            </w:pPr>
            <w:r w:rsidRPr="00B93EE1">
              <w:rPr>
                <w:rFonts w:cs="Arial"/>
                <w:color w:val="FFFFFF" w:themeColor="background1"/>
                <w:sz w:val="14"/>
                <w:szCs w:val="14"/>
              </w:rPr>
              <w:t>2015/16</w:t>
            </w:r>
          </w:p>
        </w:tc>
        <w:tc>
          <w:tcPr>
            <w:tcW w:w="941" w:type="dxa"/>
            <w:noWrap/>
            <w:hideMark/>
          </w:tcPr>
          <w:p w14:paraId="699D5E50" w14:textId="77777777" w:rsidR="00120717" w:rsidRPr="00B93EE1" w:rsidRDefault="00120717" w:rsidP="0032360B">
            <w:pPr>
              <w:keepNext/>
              <w:keepLines/>
              <w:jc w:val="right"/>
              <w:rPr>
                <w:rFonts w:cs="Arial"/>
                <w:color w:val="FFFFFF" w:themeColor="background1"/>
                <w:sz w:val="14"/>
                <w:szCs w:val="14"/>
              </w:rPr>
            </w:pPr>
            <w:r w:rsidRPr="00B93EE1">
              <w:rPr>
                <w:rFonts w:cs="Arial"/>
                <w:color w:val="FFFFFF" w:themeColor="background1"/>
                <w:sz w:val="14"/>
                <w:szCs w:val="14"/>
              </w:rPr>
              <w:t>2016/17</w:t>
            </w:r>
          </w:p>
        </w:tc>
        <w:tc>
          <w:tcPr>
            <w:tcW w:w="940" w:type="dxa"/>
            <w:noWrap/>
            <w:hideMark/>
          </w:tcPr>
          <w:p w14:paraId="5538019F" w14:textId="77777777" w:rsidR="00120717" w:rsidRPr="00B93EE1" w:rsidRDefault="00120717" w:rsidP="0032360B">
            <w:pPr>
              <w:keepNext/>
              <w:keepLines/>
              <w:jc w:val="right"/>
              <w:rPr>
                <w:rFonts w:cs="Arial"/>
                <w:color w:val="FFFFFF" w:themeColor="background1"/>
                <w:sz w:val="14"/>
                <w:szCs w:val="14"/>
              </w:rPr>
            </w:pPr>
            <w:r w:rsidRPr="00B93EE1">
              <w:rPr>
                <w:rFonts w:cs="Arial"/>
                <w:color w:val="FFFFFF" w:themeColor="background1"/>
                <w:sz w:val="14"/>
                <w:szCs w:val="14"/>
              </w:rPr>
              <w:t>2017/18</w:t>
            </w:r>
          </w:p>
        </w:tc>
        <w:tc>
          <w:tcPr>
            <w:tcW w:w="941" w:type="dxa"/>
            <w:noWrap/>
            <w:hideMark/>
          </w:tcPr>
          <w:p w14:paraId="60A31371" w14:textId="77777777" w:rsidR="00120717" w:rsidRPr="00B93EE1" w:rsidRDefault="00120717" w:rsidP="0032360B">
            <w:pPr>
              <w:keepNext/>
              <w:keepLines/>
              <w:jc w:val="right"/>
              <w:rPr>
                <w:rFonts w:cs="Arial"/>
                <w:color w:val="FFFFFF" w:themeColor="background1"/>
                <w:sz w:val="14"/>
                <w:szCs w:val="14"/>
              </w:rPr>
            </w:pPr>
            <w:r w:rsidRPr="00B93EE1">
              <w:rPr>
                <w:rFonts w:cs="Arial"/>
                <w:color w:val="FFFFFF" w:themeColor="background1"/>
                <w:sz w:val="14"/>
                <w:szCs w:val="14"/>
              </w:rPr>
              <w:t>2018/19</w:t>
            </w:r>
          </w:p>
        </w:tc>
        <w:tc>
          <w:tcPr>
            <w:tcW w:w="941" w:type="dxa"/>
            <w:noWrap/>
            <w:hideMark/>
          </w:tcPr>
          <w:p w14:paraId="6B2DB85B" w14:textId="77777777" w:rsidR="00120717" w:rsidRPr="00B93EE1" w:rsidRDefault="00120717" w:rsidP="0032360B">
            <w:pPr>
              <w:keepNext/>
              <w:keepLines/>
              <w:jc w:val="right"/>
              <w:rPr>
                <w:rFonts w:cs="Arial"/>
                <w:color w:val="FFFFFF" w:themeColor="background1"/>
                <w:sz w:val="14"/>
                <w:szCs w:val="14"/>
              </w:rPr>
            </w:pPr>
            <w:r w:rsidRPr="00B93EE1">
              <w:rPr>
                <w:rFonts w:cs="Arial"/>
                <w:color w:val="FFFFFF" w:themeColor="background1"/>
                <w:sz w:val="14"/>
                <w:szCs w:val="14"/>
              </w:rPr>
              <w:t>2019/20</w:t>
            </w:r>
          </w:p>
        </w:tc>
        <w:tc>
          <w:tcPr>
            <w:tcW w:w="941" w:type="dxa"/>
            <w:noWrap/>
            <w:hideMark/>
          </w:tcPr>
          <w:p w14:paraId="540660E3" w14:textId="77777777" w:rsidR="00120717" w:rsidRPr="00B93EE1" w:rsidRDefault="00120717" w:rsidP="0032360B">
            <w:pPr>
              <w:keepNext/>
              <w:keepLines/>
              <w:jc w:val="right"/>
              <w:rPr>
                <w:rFonts w:cs="Arial"/>
                <w:color w:val="FFFFFF" w:themeColor="background1"/>
                <w:sz w:val="14"/>
                <w:szCs w:val="14"/>
              </w:rPr>
            </w:pPr>
            <w:r w:rsidRPr="00B93EE1">
              <w:rPr>
                <w:rFonts w:cs="Arial"/>
                <w:color w:val="FFFFFF" w:themeColor="background1"/>
                <w:sz w:val="14"/>
                <w:szCs w:val="14"/>
              </w:rPr>
              <w:t>2020/21</w:t>
            </w:r>
          </w:p>
        </w:tc>
      </w:tr>
      <w:tr w:rsidR="00120717" w:rsidRPr="00B93EE1" w14:paraId="4C55DCA2" w14:textId="77777777" w:rsidTr="009C2A96">
        <w:tc>
          <w:tcPr>
            <w:tcW w:w="2431" w:type="dxa"/>
            <w:noWrap/>
            <w:hideMark/>
          </w:tcPr>
          <w:p w14:paraId="3D1A11D6" w14:textId="77777777" w:rsidR="00120717" w:rsidRPr="00B93EE1" w:rsidRDefault="00120717" w:rsidP="009C2A96">
            <w:pPr>
              <w:keepNext/>
              <w:keepLines/>
              <w:jc w:val="left"/>
              <w:rPr>
                <w:rFonts w:cs="Arial"/>
                <w:sz w:val="14"/>
                <w:szCs w:val="14"/>
              </w:rPr>
            </w:pPr>
            <w:r w:rsidRPr="00B93EE1">
              <w:rPr>
                <w:rFonts w:cs="Arial"/>
                <w:sz w:val="14"/>
                <w:szCs w:val="14"/>
              </w:rPr>
              <w:t>Real GDP, expenditure based, 2009-10 prices (NZD billion)</w:t>
            </w:r>
          </w:p>
        </w:tc>
        <w:tc>
          <w:tcPr>
            <w:tcW w:w="940" w:type="dxa"/>
            <w:noWrap/>
          </w:tcPr>
          <w:p w14:paraId="2C2B1E6D"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218.2</w:t>
            </w:r>
          </w:p>
        </w:tc>
        <w:tc>
          <w:tcPr>
            <w:tcW w:w="941" w:type="dxa"/>
            <w:noWrap/>
          </w:tcPr>
          <w:p w14:paraId="0D3B13B7"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227.8</w:t>
            </w:r>
          </w:p>
        </w:tc>
        <w:tc>
          <w:tcPr>
            <w:tcW w:w="941" w:type="dxa"/>
            <w:noWrap/>
          </w:tcPr>
          <w:p w14:paraId="2E701E56"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236.3</w:t>
            </w:r>
          </w:p>
        </w:tc>
        <w:tc>
          <w:tcPr>
            <w:tcW w:w="940" w:type="dxa"/>
            <w:noWrap/>
          </w:tcPr>
          <w:p w14:paraId="1E488E54"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246.6</w:t>
            </w:r>
          </w:p>
        </w:tc>
        <w:tc>
          <w:tcPr>
            <w:tcW w:w="941" w:type="dxa"/>
            <w:noWrap/>
          </w:tcPr>
          <w:p w14:paraId="6088F21F"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256.5</w:t>
            </w:r>
          </w:p>
        </w:tc>
        <w:tc>
          <w:tcPr>
            <w:tcW w:w="941" w:type="dxa"/>
            <w:noWrap/>
          </w:tcPr>
          <w:p w14:paraId="00BD85A7"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263.1</w:t>
            </w:r>
          </w:p>
        </w:tc>
        <w:tc>
          <w:tcPr>
            <w:tcW w:w="941" w:type="dxa"/>
            <w:noWrap/>
          </w:tcPr>
          <w:p w14:paraId="01BD0AD9"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262.3</w:t>
            </w:r>
          </w:p>
        </w:tc>
      </w:tr>
      <w:tr w:rsidR="00120717" w:rsidRPr="00B93EE1" w14:paraId="765AD905"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14FE01DD" w14:textId="77777777" w:rsidR="00120717" w:rsidRPr="00B93EE1" w:rsidRDefault="00120717" w:rsidP="009C2A96">
            <w:pPr>
              <w:keepNext/>
              <w:keepLines/>
              <w:jc w:val="left"/>
              <w:rPr>
                <w:rFonts w:cs="Arial"/>
                <w:sz w:val="14"/>
                <w:szCs w:val="14"/>
              </w:rPr>
            </w:pPr>
            <w:r w:rsidRPr="00B93EE1">
              <w:rPr>
                <w:rFonts w:cs="Arial"/>
                <w:sz w:val="14"/>
                <w:szCs w:val="14"/>
              </w:rPr>
              <w:t>Real GDP, expenditure based, 2009/10 prices (USD billion)</w:t>
            </w:r>
          </w:p>
        </w:tc>
        <w:tc>
          <w:tcPr>
            <w:tcW w:w="940" w:type="dxa"/>
            <w:noWrap/>
          </w:tcPr>
          <w:p w14:paraId="6F9A3FB1"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176.7</w:t>
            </w:r>
          </w:p>
        </w:tc>
        <w:tc>
          <w:tcPr>
            <w:tcW w:w="941" w:type="dxa"/>
            <w:noWrap/>
          </w:tcPr>
          <w:p w14:paraId="0B8A634A"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154.5</w:t>
            </w:r>
          </w:p>
        </w:tc>
        <w:tc>
          <w:tcPr>
            <w:tcW w:w="941" w:type="dxa"/>
            <w:noWrap/>
          </w:tcPr>
          <w:p w14:paraId="570FB645"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167.6</w:t>
            </w:r>
          </w:p>
        </w:tc>
        <w:tc>
          <w:tcPr>
            <w:tcW w:w="940" w:type="dxa"/>
            <w:noWrap/>
          </w:tcPr>
          <w:p w14:paraId="10D04B3D"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176.2</w:t>
            </w:r>
          </w:p>
        </w:tc>
        <w:tc>
          <w:tcPr>
            <w:tcW w:w="941" w:type="dxa"/>
            <w:noWrap/>
          </w:tcPr>
          <w:p w14:paraId="21E3124B"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174.8</w:t>
            </w:r>
          </w:p>
        </w:tc>
        <w:tc>
          <w:tcPr>
            <w:tcW w:w="941" w:type="dxa"/>
            <w:noWrap/>
          </w:tcPr>
          <w:p w14:paraId="1F418464"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170.4</w:t>
            </w:r>
          </w:p>
        </w:tc>
        <w:tc>
          <w:tcPr>
            <w:tcW w:w="941" w:type="dxa"/>
            <w:noWrap/>
          </w:tcPr>
          <w:p w14:paraId="2F80AC32" w14:textId="77777777" w:rsidR="00120717" w:rsidRPr="00B93EE1" w:rsidRDefault="00120717" w:rsidP="002562F5">
            <w:pPr>
              <w:keepNext/>
              <w:keepLines/>
              <w:ind w:left="113"/>
              <w:jc w:val="right"/>
              <w:rPr>
                <w:rFonts w:cs="Arial"/>
                <w:sz w:val="14"/>
                <w:szCs w:val="14"/>
              </w:rPr>
            </w:pPr>
            <w:r w:rsidRPr="00B93EE1">
              <w:rPr>
                <w:rFonts w:cstheme="minorHAnsi"/>
                <w:color w:val="000000"/>
                <w:sz w:val="14"/>
                <w:szCs w:val="14"/>
              </w:rPr>
              <w:t>176.1</w:t>
            </w:r>
          </w:p>
        </w:tc>
      </w:tr>
      <w:tr w:rsidR="00120717" w:rsidRPr="00B93EE1" w14:paraId="58000BD4" w14:textId="77777777" w:rsidTr="009C2A96">
        <w:tc>
          <w:tcPr>
            <w:tcW w:w="2431" w:type="dxa"/>
            <w:noWrap/>
            <w:hideMark/>
          </w:tcPr>
          <w:p w14:paraId="16449360" w14:textId="77777777" w:rsidR="00120717" w:rsidRPr="00B93EE1" w:rsidRDefault="00120717" w:rsidP="009C2A96">
            <w:pPr>
              <w:jc w:val="left"/>
              <w:rPr>
                <w:rFonts w:cs="Arial"/>
                <w:sz w:val="14"/>
                <w:szCs w:val="14"/>
              </w:rPr>
            </w:pPr>
            <w:r w:rsidRPr="00B93EE1">
              <w:rPr>
                <w:rFonts w:cs="Arial"/>
                <w:sz w:val="14"/>
                <w:szCs w:val="14"/>
              </w:rPr>
              <w:t>Current GDP, expenditure based (NZD billion)</w:t>
            </w:r>
          </w:p>
        </w:tc>
        <w:tc>
          <w:tcPr>
            <w:tcW w:w="940" w:type="dxa"/>
            <w:noWrap/>
          </w:tcPr>
          <w:p w14:paraId="5FD67568" w14:textId="77777777" w:rsidR="00120717" w:rsidRPr="00B93EE1" w:rsidRDefault="00120717" w:rsidP="002562F5">
            <w:pPr>
              <w:ind w:left="113"/>
              <w:jc w:val="right"/>
              <w:rPr>
                <w:rFonts w:cs="Arial"/>
                <w:sz w:val="14"/>
                <w:szCs w:val="14"/>
              </w:rPr>
            </w:pPr>
            <w:r w:rsidRPr="00B93EE1">
              <w:rPr>
                <w:rFonts w:cstheme="minorHAnsi"/>
                <w:color w:val="000000"/>
                <w:sz w:val="14"/>
                <w:szCs w:val="14"/>
              </w:rPr>
              <w:t>242.7</w:t>
            </w:r>
          </w:p>
        </w:tc>
        <w:tc>
          <w:tcPr>
            <w:tcW w:w="941" w:type="dxa"/>
            <w:noWrap/>
          </w:tcPr>
          <w:p w14:paraId="41630513" w14:textId="77777777" w:rsidR="00120717" w:rsidRPr="00B93EE1" w:rsidRDefault="00120717" w:rsidP="002562F5">
            <w:pPr>
              <w:ind w:left="113"/>
              <w:jc w:val="right"/>
              <w:rPr>
                <w:rFonts w:cs="Arial"/>
                <w:sz w:val="14"/>
                <w:szCs w:val="14"/>
              </w:rPr>
            </w:pPr>
            <w:r w:rsidRPr="00B93EE1">
              <w:rPr>
                <w:rFonts w:cstheme="minorHAnsi"/>
                <w:color w:val="000000"/>
                <w:sz w:val="14"/>
                <w:szCs w:val="14"/>
              </w:rPr>
              <w:t>255.3</w:t>
            </w:r>
          </w:p>
        </w:tc>
        <w:tc>
          <w:tcPr>
            <w:tcW w:w="941" w:type="dxa"/>
            <w:noWrap/>
          </w:tcPr>
          <w:p w14:paraId="0EC69222" w14:textId="77777777" w:rsidR="00120717" w:rsidRPr="00B93EE1" w:rsidRDefault="00120717" w:rsidP="002562F5">
            <w:pPr>
              <w:ind w:left="113"/>
              <w:jc w:val="right"/>
              <w:rPr>
                <w:rFonts w:cs="Arial"/>
                <w:sz w:val="14"/>
                <w:szCs w:val="14"/>
              </w:rPr>
            </w:pPr>
            <w:r w:rsidRPr="00B93EE1">
              <w:rPr>
                <w:rFonts w:cstheme="minorHAnsi"/>
                <w:color w:val="000000"/>
                <w:sz w:val="14"/>
                <w:szCs w:val="14"/>
              </w:rPr>
              <w:t>271.3</w:t>
            </w:r>
          </w:p>
        </w:tc>
        <w:tc>
          <w:tcPr>
            <w:tcW w:w="940" w:type="dxa"/>
            <w:noWrap/>
          </w:tcPr>
          <w:p w14:paraId="72E0C8DD" w14:textId="77777777" w:rsidR="00120717" w:rsidRPr="00B93EE1" w:rsidRDefault="00120717" w:rsidP="002562F5">
            <w:pPr>
              <w:ind w:left="113"/>
              <w:jc w:val="right"/>
              <w:rPr>
                <w:rFonts w:cs="Arial"/>
                <w:sz w:val="14"/>
                <w:szCs w:val="14"/>
              </w:rPr>
            </w:pPr>
            <w:r w:rsidRPr="00B93EE1">
              <w:rPr>
                <w:rFonts w:cstheme="minorHAnsi"/>
                <w:color w:val="000000"/>
                <w:sz w:val="14"/>
                <w:szCs w:val="14"/>
              </w:rPr>
              <w:t>290.8</w:t>
            </w:r>
          </w:p>
        </w:tc>
        <w:tc>
          <w:tcPr>
            <w:tcW w:w="941" w:type="dxa"/>
            <w:noWrap/>
          </w:tcPr>
          <w:p w14:paraId="3486AE10" w14:textId="77777777" w:rsidR="00120717" w:rsidRPr="00B93EE1" w:rsidRDefault="00120717" w:rsidP="002562F5">
            <w:pPr>
              <w:ind w:left="113"/>
              <w:jc w:val="right"/>
              <w:rPr>
                <w:rFonts w:cs="Arial"/>
                <w:sz w:val="14"/>
                <w:szCs w:val="14"/>
              </w:rPr>
            </w:pPr>
            <w:r w:rsidRPr="00B93EE1">
              <w:rPr>
                <w:rFonts w:cstheme="minorHAnsi"/>
                <w:color w:val="000000"/>
                <w:sz w:val="14"/>
                <w:szCs w:val="14"/>
              </w:rPr>
              <w:t>306.3</w:t>
            </w:r>
          </w:p>
        </w:tc>
        <w:tc>
          <w:tcPr>
            <w:tcW w:w="941" w:type="dxa"/>
            <w:noWrap/>
          </w:tcPr>
          <w:p w14:paraId="2DD06552" w14:textId="77777777" w:rsidR="00120717" w:rsidRPr="00B93EE1" w:rsidRDefault="00120717" w:rsidP="002562F5">
            <w:pPr>
              <w:ind w:left="113"/>
              <w:jc w:val="right"/>
              <w:rPr>
                <w:rFonts w:cs="Arial"/>
                <w:sz w:val="14"/>
                <w:szCs w:val="14"/>
              </w:rPr>
            </w:pPr>
            <w:r w:rsidRPr="00B93EE1">
              <w:rPr>
                <w:rFonts w:cstheme="minorHAnsi"/>
                <w:color w:val="000000"/>
                <w:sz w:val="14"/>
                <w:szCs w:val="14"/>
              </w:rPr>
              <w:t>324.0</w:t>
            </w:r>
          </w:p>
        </w:tc>
        <w:tc>
          <w:tcPr>
            <w:tcW w:w="941" w:type="dxa"/>
            <w:noWrap/>
          </w:tcPr>
          <w:p w14:paraId="2ECBB589" w14:textId="77777777" w:rsidR="00120717" w:rsidRPr="00B93EE1" w:rsidRDefault="00120717" w:rsidP="002562F5">
            <w:pPr>
              <w:ind w:left="113"/>
              <w:jc w:val="right"/>
              <w:rPr>
                <w:rFonts w:cs="Arial"/>
                <w:sz w:val="14"/>
                <w:szCs w:val="14"/>
              </w:rPr>
            </w:pPr>
            <w:r w:rsidRPr="00B93EE1">
              <w:rPr>
                <w:rFonts w:cstheme="minorHAnsi"/>
                <w:color w:val="000000"/>
                <w:sz w:val="14"/>
                <w:szCs w:val="14"/>
              </w:rPr>
              <w:t>327.2</w:t>
            </w:r>
          </w:p>
        </w:tc>
      </w:tr>
      <w:tr w:rsidR="00120717" w:rsidRPr="00B93EE1" w14:paraId="536D2153"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14D2B3A9" w14:textId="77777777" w:rsidR="00120717" w:rsidRPr="00B93EE1" w:rsidRDefault="00120717" w:rsidP="009C2A96">
            <w:pPr>
              <w:jc w:val="left"/>
              <w:rPr>
                <w:rFonts w:cs="Arial"/>
                <w:sz w:val="14"/>
                <w:szCs w:val="14"/>
              </w:rPr>
            </w:pPr>
            <w:r w:rsidRPr="00B93EE1">
              <w:rPr>
                <w:rFonts w:cs="Arial"/>
                <w:sz w:val="14"/>
                <w:szCs w:val="14"/>
              </w:rPr>
              <w:t>Current GDP, expenditure based (USD billion)</w:t>
            </w:r>
          </w:p>
        </w:tc>
        <w:tc>
          <w:tcPr>
            <w:tcW w:w="940" w:type="dxa"/>
            <w:noWrap/>
          </w:tcPr>
          <w:p w14:paraId="72432698"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196.5</w:t>
            </w:r>
          </w:p>
        </w:tc>
        <w:tc>
          <w:tcPr>
            <w:tcW w:w="941" w:type="dxa"/>
            <w:noWrap/>
          </w:tcPr>
          <w:p w14:paraId="152C8B02" w14:textId="77777777" w:rsidR="00120717" w:rsidRPr="00B93EE1" w:rsidRDefault="00120717" w:rsidP="002562F5">
            <w:pPr>
              <w:ind w:left="113"/>
              <w:jc w:val="right"/>
              <w:rPr>
                <w:rFonts w:cs="Arial"/>
                <w:sz w:val="14"/>
                <w:szCs w:val="14"/>
              </w:rPr>
            </w:pPr>
            <w:r w:rsidRPr="00B93EE1">
              <w:rPr>
                <w:rFonts w:cstheme="minorHAnsi"/>
                <w:color w:val="000000"/>
                <w:sz w:val="14"/>
                <w:szCs w:val="14"/>
              </w:rPr>
              <w:t>173.1</w:t>
            </w:r>
          </w:p>
        </w:tc>
        <w:tc>
          <w:tcPr>
            <w:tcW w:w="941" w:type="dxa"/>
            <w:noWrap/>
          </w:tcPr>
          <w:p w14:paraId="68DD93E1"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192.4</w:t>
            </w:r>
          </w:p>
        </w:tc>
        <w:tc>
          <w:tcPr>
            <w:tcW w:w="940" w:type="dxa"/>
            <w:noWrap/>
          </w:tcPr>
          <w:p w14:paraId="177F1BDF"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207.9</w:t>
            </w:r>
          </w:p>
        </w:tc>
        <w:tc>
          <w:tcPr>
            <w:tcW w:w="941" w:type="dxa"/>
            <w:noWrap/>
          </w:tcPr>
          <w:p w14:paraId="025CFA87"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208.7</w:t>
            </w:r>
          </w:p>
        </w:tc>
        <w:tc>
          <w:tcPr>
            <w:tcW w:w="941" w:type="dxa"/>
            <w:noWrap/>
          </w:tcPr>
          <w:p w14:paraId="4403CF94"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209.8</w:t>
            </w:r>
          </w:p>
        </w:tc>
        <w:tc>
          <w:tcPr>
            <w:tcW w:w="941" w:type="dxa"/>
            <w:noWrap/>
          </w:tcPr>
          <w:p w14:paraId="613F45FF" w14:textId="77777777" w:rsidR="00120717" w:rsidRPr="00B93EE1" w:rsidRDefault="00120717" w:rsidP="002562F5">
            <w:pPr>
              <w:ind w:left="113"/>
              <w:jc w:val="right"/>
              <w:rPr>
                <w:rFonts w:cs="Arial"/>
                <w:sz w:val="14"/>
                <w:szCs w:val="14"/>
              </w:rPr>
            </w:pPr>
            <w:r w:rsidRPr="00B93EE1">
              <w:rPr>
                <w:rFonts w:cstheme="minorHAnsi"/>
                <w:color w:val="000000"/>
                <w:sz w:val="14"/>
                <w:szCs w:val="14"/>
              </w:rPr>
              <w:t>219.4</w:t>
            </w:r>
          </w:p>
        </w:tc>
      </w:tr>
      <w:tr w:rsidR="00120717" w:rsidRPr="00B93EE1" w14:paraId="1C1F02C0" w14:textId="77777777" w:rsidTr="009C2A96">
        <w:tc>
          <w:tcPr>
            <w:tcW w:w="2431" w:type="dxa"/>
            <w:noWrap/>
            <w:hideMark/>
          </w:tcPr>
          <w:p w14:paraId="1CA45741" w14:textId="77777777" w:rsidR="00120717" w:rsidRPr="00B93EE1" w:rsidRDefault="00120717" w:rsidP="009C2A96">
            <w:pPr>
              <w:jc w:val="left"/>
              <w:rPr>
                <w:rFonts w:cs="Arial"/>
                <w:sz w:val="14"/>
                <w:szCs w:val="14"/>
              </w:rPr>
            </w:pPr>
            <w:r w:rsidRPr="00B93EE1">
              <w:rPr>
                <w:rFonts w:cs="Arial"/>
                <w:sz w:val="14"/>
                <w:szCs w:val="14"/>
              </w:rPr>
              <w:t>GDP per capita at current market price (NZD)</w:t>
            </w:r>
          </w:p>
        </w:tc>
        <w:tc>
          <w:tcPr>
            <w:tcW w:w="940" w:type="dxa"/>
            <w:noWrap/>
          </w:tcPr>
          <w:p w14:paraId="67B413E1" w14:textId="77777777" w:rsidR="00120717" w:rsidRPr="00B93EE1" w:rsidRDefault="00120717" w:rsidP="002562F5">
            <w:pPr>
              <w:ind w:left="113"/>
              <w:jc w:val="right"/>
              <w:rPr>
                <w:rFonts w:cs="Arial"/>
                <w:sz w:val="14"/>
                <w:szCs w:val="14"/>
              </w:rPr>
            </w:pPr>
            <w:r w:rsidRPr="00B93EE1">
              <w:rPr>
                <w:rFonts w:cstheme="minorHAnsi"/>
                <w:color w:val="000000"/>
                <w:sz w:val="14"/>
                <w:szCs w:val="14"/>
              </w:rPr>
              <w:t>53,422</w:t>
            </w:r>
          </w:p>
        </w:tc>
        <w:tc>
          <w:tcPr>
            <w:tcW w:w="941" w:type="dxa"/>
            <w:noWrap/>
          </w:tcPr>
          <w:p w14:paraId="026B9295" w14:textId="77777777" w:rsidR="00120717" w:rsidRPr="00B93EE1" w:rsidRDefault="00120717" w:rsidP="002562F5">
            <w:pPr>
              <w:ind w:left="113"/>
              <w:jc w:val="right"/>
              <w:rPr>
                <w:rFonts w:cs="Arial"/>
                <w:sz w:val="14"/>
                <w:szCs w:val="14"/>
              </w:rPr>
            </w:pPr>
            <w:r w:rsidRPr="00B93EE1">
              <w:rPr>
                <w:rFonts w:cstheme="minorHAnsi"/>
                <w:color w:val="000000"/>
                <w:sz w:val="14"/>
                <w:szCs w:val="14"/>
              </w:rPr>
              <w:t>55,048</w:t>
            </w:r>
          </w:p>
        </w:tc>
        <w:tc>
          <w:tcPr>
            <w:tcW w:w="941" w:type="dxa"/>
            <w:noWrap/>
          </w:tcPr>
          <w:p w14:paraId="73E30A8F" w14:textId="77777777" w:rsidR="00120717" w:rsidRPr="00B93EE1" w:rsidRDefault="00120717" w:rsidP="002562F5">
            <w:pPr>
              <w:ind w:left="113"/>
              <w:jc w:val="right"/>
              <w:rPr>
                <w:rFonts w:cs="Arial"/>
                <w:sz w:val="14"/>
                <w:szCs w:val="14"/>
              </w:rPr>
            </w:pPr>
            <w:r w:rsidRPr="00B93EE1">
              <w:rPr>
                <w:rFonts w:cstheme="minorHAnsi"/>
                <w:color w:val="000000"/>
                <w:sz w:val="14"/>
                <w:szCs w:val="14"/>
              </w:rPr>
              <w:t>57,224</w:t>
            </w:r>
          </w:p>
        </w:tc>
        <w:tc>
          <w:tcPr>
            <w:tcW w:w="940" w:type="dxa"/>
            <w:noWrap/>
          </w:tcPr>
          <w:p w14:paraId="68190523" w14:textId="77777777" w:rsidR="00120717" w:rsidRPr="00B93EE1" w:rsidRDefault="00120717" w:rsidP="002562F5">
            <w:pPr>
              <w:ind w:left="113"/>
              <w:jc w:val="right"/>
              <w:rPr>
                <w:rFonts w:cs="Arial"/>
                <w:sz w:val="14"/>
                <w:szCs w:val="14"/>
              </w:rPr>
            </w:pPr>
            <w:r w:rsidRPr="00B93EE1">
              <w:rPr>
                <w:rFonts w:cstheme="minorHAnsi"/>
                <w:color w:val="000000"/>
                <w:sz w:val="14"/>
                <w:szCs w:val="14"/>
              </w:rPr>
              <w:t>60,196</w:t>
            </w:r>
          </w:p>
        </w:tc>
        <w:tc>
          <w:tcPr>
            <w:tcW w:w="941" w:type="dxa"/>
            <w:noWrap/>
          </w:tcPr>
          <w:p w14:paraId="22E703EE" w14:textId="77777777" w:rsidR="00120717" w:rsidRPr="00B93EE1" w:rsidRDefault="00120717" w:rsidP="002562F5">
            <w:pPr>
              <w:ind w:left="113"/>
              <w:jc w:val="right"/>
              <w:rPr>
                <w:rFonts w:cs="Arial"/>
                <w:sz w:val="14"/>
                <w:szCs w:val="14"/>
              </w:rPr>
            </w:pPr>
            <w:r w:rsidRPr="00B93EE1">
              <w:rPr>
                <w:rFonts w:cstheme="minorHAnsi"/>
                <w:color w:val="000000"/>
                <w:sz w:val="14"/>
                <w:szCs w:val="14"/>
              </w:rPr>
              <w:t>62,331</w:t>
            </w:r>
          </w:p>
        </w:tc>
        <w:tc>
          <w:tcPr>
            <w:tcW w:w="941" w:type="dxa"/>
            <w:noWrap/>
          </w:tcPr>
          <w:p w14:paraId="138E90BD" w14:textId="77777777" w:rsidR="00120717" w:rsidRPr="00B93EE1" w:rsidRDefault="00120717" w:rsidP="002562F5">
            <w:pPr>
              <w:ind w:left="113"/>
              <w:jc w:val="right"/>
              <w:rPr>
                <w:rFonts w:cs="Arial"/>
                <w:sz w:val="14"/>
                <w:szCs w:val="14"/>
              </w:rPr>
            </w:pPr>
            <w:r w:rsidRPr="00B93EE1">
              <w:rPr>
                <w:rFonts w:cstheme="minorHAnsi"/>
                <w:color w:val="000000"/>
                <w:sz w:val="14"/>
                <w:szCs w:val="14"/>
              </w:rPr>
              <w:t>64,310</w:t>
            </w:r>
          </w:p>
        </w:tc>
        <w:tc>
          <w:tcPr>
            <w:tcW w:w="941" w:type="dxa"/>
            <w:noWrap/>
          </w:tcPr>
          <w:p w14:paraId="5F535CE1" w14:textId="77777777" w:rsidR="00120717" w:rsidRPr="00B93EE1" w:rsidRDefault="00120717" w:rsidP="002562F5">
            <w:pPr>
              <w:ind w:left="113"/>
              <w:jc w:val="right"/>
              <w:rPr>
                <w:rFonts w:cs="Arial"/>
                <w:sz w:val="14"/>
                <w:szCs w:val="14"/>
              </w:rPr>
            </w:pPr>
            <w:r w:rsidRPr="00B93EE1">
              <w:rPr>
                <w:rFonts w:cstheme="minorHAnsi"/>
                <w:color w:val="000000"/>
                <w:sz w:val="14"/>
                <w:szCs w:val="14"/>
              </w:rPr>
              <w:t>63,798</w:t>
            </w:r>
          </w:p>
        </w:tc>
      </w:tr>
      <w:tr w:rsidR="00120717" w:rsidRPr="00B93EE1" w14:paraId="62650571"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6CB93F83" w14:textId="77777777" w:rsidR="00120717" w:rsidRPr="00B93EE1" w:rsidRDefault="00120717" w:rsidP="009C2A96">
            <w:pPr>
              <w:jc w:val="left"/>
              <w:rPr>
                <w:rFonts w:cs="Arial"/>
                <w:sz w:val="14"/>
                <w:szCs w:val="14"/>
              </w:rPr>
            </w:pPr>
            <w:r w:rsidRPr="00B93EE1">
              <w:rPr>
                <w:rFonts w:cs="Arial"/>
                <w:sz w:val="14"/>
                <w:szCs w:val="14"/>
              </w:rPr>
              <w:t>GDP per capita at current market price (USD)</w:t>
            </w:r>
          </w:p>
        </w:tc>
        <w:tc>
          <w:tcPr>
            <w:tcW w:w="940" w:type="dxa"/>
            <w:noWrap/>
          </w:tcPr>
          <w:p w14:paraId="19C67489" w14:textId="77777777" w:rsidR="00120717" w:rsidRPr="00B93EE1" w:rsidRDefault="00120717" w:rsidP="002562F5">
            <w:pPr>
              <w:ind w:left="113"/>
              <w:jc w:val="right"/>
              <w:rPr>
                <w:rFonts w:cs="Arial"/>
                <w:sz w:val="14"/>
                <w:szCs w:val="14"/>
              </w:rPr>
            </w:pPr>
            <w:r w:rsidRPr="00B93EE1">
              <w:rPr>
                <w:rFonts w:cstheme="minorHAnsi"/>
                <w:color w:val="000000"/>
                <w:sz w:val="14"/>
                <w:szCs w:val="14"/>
              </w:rPr>
              <w:t>43,259</w:t>
            </w:r>
          </w:p>
        </w:tc>
        <w:tc>
          <w:tcPr>
            <w:tcW w:w="941" w:type="dxa"/>
            <w:noWrap/>
          </w:tcPr>
          <w:p w14:paraId="6D716DA1" w14:textId="77777777" w:rsidR="00120717" w:rsidRPr="00B93EE1" w:rsidRDefault="00120717" w:rsidP="002562F5">
            <w:pPr>
              <w:ind w:left="113"/>
              <w:jc w:val="right"/>
              <w:rPr>
                <w:rFonts w:cs="Arial"/>
                <w:sz w:val="14"/>
                <w:szCs w:val="14"/>
              </w:rPr>
            </w:pPr>
            <w:r w:rsidRPr="00B93EE1">
              <w:rPr>
                <w:rFonts w:cstheme="minorHAnsi"/>
                <w:color w:val="000000"/>
                <w:sz w:val="14"/>
                <w:szCs w:val="14"/>
              </w:rPr>
              <w:t>37,325</w:t>
            </w:r>
          </w:p>
        </w:tc>
        <w:tc>
          <w:tcPr>
            <w:tcW w:w="941" w:type="dxa"/>
            <w:noWrap/>
          </w:tcPr>
          <w:p w14:paraId="3387ACBB" w14:textId="77777777" w:rsidR="00120717" w:rsidRPr="00B93EE1" w:rsidRDefault="00120717" w:rsidP="002562F5">
            <w:pPr>
              <w:ind w:left="113"/>
              <w:jc w:val="right"/>
              <w:rPr>
                <w:rFonts w:cs="Arial"/>
                <w:sz w:val="14"/>
                <w:szCs w:val="14"/>
              </w:rPr>
            </w:pPr>
            <w:r w:rsidRPr="00B93EE1">
              <w:rPr>
                <w:rFonts w:cstheme="minorHAnsi"/>
                <w:color w:val="000000"/>
                <w:sz w:val="14"/>
                <w:szCs w:val="14"/>
              </w:rPr>
              <w:t>40,585</w:t>
            </w:r>
          </w:p>
        </w:tc>
        <w:tc>
          <w:tcPr>
            <w:tcW w:w="940" w:type="dxa"/>
            <w:noWrap/>
          </w:tcPr>
          <w:p w14:paraId="76FA437E" w14:textId="77777777" w:rsidR="00120717" w:rsidRPr="00B93EE1" w:rsidRDefault="00120717" w:rsidP="002562F5">
            <w:pPr>
              <w:ind w:left="113"/>
              <w:jc w:val="right"/>
              <w:rPr>
                <w:rFonts w:cs="Arial"/>
                <w:sz w:val="14"/>
                <w:szCs w:val="14"/>
              </w:rPr>
            </w:pPr>
            <w:r w:rsidRPr="00B93EE1">
              <w:rPr>
                <w:rFonts w:cstheme="minorHAnsi"/>
                <w:color w:val="000000"/>
                <w:sz w:val="14"/>
                <w:szCs w:val="14"/>
              </w:rPr>
              <w:t>43,026</w:t>
            </w:r>
          </w:p>
        </w:tc>
        <w:tc>
          <w:tcPr>
            <w:tcW w:w="941" w:type="dxa"/>
            <w:noWrap/>
          </w:tcPr>
          <w:p w14:paraId="79FC3680" w14:textId="77777777" w:rsidR="00120717" w:rsidRPr="00B93EE1" w:rsidRDefault="00120717" w:rsidP="002562F5">
            <w:pPr>
              <w:ind w:left="113"/>
              <w:jc w:val="right"/>
              <w:rPr>
                <w:rFonts w:cs="Arial"/>
                <w:sz w:val="14"/>
                <w:szCs w:val="14"/>
              </w:rPr>
            </w:pPr>
            <w:r w:rsidRPr="00B93EE1">
              <w:rPr>
                <w:rFonts w:cstheme="minorHAnsi"/>
                <w:color w:val="000000"/>
                <w:sz w:val="14"/>
                <w:szCs w:val="14"/>
              </w:rPr>
              <w:t>42,475</w:t>
            </w:r>
          </w:p>
        </w:tc>
        <w:tc>
          <w:tcPr>
            <w:tcW w:w="941" w:type="dxa"/>
            <w:noWrap/>
          </w:tcPr>
          <w:p w14:paraId="5BC3C4E9" w14:textId="77777777" w:rsidR="00120717" w:rsidRPr="00B93EE1" w:rsidRDefault="00120717" w:rsidP="002562F5">
            <w:pPr>
              <w:ind w:left="113"/>
              <w:jc w:val="right"/>
              <w:rPr>
                <w:rFonts w:cs="Arial"/>
                <w:sz w:val="14"/>
                <w:szCs w:val="14"/>
              </w:rPr>
            </w:pPr>
            <w:r w:rsidRPr="00B93EE1">
              <w:rPr>
                <w:rFonts w:cstheme="minorHAnsi"/>
                <w:color w:val="000000"/>
                <w:sz w:val="14"/>
                <w:szCs w:val="14"/>
              </w:rPr>
              <w:t>41,653</w:t>
            </w:r>
          </w:p>
        </w:tc>
        <w:tc>
          <w:tcPr>
            <w:tcW w:w="941" w:type="dxa"/>
            <w:noWrap/>
          </w:tcPr>
          <w:p w14:paraId="0065F497" w14:textId="77777777" w:rsidR="00120717" w:rsidRPr="00B93EE1" w:rsidRDefault="00120717" w:rsidP="002562F5">
            <w:pPr>
              <w:ind w:left="113"/>
              <w:jc w:val="right"/>
              <w:rPr>
                <w:rFonts w:cs="Arial"/>
                <w:sz w:val="14"/>
                <w:szCs w:val="14"/>
              </w:rPr>
            </w:pPr>
            <w:r w:rsidRPr="00B93EE1">
              <w:rPr>
                <w:rFonts w:cstheme="minorHAnsi"/>
                <w:color w:val="000000"/>
                <w:sz w:val="14"/>
                <w:szCs w:val="14"/>
              </w:rPr>
              <w:t>42,817</w:t>
            </w:r>
          </w:p>
        </w:tc>
      </w:tr>
      <w:tr w:rsidR="00120717" w:rsidRPr="00B93EE1" w14:paraId="118CD3F8" w14:textId="77777777" w:rsidTr="009C2A96">
        <w:tc>
          <w:tcPr>
            <w:tcW w:w="2431" w:type="dxa"/>
            <w:noWrap/>
            <w:hideMark/>
          </w:tcPr>
          <w:p w14:paraId="588EAFEB" w14:textId="77777777" w:rsidR="00120717" w:rsidRPr="00B93EE1" w:rsidRDefault="00120717" w:rsidP="009C2A96">
            <w:pPr>
              <w:jc w:val="left"/>
              <w:rPr>
                <w:rFonts w:cs="Arial"/>
                <w:b/>
                <w:bCs/>
                <w:sz w:val="14"/>
                <w:szCs w:val="14"/>
              </w:rPr>
            </w:pPr>
            <w:r w:rsidRPr="00B93EE1">
              <w:rPr>
                <w:rFonts w:cs="Arial"/>
                <w:b/>
                <w:bCs/>
                <w:sz w:val="14"/>
                <w:szCs w:val="14"/>
              </w:rPr>
              <w:t>National accounts (% change, unless otherwise indicated)</w:t>
            </w:r>
          </w:p>
        </w:tc>
        <w:tc>
          <w:tcPr>
            <w:tcW w:w="940" w:type="dxa"/>
            <w:noWrap/>
          </w:tcPr>
          <w:p w14:paraId="74FFB9DD" w14:textId="77777777" w:rsidR="00120717" w:rsidRPr="00B93EE1" w:rsidRDefault="00120717" w:rsidP="002562F5">
            <w:pPr>
              <w:ind w:left="113"/>
              <w:rPr>
                <w:rFonts w:cs="Arial"/>
                <w:b/>
                <w:bCs/>
                <w:sz w:val="14"/>
                <w:szCs w:val="14"/>
              </w:rPr>
            </w:pPr>
          </w:p>
        </w:tc>
        <w:tc>
          <w:tcPr>
            <w:tcW w:w="941" w:type="dxa"/>
            <w:noWrap/>
          </w:tcPr>
          <w:p w14:paraId="118A37EB" w14:textId="77777777" w:rsidR="00120717" w:rsidRPr="00B93EE1" w:rsidRDefault="00120717" w:rsidP="002562F5">
            <w:pPr>
              <w:ind w:left="113"/>
              <w:jc w:val="center"/>
              <w:rPr>
                <w:sz w:val="14"/>
                <w:szCs w:val="14"/>
              </w:rPr>
            </w:pPr>
          </w:p>
        </w:tc>
        <w:tc>
          <w:tcPr>
            <w:tcW w:w="941" w:type="dxa"/>
            <w:noWrap/>
          </w:tcPr>
          <w:p w14:paraId="7E8FE3BF" w14:textId="77777777" w:rsidR="00120717" w:rsidRPr="00B93EE1" w:rsidRDefault="00120717" w:rsidP="002562F5">
            <w:pPr>
              <w:ind w:left="113"/>
              <w:jc w:val="center"/>
              <w:rPr>
                <w:sz w:val="14"/>
                <w:szCs w:val="14"/>
              </w:rPr>
            </w:pPr>
          </w:p>
        </w:tc>
        <w:tc>
          <w:tcPr>
            <w:tcW w:w="940" w:type="dxa"/>
            <w:noWrap/>
          </w:tcPr>
          <w:p w14:paraId="71210B1F" w14:textId="77777777" w:rsidR="00120717" w:rsidRPr="00B93EE1" w:rsidRDefault="00120717" w:rsidP="002562F5">
            <w:pPr>
              <w:ind w:left="113"/>
              <w:jc w:val="center"/>
              <w:rPr>
                <w:sz w:val="14"/>
                <w:szCs w:val="14"/>
              </w:rPr>
            </w:pPr>
          </w:p>
        </w:tc>
        <w:tc>
          <w:tcPr>
            <w:tcW w:w="941" w:type="dxa"/>
            <w:noWrap/>
          </w:tcPr>
          <w:p w14:paraId="1BB4A477" w14:textId="77777777" w:rsidR="00120717" w:rsidRPr="00B93EE1" w:rsidRDefault="00120717" w:rsidP="002562F5">
            <w:pPr>
              <w:ind w:left="113"/>
              <w:jc w:val="center"/>
              <w:rPr>
                <w:sz w:val="14"/>
                <w:szCs w:val="14"/>
              </w:rPr>
            </w:pPr>
          </w:p>
        </w:tc>
        <w:tc>
          <w:tcPr>
            <w:tcW w:w="941" w:type="dxa"/>
            <w:noWrap/>
          </w:tcPr>
          <w:p w14:paraId="7C163AF9" w14:textId="77777777" w:rsidR="00120717" w:rsidRPr="00B93EE1" w:rsidRDefault="00120717" w:rsidP="002562F5">
            <w:pPr>
              <w:ind w:left="113"/>
              <w:jc w:val="center"/>
              <w:rPr>
                <w:sz w:val="14"/>
                <w:szCs w:val="14"/>
              </w:rPr>
            </w:pPr>
          </w:p>
        </w:tc>
        <w:tc>
          <w:tcPr>
            <w:tcW w:w="941" w:type="dxa"/>
            <w:noWrap/>
          </w:tcPr>
          <w:p w14:paraId="7BE1692D" w14:textId="77777777" w:rsidR="00120717" w:rsidRPr="00B93EE1" w:rsidRDefault="00120717" w:rsidP="002562F5">
            <w:pPr>
              <w:ind w:left="113"/>
              <w:jc w:val="center"/>
              <w:rPr>
                <w:sz w:val="14"/>
                <w:szCs w:val="14"/>
              </w:rPr>
            </w:pPr>
          </w:p>
        </w:tc>
      </w:tr>
      <w:tr w:rsidR="00120717" w:rsidRPr="00B93EE1" w14:paraId="329AEB70"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62AC84DE" w14:textId="77777777" w:rsidR="00120717" w:rsidRPr="00B93EE1" w:rsidRDefault="00120717" w:rsidP="009C2A96">
            <w:pPr>
              <w:jc w:val="left"/>
              <w:rPr>
                <w:rFonts w:cs="Arial"/>
                <w:sz w:val="14"/>
                <w:szCs w:val="14"/>
              </w:rPr>
            </w:pPr>
            <w:r w:rsidRPr="00B93EE1">
              <w:rPr>
                <w:rFonts w:cs="Arial"/>
                <w:sz w:val="14"/>
                <w:szCs w:val="14"/>
              </w:rPr>
              <w:t>Real GDP, expenditure based</w:t>
            </w:r>
          </w:p>
        </w:tc>
        <w:tc>
          <w:tcPr>
            <w:tcW w:w="940" w:type="dxa"/>
            <w:noWrap/>
          </w:tcPr>
          <w:p w14:paraId="0F722632" w14:textId="77777777" w:rsidR="00120717" w:rsidRPr="00B93EE1" w:rsidRDefault="00120717" w:rsidP="002562F5">
            <w:pPr>
              <w:ind w:left="113"/>
              <w:jc w:val="right"/>
              <w:rPr>
                <w:rFonts w:cs="Arial"/>
                <w:sz w:val="14"/>
                <w:szCs w:val="14"/>
              </w:rPr>
            </w:pPr>
            <w:r w:rsidRPr="00B93EE1">
              <w:rPr>
                <w:rFonts w:cstheme="minorHAnsi"/>
                <w:color w:val="000000"/>
                <w:sz w:val="14"/>
                <w:szCs w:val="14"/>
              </w:rPr>
              <w:t>3.6</w:t>
            </w:r>
          </w:p>
        </w:tc>
        <w:tc>
          <w:tcPr>
            <w:tcW w:w="941" w:type="dxa"/>
            <w:noWrap/>
          </w:tcPr>
          <w:p w14:paraId="29301512" w14:textId="77777777" w:rsidR="00120717" w:rsidRPr="00B93EE1" w:rsidRDefault="00120717" w:rsidP="002562F5">
            <w:pPr>
              <w:ind w:left="113"/>
              <w:jc w:val="right"/>
              <w:rPr>
                <w:rFonts w:cs="Arial"/>
                <w:sz w:val="14"/>
                <w:szCs w:val="14"/>
              </w:rPr>
            </w:pPr>
            <w:r w:rsidRPr="00B93EE1">
              <w:rPr>
                <w:rFonts w:cstheme="minorHAnsi"/>
                <w:color w:val="000000"/>
                <w:sz w:val="14"/>
                <w:szCs w:val="14"/>
              </w:rPr>
              <w:t>4.4</w:t>
            </w:r>
          </w:p>
        </w:tc>
        <w:tc>
          <w:tcPr>
            <w:tcW w:w="941" w:type="dxa"/>
            <w:noWrap/>
          </w:tcPr>
          <w:p w14:paraId="34A52344" w14:textId="77777777" w:rsidR="00120717" w:rsidRPr="00B93EE1" w:rsidRDefault="00120717" w:rsidP="002562F5">
            <w:pPr>
              <w:ind w:left="113"/>
              <w:jc w:val="right"/>
              <w:rPr>
                <w:rFonts w:cs="Arial"/>
                <w:sz w:val="14"/>
                <w:szCs w:val="14"/>
              </w:rPr>
            </w:pPr>
            <w:r w:rsidRPr="00B93EE1">
              <w:rPr>
                <w:rFonts w:cstheme="minorHAnsi"/>
                <w:color w:val="000000"/>
                <w:sz w:val="14"/>
                <w:szCs w:val="14"/>
              </w:rPr>
              <w:t>3.7</w:t>
            </w:r>
          </w:p>
        </w:tc>
        <w:tc>
          <w:tcPr>
            <w:tcW w:w="940" w:type="dxa"/>
            <w:noWrap/>
          </w:tcPr>
          <w:p w14:paraId="3E46A55F" w14:textId="77777777" w:rsidR="00120717" w:rsidRPr="00B93EE1" w:rsidRDefault="00120717" w:rsidP="002562F5">
            <w:pPr>
              <w:ind w:left="113"/>
              <w:jc w:val="right"/>
              <w:rPr>
                <w:rFonts w:cs="Arial"/>
                <w:sz w:val="14"/>
                <w:szCs w:val="14"/>
              </w:rPr>
            </w:pPr>
            <w:r w:rsidRPr="00B93EE1">
              <w:rPr>
                <w:rFonts w:cstheme="minorHAnsi"/>
                <w:color w:val="000000"/>
                <w:sz w:val="14"/>
                <w:szCs w:val="14"/>
              </w:rPr>
              <w:t>4.4</w:t>
            </w:r>
          </w:p>
        </w:tc>
        <w:tc>
          <w:tcPr>
            <w:tcW w:w="941" w:type="dxa"/>
            <w:noWrap/>
          </w:tcPr>
          <w:p w14:paraId="3742F3CC" w14:textId="77777777" w:rsidR="00120717" w:rsidRPr="00B93EE1" w:rsidRDefault="00120717" w:rsidP="002562F5">
            <w:pPr>
              <w:ind w:left="113"/>
              <w:jc w:val="right"/>
              <w:rPr>
                <w:rFonts w:cs="Arial"/>
                <w:sz w:val="14"/>
                <w:szCs w:val="14"/>
              </w:rPr>
            </w:pPr>
            <w:r w:rsidRPr="00B93EE1">
              <w:rPr>
                <w:rFonts w:cstheme="minorHAnsi"/>
                <w:color w:val="000000"/>
                <w:sz w:val="14"/>
                <w:szCs w:val="14"/>
              </w:rPr>
              <w:t>4.0</w:t>
            </w:r>
          </w:p>
        </w:tc>
        <w:tc>
          <w:tcPr>
            <w:tcW w:w="941" w:type="dxa"/>
            <w:noWrap/>
          </w:tcPr>
          <w:p w14:paraId="1E8F9B20" w14:textId="77777777" w:rsidR="00120717" w:rsidRPr="00B93EE1" w:rsidRDefault="00120717" w:rsidP="002562F5">
            <w:pPr>
              <w:ind w:left="113"/>
              <w:jc w:val="right"/>
              <w:rPr>
                <w:rFonts w:cs="Arial"/>
                <w:sz w:val="14"/>
                <w:szCs w:val="14"/>
              </w:rPr>
            </w:pPr>
            <w:r w:rsidRPr="00B93EE1">
              <w:rPr>
                <w:rFonts w:cstheme="minorHAnsi"/>
                <w:color w:val="000000"/>
                <w:sz w:val="14"/>
                <w:szCs w:val="14"/>
              </w:rPr>
              <w:t>2.6</w:t>
            </w:r>
          </w:p>
        </w:tc>
        <w:tc>
          <w:tcPr>
            <w:tcW w:w="941" w:type="dxa"/>
            <w:noWrap/>
          </w:tcPr>
          <w:p w14:paraId="063ECF14" w14:textId="77777777" w:rsidR="00120717" w:rsidRPr="00B93EE1" w:rsidRDefault="00120717" w:rsidP="002562F5">
            <w:pPr>
              <w:ind w:left="113"/>
              <w:jc w:val="right"/>
              <w:rPr>
                <w:rFonts w:cs="Arial"/>
                <w:sz w:val="14"/>
                <w:szCs w:val="14"/>
              </w:rPr>
            </w:pPr>
            <w:r w:rsidRPr="00B93EE1">
              <w:rPr>
                <w:rFonts w:cstheme="minorHAnsi"/>
                <w:color w:val="000000"/>
                <w:sz w:val="14"/>
                <w:szCs w:val="14"/>
              </w:rPr>
              <w:t>-0.3</w:t>
            </w:r>
          </w:p>
        </w:tc>
      </w:tr>
      <w:tr w:rsidR="00120717" w:rsidRPr="00B93EE1" w14:paraId="7828C6BB" w14:textId="77777777" w:rsidTr="009C2A96">
        <w:tc>
          <w:tcPr>
            <w:tcW w:w="2431" w:type="dxa"/>
            <w:noWrap/>
            <w:hideMark/>
          </w:tcPr>
          <w:p w14:paraId="7C46F1DD" w14:textId="77777777" w:rsidR="00120717" w:rsidRPr="00B93EE1" w:rsidRDefault="00120717" w:rsidP="009C2A96">
            <w:pPr>
              <w:ind w:left="170"/>
              <w:jc w:val="left"/>
              <w:rPr>
                <w:rFonts w:cs="Arial"/>
                <w:sz w:val="14"/>
                <w:szCs w:val="14"/>
              </w:rPr>
            </w:pPr>
            <w:r w:rsidRPr="00B93EE1">
              <w:rPr>
                <w:rFonts w:cs="Arial"/>
                <w:sz w:val="14"/>
                <w:szCs w:val="14"/>
              </w:rPr>
              <w:t>Consumption</w:t>
            </w:r>
          </w:p>
        </w:tc>
        <w:tc>
          <w:tcPr>
            <w:tcW w:w="940" w:type="dxa"/>
            <w:noWrap/>
          </w:tcPr>
          <w:p w14:paraId="48B9A4BE" w14:textId="77777777" w:rsidR="00120717" w:rsidRPr="00B93EE1" w:rsidRDefault="00120717" w:rsidP="002562F5">
            <w:pPr>
              <w:ind w:left="113"/>
              <w:jc w:val="right"/>
              <w:rPr>
                <w:rFonts w:cs="Arial"/>
                <w:sz w:val="14"/>
                <w:szCs w:val="14"/>
              </w:rPr>
            </w:pPr>
            <w:r w:rsidRPr="00B93EE1">
              <w:rPr>
                <w:rFonts w:cstheme="minorHAnsi"/>
                <w:color w:val="000000"/>
                <w:sz w:val="14"/>
                <w:szCs w:val="14"/>
              </w:rPr>
              <w:t>3.2</w:t>
            </w:r>
          </w:p>
        </w:tc>
        <w:tc>
          <w:tcPr>
            <w:tcW w:w="941" w:type="dxa"/>
            <w:noWrap/>
          </w:tcPr>
          <w:p w14:paraId="14F1F7CD" w14:textId="77777777" w:rsidR="00120717" w:rsidRPr="00B93EE1" w:rsidRDefault="00120717" w:rsidP="002562F5">
            <w:pPr>
              <w:ind w:left="113"/>
              <w:jc w:val="right"/>
              <w:rPr>
                <w:rFonts w:cs="Arial"/>
                <w:sz w:val="14"/>
                <w:szCs w:val="14"/>
              </w:rPr>
            </w:pPr>
            <w:r w:rsidRPr="00B93EE1">
              <w:rPr>
                <w:rFonts w:cstheme="minorHAnsi"/>
                <w:color w:val="000000"/>
                <w:sz w:val="14"/>
                <w:szCs w:val="14"/>
              </w:rPr>
              <w:t>3.7</w:t>
            </w:r>
          </w:p>
        </w:tc>
        <w:tc>
          <w:tcPr>
            <w:tcW w:w="941" w:type="dxa"/>
            <w:noWrap/>
          </w:tcPr>
          <w:p w14:paraId="21BC20BB" w14:textId="77777777" w:rsidR="00120717" w:rsidRPr="00B93EE1" w:rsidRDefault="00120717" w:rsidP="002562F5">
            <w:pPr>
              <w:ind w:left="113"/>
              <w:jc w:val="right"/>
              <w:rPr>
                <w:rFonts w:cs="Arial"/>
                <w:sz w:val="14"/>
                <w:szCs w:val="14"/>
              </w:rPr>
            </w:pPr>
            <w:r w:rsidRPr="00B93EE1">
              <w:rPr>
                <w:rFonts w:cstheme="minorHAnsi"/>
                <w:color w:val="000000"/>
                <w:sz w:val="14"/>
                <w:szCs w:val="14"/>
              </w:rPr>
              <w:t>5.3</w:t>
            </w:r>
          </w:p>
        </w:tc>
        <w:tc>
          <w:tcPr>
            <w:tcW w:w="940" w:type="dxa"/>
            <w:noWrap/>
          </w:tcPr>
          <w:p w14:paraId="494074AF" w14:textId="77777777" w:rsidR="00120717" w:rsidRPr="00B93EE1" w:rsidRDefault="00120717" w:rsidP="002562F5">
            <w:pPr>
              <w:ind w:left="113"/>
              <w:jc w:val="right"/>
              <w:rPr>
                <w:rFonts w:cs="Arial"/>
                <w:sz w:val="14"/>
                <w:szCs w:val="14"/>
              </w:rPr>
            </w:pPr>
            <w:r w:rsidRPr="00B93EE1">
              <w:rPr>
                <w:rFonts w:cstheme="minorHAnsi"/>
                <w:color w:val="000000"/>
                <w:sz w:val="14"/>
                <w:szCs w:val="14"/>
              </w:rPr>
              <w:t>4.6</w:t>
            </w:r>
          </w:p>
        </w:tc>
        <w:tc>
          <w:tcPr>
            <w:tcW w:w="941" w:type="dxa"/>
            <w:noWrap/>
          </w:tcPr>
          <w:p w14:paraId="48C933BE" w14:textId="77777777" w:rsidR="00120717" w:rsidRPr="00B93EE1" w:rsidRDefault="00120717" w:rsidP="002562F5">
            <w:pPr>
              <w:ind w:left="113"/>
              <w:jc w:val="right"/>
              <w:rPr>
                <w:rFonts w:cs="Arial"/>
                <w:sz w:val="14"/>
                <w:szCs w:val="14"/>
              </w:rPr>
            </w:pPr>
            <w:r w:rsidRPr="00B93EE1">
              <w:rPr>
                <w:rFonts w:cstheme="minorHAnsi"/>
                <w:color w:val="000000"/>
                <w:sz w:val="14"/>
                <w:szCs w:val="14"/>
              </w:rPr>
              <w:t>4.3</w:t>
            </w:r>
          </w:p>
        </w:tc>
        <w:tc>
          <w:tcPr>
            <w:tcW w:w="941" w:type="dxa"/>
            <w:noWrap/>
          </w:tcPr>
          <w:p w14:paraId="69D2D584" w14:textId="77777777" w:rsidR="00120717" w:rsidRPr="00B93EE1" w:rsidRDefault="00120717" w:rsidP="002562F5">
            <w:pPr>
              <w:ind w:left="113"/>
              <w:jc w:val="right"/>
              <w:rPr>
                <w:rFonts w:cs="Arial"/>
                <w:sz w:val="14"/>
                <w:szCs w:val="14"/>
              </w:rPr>
            </w:pPr>
            <w:r w:rsidRPr="00B93EE1">
              <w:rPr>
                <w:rFonts w:cstheme="minorHAnsi"/>
                <w:color w:val="000000"/>
                <w:sz w:val="14"/>
                <w:szCs w:val="14"/>
              </w:rPr>
              <w:t>3.2</w:t>
            </w:r>
          </w:p>
        </w:tc>
        <w:tc>
          <w:tcPr>
            <w:tcW w:w="941" w:type="dxa"/>
            <w:noWrap/>
          </w:tcPr>
          <w:p w14:paraId="58560C75" w14:textId="77777777" w:rsidR="00120717" w:rsidRPr="00B93EE1" w:rsidRDefault="00120717" w:rsidP="002562F5">
            <w:pPr>
              <w:ind w:left="113"/>
              <w:jc w:val="right"/>
              <w:rPr>
                <w:rFonts w:cs="Arial"/>
                <w:sz w:val="14"/>
                <w:szCs w:val="14"/>
              </w:rPr>
            </w:pPr>
            <w:r w:rsidRPr="00B93EE1">
              <w:rPr>
                <w:rFonts w:cstheme="minorHAnsi"/>
                <w:color w:val="000000"/>
                <w:sz w:val="14"/>
                <w:szCs w:val="14"/>
              </w:rPr>
              <w:t>2.1</w:t>
            </w:r>
          </w:p>
        </w:tc>
      </w:tr>
      <w:tr w:rsidR="00120717" w:rsidRPr="00B93EE1" w14:paraId="5FBC0BFA"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4F5CF928" w14:textId="77777777" w:rsidR="00120717" w:rsidRPr="00B93EE1" w:rsidRDefault="00120717" w:rsidP="009C2A96">
            <w:pPr>
              <w:ind w:left="397"/>
              <w:jc w:val="left"/>
              <w:rPr>
                <w:rFonts w:cs="Arial"/>
                <w:sz w:val="14"/>
                <w:szCs w:val="14"/>
              </w:rPr>
            </w:pPr>
            <w:r w:rsidRPr="00B93EE1">
              <w:rPr>
                <w:rFonts w:cs="Arial"/>
                <w:sz w:val="14"/>
                <w:szCs w:val="14"/>
              </w:rPr>
              <w:t>Private consumption</w:t>
            </w:r>
          </w:p>
        </w:tc>
        <w:tc>
          <w:tcPr>
            <w:tcW w:w="940" w:type="dxa"/>
            <w:noWrap/>
          </w:tcPr>
          <w:p w14:paraId="3CCF4BDF" w14:textId="77777777" w:rsidR="00120717" w:rsidRPr="00B93EE1" w:rsidRDefault="00120717" w:rsidP="002562F5">
            <w:pPr>
              <w:ind w:left="113"/>
              <w:jc w:val="right"/>
              <w:rPr>
                <w:rFonts w:cs="Arial"/>
                <w:sz w:val="14"/>
                <w:szCs w:val="14"/>
              </w:rPr>
            </w:pPr>
            <w:r w:rsidRPr="00B93EE1">
              <w:rPr>
                <w:rFonts w:cstheme="minorHAnsi"/>
                <w:color w:val="000000"/>
                <w:sz w:val="14"/>
                <w:szCs w:val="14"/>
              </w:rPr>
              <w:t>3.3</w:t>
            </w:r>
          </w:p>
        </w:tc>
        <w:tc>
          <w:tcPr>
            <w:tcW w:w="941" w:type="dxa"/>
            <w:noWrap/>
          </w:tcPr>
          <w:p w14:paraId="779E89C4" w14:textId="77777777" w:rsidR="00120717" w:rsidRPr="00B93EE1" w:rsidRDefault="00120717" w:rsidP="002562F5">
            <w:pPr>
              <w:ind w:left="113"/>
              <w:jc w:val="right"/>
              <w:rPr>
                <w:rFonts w:cs="Arial"/>
                <w:sz w:val="14"/>
                <w:szCs w:val="14"/>
              </w:rPr>
            </w:pPr>
            <w:r w:rsidRPr="00B93EE1">
              <w:rPr>
                <w:rFonts w:cstheme="minorHAnsi"/>
                <w:color w:val="000000"/>
                <w:sz w:val="14"/>
                <w:szCs w:val="14"/>
              </w:rPr>
              <w:t>4.2</w:t>
            </w:r>
          </w:p>
        </w:tc>
        <w:tc>
          <w:tcPr>
            <w:tcW w:w="941" w:type="dxa"/>
            <w:noWrap/>
          </w:tcPr>
          <w:p w14:paraId="181829A7" w14:textId="77777777" w:rsidR="00120717" w:rsidRPr="00B93EE1" w:rsidRDefault="00120717" w:rsidP="002562F5">
            <w:pPr>
              <w:ind w:left="113"/>
              <w:jc w:val="right"/>
              <w:rPr>
                <w:rFonts w:cs="Arial"/>
                <w:sz w:val="14"/>
                <w:szCs w:val="14"/>
              </w:rPr>
            </w:pPr>
            <w:r w:rsidRPr="00B93EE1">
              <w:rPr>
                <w:rFonts w:cstheme="minorHAnsi"/>
                <w:color w:val="000000"/>
                <w:sz w:val="14"/>
                <w:szCs w:val="14"/>
              </w:rPr>
              <w:t>6.4</w:t>
            </w:r>
          </w:p>
        </w:tc>
        <w:tc>
          <w:tcPr>
            <w:tcW w:w="940" w:type="dxa"/>
            <w:noWrap/>
          </w:tcPr>
          <w:p w14:paraId="7202B279" w14:textId="77777777" w:rsidR="00120717" w:rsidRPr="00B93EE1" w:rsidRDefault="00120717" w:rsidP="002562F5">
            <w:pPr>
              <w:ind w:left="113"/>
              <w:jc w:val="right"/>
              <w:rPr>
                <w:rFonts w:cs="Arial"/>
                <w:sz w:val="14"/>
                <w:szCs w:val="14"/>
              </w:rPr>
            </w:pPr>
            <w:r w:rsidRPr="00B93EE1">
              <w:rPr>
                <w:rFonts w:cstheme="minorHAnsi"/>
                <w:color w:val="000000"/>
                <w:sz w:val="14"/>
                <w:szCs w:val="14"/>
              </w:rPr>
              <w:t>4.8</w:t>
            </w:r>
          </w:p>
        </w:tc>
        <w:tc>
          <w:tcPr>
            <w:tcW w:w="941" w:type="dxa"/>
            <w:noWrap/>
          </w:tcPr>
          <w:p w14:paraId="6C85BEBF" w14:textId="77777777" w:rsidR="00120717" w:rsidRPr="00B93EE1" w:rsidRDefault="00120717" w:rsidP="002562F5">
            <w:pPr>
              <w:ind w:left="113"/>
              <w:jc w:val="right"/>
              <w:rPr>
                <w:rFonts w:cs="Arial"/>
                <w:sz w:val="14"/>
                <w:szCs w:val="14"/>
              </w:rPr>
            </w:pPr>
            <w:r w:rsidRPr="00B93EE1">
              <w:rPr>
                <w:rFonts w:cstheme="minorHAnsi"/>
                <w:color w:val="000000"/>
                <w:sz w:val="14"/>
                <w:szCs w:val="14"/>
              </w:rPr>
              <w:t>4.6</w:t>
            </w:r>
          </w:p>
        </w:tc>
        <w:tc>
          <w:tcPr>
            <w:tcW w:w="941" w:type="dxa"/>
            <w:noWrap/>
          </w:tcPr>
          <w:p w14:paraId="61F389B7" w14:textId="77777777" w:rsidR="00120717" w:rsidRPr="00B93EE1" w:rsidRDefault="00120717" w:rsidP="002562F5">
            <w:pPr>
              <w:ind w:left="113"/>
              <w:jc w:val="right"/>
              <w:rPr>
                <w:rFonts w:cs="Arial"/>
                <w:sz w:val="14"/>
                <w:szCs w:val="14"/>
              </w:rPr>
            </w:pPr>
            <w:r w:rsidRPr="00B93EE1">
              <w:rPr>
                <w:rFonts w:cstheme="minorHAnsi"/>
                <w:color w:val="000000"/>
                <w:sz w:val="14"/>
                <w:szCs w:val="14"/>
              </w:rPr>
              <w:t>2.5</w:t>
            </w:r>
          </w:p>
        </w:tc>
        <w:tc>
          <w:tcPr>
            <w:tcW w:w="941" w:type="dxa"/>
            <w:noWrap/>
          </w:tcPr>
          <w:p w14:paraId="56F713B6" w14:textId="77777777" w:rsidR="00120717" w:rsidRPr="00B93EE1" w:rsidRDefault="00120717" w:rsidP="002562F5">
            <w:pPr>
              <w:ind w:left="113"/>
              <w:jc w:val="right"/>
              <w:rPr>
                <w:rFonts w:cs="Arial"/>
                <w:sz w:val="14"/>
                <w:szCs w:val="14"/>
              </w:rPr>
            </w:pPr>
            <w:r w:rsidRPr="00B93EE1">
              <w:rPr>
                <w:rFonts w:cstheme="minorHAnsi"/>
                <w:color w:val="000000"/>
                <w:sz w:val="14"/>
                <w:szCs w:val="14"/>
              </w:rPr>
              <w:t>0.4</w:t>
            </w:r>
          </w:p>
        </w:tc>
      </w:tr>
      <w:tr w:rsidR="00120717" w:rsidRPr="00B93EE1" w14:paraId="766F703F" w14:textId="77777777" w:rsidTr="009C2A96">
        <w:tc>
          <w:tcPr>
            <w:tcW w:w="2431" w:type="dxa"/>
            <w:noWrap/>
            <w:hideMark/>
          </w:tcPr>
          <w:p w14:paraId="4C244E03" w14:textId="77777777" w:rsidR="00120717" w:rsidRPr="00B93EE1" w:rsidRDefault="00120717" w:rsidP="009C2A96">
            <w:pPr>
              <w:ind w:left="397"/>
              <w:jc w:val="left"/>
              <w:rPr>
                <w:rFonts w:cs="Arial"/>
                <w:sz w:val="14"/>
                <w:szCs w:val="14"/>
              </w:rPr>
            </w:pPr>
            <w:r w:rsidRPr="00B93EE1">
              <w:rPr>
                <w:rFonts w:cs="Arial"/>
                <w:sz w:val="14"/>
                <w:szCs w:val="14"/>
              </w:rPr>
              <w:t>Government consumption</w:t>
            </w:r>
          </w:p>
        </w:tc>
        <w:tc>
          <w:tcPr>
            <w:tcW w:w="940" w:type="dxa"/>
            <w:noWrap/>
          </w:tcPr>
          <w:p w14:paraId="27D19AEA" w14:textId="77777777" w:rsidR="00120717" w:rsidRPr="00B93EE1" w:rsidRDefault="00120717" w:rsidP="002562F5">
            <w:pPr>
              <w:ind w:left="113"/>
              <w:jc w:val="right"/>
              <w:rPr>
                <w:rFonts w:cs="Arial"/>
                <w:sz w:val="14"/>
                <w:szCs w:val="14"/>
              </w:rPr>
            </w:pPr>
            <w:r w:rsidRPr="00B93EE1">
              <w:rPr>
                <w:rFonts w:cstheme="minorHAnsi"/>
                <w:color w:val="000000"/>
                <w:sz w:val="14"/>
                <w:szCs w:val="14"/>
              </w:rPr>
              <w:t>2.9</w:t>
            </w:r>
          </w:p>
        </w:tc>
        <w:tc>
          <w:tcPr>
            <w:tcW w:w="941" w:type="dxa"/>
            <w:noWrap/>
          </w:tcPr>
          <w:p w14:paraId="2F30C3F9" w14:textId="77777777" w:rsidR="00120717" w:rsidRPr="00B93EE1" w:rsidRDefault="00120717" w:rsidP="002562F5">
            <w:pPr>
              <w:ind w:left="113"/>
              <w:jc w:val="right"/>
              <w:rPr>
                <w:rFonts w:cs="Arial"/>
                <w:sz w:val="14"/>
                <w:szCs w:val="14"/>
              </w:rPr>
            </w:pPr>
            <w:r w:rsidRPr="00B93EE1">
              <w:rPr>
                <w:rFonts w:cstheme="minorHAnsi"/>
                <w:color w:val="000000"/>
                <w:sz w:val="14"/>
                <w:szCs w:val="14"/>
              </w:rPr>
              <w:t>2.2</w:t>
            </w:r>
          </w:p>
        </w:tc>
        <w:tc>
          <w:tcPr>
            <w:tcW w:w="941" w:type="dxa"/>
            <w:noWrap/>
          </w:tcPr>
          <w:p w14:paraId="7CDAED70"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w:t>
            </w:r>
          </w:p>
        </w:tc>
        <w:tc>
          <w:tcPr>
            <w:tcW w:w="940" w:type="dxa"/>
            <w:noWrap/>
          </w:tcPr>
          <w:p w14:paraId="75D3D48D" w14:textId="77777777" w:rsidR="00120717" w:rsidRPr="00B93EE1" w:rsidRDefault="00120717" w:rsidP="002562F5">
            <w:pPr>
              <w:ind w:left="113"/>
              <w:jc w:val="right"/>
              <w:rPr>
                <w:rFonts w:cs="Arial"/>
                <w:sz w:val="14"/>
                <w:szCs w:val="14"/>
              </w:rPr>
            </w:pPr>
            <w:r w:rsidRPr="00B93EE1">
              <w:rPr>
                <w:rFonts w:cstheme="minorHAnsi"/>
                <w:color w:val="000000"/>
                <w:sz w:val="14"/>
                <w:szCs w:val="14"/>
              </w:rPr>
              <w:t>3.7</w:t>
            </w:r>
          </w:p>
        </w:tc>
        <w:tc>
          <w:tcPr>
            <w:tcW w:w="941" w:type="dxa"/>
            <w:noWrap/>
          </w:tcPr>
          <w:p w14:paraId="5A8E1098" w14:textId="77777777" w:rsidR="00120717" w:rsidRPr="00B93EE1" w:rsidRDefault="00120717" w:rsidP="002562F5">
            <w:pPr>
              <w:ind w:left="113"/>
              <w:jc w:val="right"/>
              <w:rPr>
                <w:rFonts w:cs="Arial"/>
                <w:sz w:val="14"/>
                <w:szCs w:val="14"/>
              </w:rPr>
            </w:pPr>
            <w:r w:rsidRPr="00B93EE1">
              <w:rPr>
                <w:rFonts w:cstheme="minorHAnsi"/>
                <w:color w:val="000000"/>
                <w:sz w:val="14"/>
                <w:szCs w:val="14"/>
              </w:rPr>
              <w:t>3.4</w:t>
            </w:r>
          </w:p>
        </w:tc>
        <w:tc>
          <w:tcPr>
            <w:tcW w:w="941" w:type="dxa"/>
            <w:noWrap/>
          </w:tcPr>
          <w:p w14:paraId="171F7C4D" w14:textId="77777777" w:rsidR="00120717" w:rsidRPr="00B93EE1" w:rsidRDefault="00120717" w:rsidP="002562F5">
            <w:pPr>
              <w:ind w:left="113"/>
              <w:jc w:val="right"/>
              <w:rPr>
                <w:rFonts w:cs="Arial"/>
                <w:sz w:val="14"/>
                <w:szCs w:val="14"/>
              </w:rPr>
            </w:pPr>
            <w:r w:rsidRPr="00B93EE1">
              <w:rPr>
                <w:rFonts w:cstheme="minorHAnsi"/>
                <w:color w:val="000000"/>
                <w:sz w:val="14"/>
                <w:szCs w:val="14"/>
              </w:rPr>
              <w:t>5.4</w:t>
            </w:r>
          </w:p>
        </w:tc>
        <w:tc>
          <w:tcPr>
            <w:tcW w:w="941" w:type="dxa"/>
            <w:noWrap/>
          </w:tcPr>
          <w:p w14:paraId="2DF04AB9" w14:textId="77777777" w:rsidR="00120717" w:rsidRPr="00B93EE1" w:rsidRDefault="00120717" w:rsidP="002562F5">
            <w:pPr>
              <w:ind w:left="113"/>
              <w:jc w:val="right"/>
              <w:rPr>
                <w:rFonts w:cs="Arial"/>
                <w:sz w:val="14"/>
                <w:szCs w:val="14"/>
              </w:rPr>
            </w:pPr>
            <w:r w:rsidRPr="00B93EE1">
              <w:rPr>
                <w:rFonts w:cstheme="minorHAnsi"/>
                <w:color w:val="000000"/>
                <w:sz w:val="14"/>
                <w:szCs w:val="14"/>
              </w:rPr>
              <w:t>7.5</w:t>
            </w:r>
          </w:p>
        </w:tc>
      </w:tr>
      <w:tr w:rsidR="00120717" w:rsidRPr="00B93EE1" w14:paraId="525D8E32"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2C32274F" w14:textId="77777777" w:rsidR="00120717" w:rsidRPr="00B93EE1" w:rsidRDefault="00120717" w:rsidP="009C2A96">
            <w:pPr>
              <w:ind w:left="170"/>
              <w:jc w:val="left"/>
              <w:rPr>
                <w:rFonts w:cs="Arial"/>
                <w:sz w:val="14"/>
                <w:szCs w:val="14"/>
              </w:rPr>
            </w:pPr>
            <w:r w:rsidRPr="00B93EE1">
              <w:rPr>
                <w:rFonts w:cs="Arial"/>
                <w:sz w:val="14"/>
                <w:szCs w:val="14"/>
              </w:rPr>
              <w:t>Gross fixed capital formation</w:t>
            </w:r>
          </w:p>
        </w:tc>
        <w:tc>
          <w:tcPr>
            <w:tcW w:w="940" w:type="dxa"/>
            <w:noWrap/>
          </w:tcPr>
          <w:p w14:paraId="1B1AD672" w14:textId="77777777" w:rsidR="00120717" w:rsidRPr="00B93EE1" w:rsidRDefault="00120717" w:rsidP="002562F5">
            <w:pPr>
              <w:ind w:left="113"/>
              <w:jc w:val="right"/>
              <w:rPr>
                <w:rFonts w:cs="Arial"/>
                <w:sz w:val="14"/>
                <w:szCs w:val="14"/>
              </w:rPr>
            </w:pPr>
            <w:r w:rsidRPr="00B93EE1">
              <w:rPr>
                <w:rFonts w:cstheme="minorHAnsi"/>
                <w:color w:val="000000"/>
                <w:sz w:val="14"/>
                <w:szCs w:val="14"/>
              </w:rPr>
              <w:t>8.1</w:t>
            </w:r>
          </w:p>
        </w:tc>
        <w:tc>
          <w:tcPr>
            <w:tcW w:w="941" w:type="dxa"/>
            <w:noWrap/>
          </w:tcPr>
          <w:p w14:paraId="6FA19799" w14:textId="77777777" w:rsidR="00120717" w:rsidRPr="00B93EE1" w:rsidRDefault="00120717" w:rsidP="002562F5">
            <w:pPr>
              <w:ind w:left="113"/>
              <w:jc w:val="right"/>
              <w:rPr>
                <w:rFonts w:cs="Arial"/>
                <w:sz w:val="14"/>
                <w:szCs w:val="14"/>
              </w:rPr>
            </w:pPr>
            <w:r w:rsidRPr="00B93EE1">
              <w:rPr>
                <w:rFonts w:cstheme="minorHAnsi"/>
                <w:color w:val="000000"/>
                <w:sz w:val="14"/>
                <w:szCs w:val="14"/>
              </w:rPr>
              <w:t>3.6</w:t>
            </w:r>
          </w:p>
        </w:tc>
        <w:tc>
          <w:tcPr>
            <w:tcW w:w="941" w:type="dxa"/>
            <w:noWrap/>
          </w:tcPr>
          <w:p w14:paraId="2541ADAA" w14:textId="77777777" w:rsidR="00120717" w:rsidRPr="00B93EE1" w:rsidRDefault="00120717" w:rsidP="002562F5">
            <w:pPr>
              <w:ind w:left="113"/>
              <w:jc w:val="right"/>
              <w:rPr>
                <w:rFonts w:cs="Arial"/>
                <w:sz w:val="14"/>
                <w:szCs w:val="14"/>
              </w:rPr>
            </w:pPr>
            <w:r w:rsidRPr="00B93EE1">
              <w:rPr>
                <w:rFonts w:cstheme="minorHAnsi"/>
                <w:color w:val="000000"/>
                <w:sz w:val="14"/>
                <w:szCs w:val="14"/>
              </w:rPr>
              <w:t>2.2</w:t>
            </w:r>
          </w:p>
        </w:tc>
        <w:tc>
          <w:tcPr>
            <w:tcW w:w="940" w:type="dxa"/>
            <w:noWrap/>
          </w:tcPr>
          <w:p w14:paraId="63B00795" w14:textId="77777777" w:rsidR="00120717" w:rsidRPr="00B93EE1" w:rsidRDefault="00120717" w:rsidP="002562F5">
            <w:pPr>
              <w:ind w:left="113"/>
              <w:jc w:val="right"/>
              <w:rPr>
                <w:rFonts w:cs="Arial"/>
                <w:sz w:val="14"/>
                <w:szCs w:val="14"/>
              </w:rPr>
            </w:pPr>
            <w:r w:rsidRPr="00B93EE1">
              <w:rPr>
                <w:rFonts w:cstheme="minorHAnsi"/>
                <w:color w:val="000000"/>
                <w:sz w:val="14"/>
                <w:szCs w:val="14"/>
              </w:rPr>
              <w:t>6.9</w:t>
            </w:r>
          </w:p>
        </w:tc>
        <w:tc>
          <w:tcPr>
            <w:tcW w:w="941" w:type="dxa"/>
            <w:noWrap/>
          </w:tcPr>
          <w:p w14:paraId="731FBB23" w14:textId="77777777" w:rsidR="00120717" w:rsidRPr="00B93EE1" w:rsidRDefault="00120717" w:rsidP="002562F5">
            <w:pPr>
              <w:ind w:left="113"/>
              <w:jc w:val="right"/>
              <w:rPr>
                <w:rFonts w:cs="Arial"/>
                <w:sz w:val="14"/>
                <w:szCs w:val="14"/>
              </w:rPr>
            </w:pPr>
            <w:r w:rsidRPr="00B93EE1">
              <w:rPr>
                <w:rFonts w:cstheme="minorHAnsi"/>
                <w:color w:val="000000"/>
                <w:sz w:val="14"/>
                <w:szCs w:val="14"/>
              </w:rPr>
              <w:t>5.2</w:t>
            </w:r>
          </w:p>
        </w:tc>
        <w:tc>
          <w:tcPr>
            <w:tcW w:w="941" w:type="dxa"/>
            <w:noWrap/>
          </w:tcPr>
          <w:p w14:paraId="235B3004" w14:textId="77777777" w:rsidR="00120717" w:rsidRPr="00B93EE1" w:rsidRDefault="00120717" w:rsidP="002562F5">
            <w:pPr>
              <w:ind w:left="113"/>
              <w:jc w:val="right"/>
              <w:rPr>
                <w:rFonts w:cs="Arial"/>
                <w:sz w:val="14"/>
                <w:szCs w:val="14"/>
              </w:rPr>
            </w:pPr>
            <w:r w:rsidRPr="00B93EE1">
              <w:rPr>
                <w:rFonts w:cstheme="minorHAnsi"/>
                <w:color w:val="000000"/>
                <w:sz w:val="14"/>
                <w:szCs w:val="14"/>
              </w:rPr>
              <w:t>2.6</w:t>
            </w:r>
          </w:p>
        </w:tc>
        <w:tc>
          <w:tcPr>
            <w:tcW w:w="941" w:type="dxa"/>
            <w:noWrap/>
          </w:tcPr>
          <w:p w14:paraId="7C4DDE7E" w14:textId="77777777" w:rsidR="00120717" w:rsidRPr="00B93EE1" w:rsidRDefault="00120717" w:rsidP="002562F5">
            <w:pPr>
              <w:ind w:left="113"/>
              <w:jc w:val="right"/>
              <w:rPr>
                <w:rFonts w:cs="Arial"/>
                <w:sz w:val="14"/>
                <w:szCs w:val="14"/>
              </w:rPr>
            </w:pPr>
            <w:r w:rsidRPr="00B93EE1">
              <w:rPr>
                <w:rFonts w:cstheme="minorHAnsi"/>
                <w:color w:val="000000"/>
                <w:sz w:val="14"/>
                <w:szCs w:val="14"/>
              </w:rPr>
              <w:t>-4.8</w:t>
            </w:r>
          </w:p>
        </w:tc>
      </w:tr>
      <w:tr w:rsidR="00120717" w:rsidRPr="00B93EE1" w14:paraId="3CC140CD" w14:textId="77777777" w:rsidTr="009C2A96">
        <w:tc>
          <w:tcPr>
            <w:tcW w:w="2431" w:type="dxa"/>
            <w:noWrap/>
            <w:hideMark/>
          </w:tcPr>
          <w:p w14:paraId="6A24E8E8" w14:textId="77777777" w:rsidR="00120717" w:rsidRPr="00B93EE1" w:rsidRDefault="00120717" w:rsidP="009C2A96">
            <w:pPr>
              <w:ind w:left="170"/>
              <w:jc w:val="left"/>
              <w:rPr>
                <w:rFonts w:cs="Arial"/>
                <w:sz w:val="14"/>
                <w:szCs w:val="14"/>
              </w:rPr>
            </w:pPr>
            <w:r w:rsidRPr="00B93EE1">
              <w:rPr>
                <w:rFonts w:cs="Arial"/>
                <w:sz w:val="14"/>
                <w:szCs w:val="14"/>
              </w:rPr>
              <w:t>Exports of goods and services</w:t>
            </w:r>
          </w:p>
        </w:tc>
        <w:tc>
          <w:tcPr>
            <w:tcW w:w="940" w:type="dxa"/>
            <w:noWrap/>
          </w:tcPr>
          <w:p w14:paraId="2507F6D5" w14:textId="77777777" w:rsidR="00120717" w:rsidRPr="00B93EE1" w:rsidRDefault="00120717" w:rsidP="002562F5">
            <w:pPr>
              <w:ind w:left="113"/>
              <w:jc w:val="right"/>
              <w:rPr>
                <w:rFonts w:cs="Arial"/>
                <w:sz w:val="14"/>
                <w:szCs w:val="14"/>
              </w:rPr>
            </w:pPr>
            <w:r w:rsidRPr="00B93EE1">
              <w:rPr>
                <w:rFonts w:cstheme="minorHAnsi"/>
                <w:color w:val="000000"/>
                <w:sz w:val="14"/>
                <w:szCs w:val="14"/>
              </w:rPr>
              <w:t>4.8</w:t>
            </w:r>
          </w:p>
        </w:tc>
        <w:tc>
          <w:tcPr>
            <w:tcW w:w="941" w:type="dxa"/>
            <w:noWrap/>
          </w:tcPr>
          <w:p w14:paraId="3D950818" w14:textId="77777777" w:rsidR="00120717" w:rsidRPr="00B93EE1" w:rsidRDefault="00120717" w:rsidP="002562F5">
            <w:pPr>
              <w:ind w:left="113"/>
              <w:jc w:val="right"/>
              <w:rPr>
                <w:rFonts w:cs="Arial"/>
                <w:sz w:val="14"/>
                <w:szCs w:val="14"/>
              </w:rPr>
            </w:pPr>
            <w:r w:rsidRPr="00B93EE1">
              <w:rPr>
                <w:rFonts w:cstheme="minorHAnsi"/>
                <w:color w:val="000000"/>
                <w:sz w:val="14"/>
                <w:szCs w:val="14"/>
              </w:rPr>
              <w:t>6.5</w:t>
            </w:r>
          </w:p>
        </w:tc>
        <w:tc>
          <w:tcPr>
            <w:tcW w:w="941" w:type="dxa"/>
            <w:noWrap/>
          </w:tcPr>
          <w:p w14:paraId="19645BD6"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w:t>
            </w:r>
          </w:p>
        </w:tc>
        <w:tc>
          <w:tcPr>
            <w:tcW w:w="940" w:type="dxa"/>
            <w:noWrap/>
          </w:tcPr>
          <w:p w14:paraId="3A23CF6C" w14:textId="77777777" w:rsidR="00120717" w:rsidRPr="00B93EE1" w:rsidRDefault="00120717" w:rsidP="002562F5">
            <w:pPr>
              <w:ind w:left="113"/>
              <w:jc w:val="right"/>
              <w:rPr>
                <w:rFonts w:cs="Arial"/>
                <w:sz w:val="14"/>
                <w:szCs w:val="14"/>
              </w:rPr>
            </w:pPr>
            <w:r w:rsidRPr="00B93EE1">
              <w:rPr>
                <w:rFonts w:cstheme="minorHAnsi"/>
                <w:color w:val="000000"/>
                <w:sz w:val="14"/>
                <w:szCs w:val="14"/>
              </w:rPr>
              <w:t>3.8</w:t>
            </w:r>
          </w:p>
        </w:tc>
        <w:tc>
          <w:tcPr>
            <w:tcW w:w="941" w:type="dxa"/>
            <w:noWrap/>
          </w:tcPr>
          <w:p w14:paraId="0AD9424C" w14:textId="77777777" w:rsidR="00120717" w:rsidRPr="00B93EE1" w:rsidRDefault="00120717" w:rsidP="002562F5">
            <w:pPr>
              <w:ind w:left="113"/>
              <w:jc w:val="right"/>
              <w:rPr>
                <w:rFonts w:cs="Arial"/>
                <w:sz w:val="14"/>
                <w:szCs w:val="14"/>
              </w:rPr>
            </w:pPr>
            <w:r w:rsidRPr="00B93EE1">
              <w:rPr>
                <w:rFonts w:cstheme="minorHAnsi"/>
                <w:color w:val="000000"/>
                <w:sz w:val="14"/>
                <w:szCs w:val="14"/>
              </w:rPr>
              <w:t>3.5</w:t>
            </w:r>
          </w:p>
        </w:tc>
        <w:tc>
          <w:tcPr>
            <w:tcW w:w="941" w:type="dxa"/>
            <w:noWrap/>
          </w:tcPr>
          <w:p w14:paraId="4BD10BD7" w14:textId="77777777" w:rsidR="00120717" w:rsidRPr="00B93EE1" w:rsidRDefault="00120717" w:rsidP="002562F5">
            <w:pPr>
              <w:ind w:left="113"/>
              <w:jc w:val="right"/>
              <w:rPr>
                <w:rFonts w:cs="Arial"/>
                <w:sz w:val="14"/>
                <w:szCs w:val="14"/>
              </w:rPr>
            </w:pPr>
            <w:r w:rsidRPr="00B93EE1">
              <w:rPr>
                <w:rFonts w:cstheme="minorHAnsi"/>
                <w:color w:val="000000"/>
                <w:sz w:val="14"/>
                <w:szCs w:val="14"/>
              </w:rPr>
              <w:t>0.3</w:t>
            </w:r>
          </w:p>
        </w:tc>
        <w:tc>
          <w:tcPr>
            <w:tcW w:w="941" w:type="dxa"/>
            <w:noWrap/>
          </w:tcPr>
          <w:p w14:paraId="2DC013B8" w14:textId="77777777" w:rsidR="00120717" w:rsidRPr="00B93EE1" w:rsidRDefault="00120717" w:rsidP="002562F5">
            <w:pPr>
              <w:ind w:left="113"/>
              <w:jc w:val="right"/>
              <w:rPr>
                <w:rFonts w:cs="Arial"/>
                <w:sz w:val="14"/>
                <w:szCs w:val="14"/>
              </w:rPr>
            </w:pPr>
            <w:r w:rsidRPr="00B93EE1">
              <w:rPr>
                <w:rFonts w:cstheme="minorHAnsi"/>
                <w:color w:val="000000"/>
                <w:sz w:val="14"/>
                <w:szCs w:val="14"/>
              </w:rPr>
              <w:t>-17.8</w:t>
            </w:r>
          </w:p>
        </w:tc>
      </w:tr>
      <w:tr w:rsidR="00120717" w:rsidRPr="00B93EE1" w14:paraId="2F3F8890"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5CDFD2D6" w14:textId="77777777" w:rsidR="00120717" w:rsidRPr="00B93EE1" w:rsidRDefault="00120717" w:rsidP="009C2A96">
            <w:pPr>
              <w:ind w:left="170"/>
              <w:jc w:val="left"/>
              <w:rPr>
                <w:rFonts w:cs="Arial"/>
                <w:sz w:val="14"/>
                <w:szCs w:val="14"/>
              </w:rPr>
            </w:pPr>
            <w:r w:rsidRPr="00B93EE1">
              <w:rPr>
                <w:rFonts w:cs="Arial"/>
                <w:sz w:val="14"/>
                <w:szCs w:val="14"/>
              </w:rPr>
              <w:t>Imports of goods and services</w:t>
            </w:r>
          </w:p>
        </w:tc>
        <w:tc>
          <w:tcPr>
            <w:tcW w:w="940" w:type="dxa"/>
            <w:noWrap/>
          </w:tcPr>
          <w:p w14:paraId="11A837D5" w14:textId="77777777" w:rsidR="00120717" w:rsidRPr="00B93EE1" w:rsidRDefault="00120717" w:rsidP="002562F5">
            <w:pPr>
              <w:ind w:left="113"/>
              <w:jc w:val="right"/>
              <w:rPr>
                <w:rFonts w:cs="Arial"/>
                <w:sz w:val="14"/>
                <w:szCs w:val="14"/>
              </w:rPr>
            </w:pPr>
            <w:r w:rsidRPr="00B93EE1">
              <w:rPr>
                <w:rFonts w:cstheme="minorHAnsi"/>
                <w:color w:val="000000"/>
                <w:sz w:val="14"/>
                <w:szCs w:val="14"/>
              </w:rPr>
              <w:t>7.7</w:t>
            </w:r>
          </w:p>
        </w:tc>
        <w:tc>
          <w:tcPr>
            <w:tcW w:w="941" w:type="dxa"/>
            <w:noWrap/>
          </w:tcPr>
          <w:p w14:paraId="7D72A2EB" w14:textId="77777777" w:rsidR="00120717" w:rsidRPr="00B93EE1" w:rsidRDefault="00120717" w:rsidP="002562F5">
            <w:pPr>
              <w:ind w:left="113"/>
              <w:jc w:val="right"/>
              <w:rPr>
                <w:rFonts w:cs="Arial"/>
                <w:sz w:val="14"/>
                <w:szCs w:val="14"/>
              </w:rPr>
            </w:pPr>
            <w:r w:rsidRPr="00B93EE1">
              <w:rPr>
                <w:rFonts w:cstheme="minorHAnsi"/>
                <w:color w:val="000000"/>
                <w:sz w:val="14"/>
                <w:szCs w:val="14"/>
              </w:rPr>
              <w:t>2.6</w:t>
            </w:r>
          </w:p>
        </w:tc>
        <w:tc>
          <w:tcPr>
            <w:tcW w:w="941" w:type="dxa"/>
            <w:noWrap/>
          </w:tcPr>
          <w:p w14:paraId="31E10895" w14:textId="77777777" w:rsidR="00120717" w:rsidRPr="00B93EE1" w:rsidRDefault="00120717" w:rsidP="002562F5">
            <w:pPr>
              <w:ind w:left="113"/>
              <w:jc w:val="right"/>
              <w:rPr>
                <w:rFonts w:cs="Arial"/>
                <w:sz w:val="14"/>
                <w:szCs w:val="14"/>
              </w:rPr>
            </w:pPr>
            <w:r w:rsidRPr="00B93EE1">
              <w:rPr>
                <w:rFonts w:cstheme="minorHAnsi"/>
                <w:color w:val="000000"/>
                <w:sz w:val="14"/>
                <w:szCs w:val="14"/>
              </w:rPr>
              <w:t>5.6</w:t>
            </w:r>
          </w:p>
        </w:tc>
        <w:tc>
          <w:tcPr>
            <w:tcW w:w="940" w:type="dxa"/>
            <w:noWrap/>
          </w:tcPr>
          <w:p w14:paraId="211315AC" w14:textId="77777777" w:rsidR="00120717" w:rsidRPr="00B93EE1" w:rsidRDefault="00120717" w:rsidP="002562F5">
            <w:pPr>
              <w:ind w:left="113"/>
              <w:jc w:val="right"/>
              <w:rPr>
                <w:rFonts w:cs="Arial"/>
                <w:sz w:val="14"/>
                <w:szCs w:val="14"/>
              </w:rPr>
            </w:pPr>
            <w:r w:rsidRPr="00B93EE1">
              <w:rPr>
                <w:rFonts w:cstheme="minorHAnsi"/>
                <w:color w:val="000000"/>
                <w:sz w:val="14"/>
                <w:szCs w:val="14"/>
              </w:rPr>
              <w:t>7.8</w:t>
            </w:r>
          </w:p>
        </w:tc>
        <w:tc>
          <w:tcPr>
            <w:tcW w:w="941" w:type="dxa"/>
            <w:noWrap/>
          </w:tcPr>
          <w:p w14:paraId="74331D48" w14:textId="77777777" w:rsidR="00120717" w:rsidRPr="00B93EE1" w:rsidRDefault="00120717" w:rsidP="002562F5">
            <w:pPr>
              <w:ind w:left="113"/>
              <w:jc w:val="right"/>
              <w:rPr>
                <w:rFonts w:cs="Arial"/>
                <w:sz w:val="14"/>
                <w:szCs w:val="14"/>
              </w:rPr>
            </w:pPr>
            <w:r w:rsidRPr="00B93EE1">
              <w:rPr>
                <w:rFonts w:cstheme="minorHAnsi"/>
                <w:color w:val="000000"/>
                <w:sz w:val="14"/>
                <w:szCs w:val="14"/>
              </w:rPr>
              <w:t>4.3</w:t>
            </w:r>
          </w:p>
        </w:tc>
        <w:tc>
          <w:tcPr>
            <w:tcW w:w="941" w:type="dxa"/>
            <w:noWrap/>
          </w:tcPr>
          <w:p w14:paraId="67F73D07" w14:textId="77777777" w:rsidR="00120717" w:rsidRPr="00B93EE1" w:rsidRDefault="00120717" w:rsidP="002562F5">
            <w:pPr>
              <w:ind w:left="113"/>
              <w:jc w:val="right"/>
              <w:rPr>
                <w:rFonts w:cs="Arial"/>
                <w:sz w:val="14"/>
                <w:szCs w:val="14"/>
              </w:rPr>
            </w:pPr>
            <w:r w:rsidRPr="00B93EE1">
              <w:rPr>
                <w:rFonts w:cstheme="minorHAnsi"/>
                <w:color w:val="000000"/>
                <w:sz w:val="14"/>
                <w:szCs w:val="14"/>
              </w:rPr>
              <w:t>1.1</w:t>
            </w:r>
          </w:p>
        </w:tc>
        <w:tc>
          <w:tcPr>
            <w:tcW w:w="941" w:type="dxa"/>
            <w:noWrap/>
          </w:tcPr>
          <w:p w14:paraId="12ED28B6" w14:textId="77777777" w:rsidR="00120717" w:rsidRPr="00B93EE1" w:rsidRDefault="00120717" w:rsidP="002562F5">
            <w:pPr>
              <w:ind w:left="113"/>
              <w:jc w:val="right"/>
              <w:rPr>
                <w:rFonts w:cs="Arial"/>
                <w:sz w:val="14"/>
                <w:szCs w:val="14"/>
              </w:rPr>
            </w:pPr>
            <w:r w:rsidRPr="00B93EE1">
              <w:rPr>
                <w:rFonts w:cstheme="minorHAnsi"/>
                <w:color w:val="000000"/>
                <w:sz w:val="14"/>
                <w:szCs w:val="14"/>
              </w:rPr>
              <w:t>-16.1</w:t>
            </w:r>
          </w:p>
        </w:tc>
      </w:tr>
      <w:tr w:rsidR="00120717" w:rsidRPr="00B93EE1" w14:paraId="0BF8525C" w14:textId="77777777" w:rsidTr="009C2A96">
        <w:tc>
          <w:tcPr>
            <w:tcW w:w="2431" w:type="dxa"/>
            <w:noWrap/>
            <w:hideMark/>
          </w:tcPr>
          <w:p w14:paraId="3366C9DD" w14:textId="77777777" w:rsidR="00120717" w:rsidRPr="00B93EE1" w:rsidRDefault="00120717" w:rsidP="009C2A96">
            <w:pPr>
              <w:ind w:left="397"/>
              <w:jc w:val="left"/>
              <w:rPr>
                <w:rFonts w:cs="Arial"/>
                <w:sz w:val="14"/>
                <w:szCs w:val="14"/>
              </w:rPr>
            </w:pPr>
            <w:proofErr w:type="spellStart"/>
            <w:r w:rsidRPr="00B93EE1">
              <w:rPr>
                <w:rFonts w:cs="Arial"/>
                <w:sz w:val="14"/>
                <w:szCs w:val="14"/>
              </w:rPr>
              <w:t>XGS</w:t>
            </w:r>
            <w:proofErr w:type="spellEnd"/>
            <w:r w:rsidRPr="00B93EE1">
              <w:rPr>
                <w:rFonts w:cs="Arial"/>
                <w:sz w:val="14"/>
                <w:szCs w:val="14"/>
              </w:rPr>
              <w:t>/GDP (%) (at current market price)</w:t>
            </w:r>
          </w:p>
        </w:tc>
        <w:tc>
          <w:tcPr>
            <w:tcW w:w="940" w:type="dxa"/>
            <w:noWrap/>
          </w:tcPr>
          <w:p w14:paraId="095AFD0E" w14:textId="77777777" w:rsidR="00120717" w:rsidRPr="00B93EE1" w:rsidRDefault="00120717" w:rsidP="002562F5">
            <w:pPr>
              <w:ind w:left="113"/>
              <w:jc w:val="right"/>
              <w:rPr>
                <w:rFonts w:cs="Arial"/>
                <w:sz w:val="14"/>
                <w:szCs w:val="14"/>
              </w:rPr>
            </w:pPr>
            <w:r w:rsidRPr="00B93EE1">
              <w:rPr>
                <w:rFonts w:cstheme="minorHAnsi"/>
                <w:color w:val="000000"/>
                <w:sz w:val="14"/>
                <w:szCs w:val="14"/>
              </w:rPr>
              <w:t>28.0</w:t>
            </w:r>
          </w:p>
        </w:tc>
        <w:tc>
          <w:tcPr>
            <w:tcW w:w="941" w:type="dxa"/>
            <w:noWrap/>
          </w:tcPr>
          <w:p w14:paraId="02AAA66E" w14:textId="77777777" w:rsidR="00120717" w:rsidRPr="00B93EE1" w:rsidRDefault="00120717" w:rsidP="002562F5">
            <w:pPr>
              <w:ind w:left="113"/>
              <w:jc w:val="right"/>
              <w:rPr>
                <w:rFonts w:cs="Arial"/>
                <w:sz w:val="14"/>
                <w:szCs w:val="14"/>
              </w:rPr>
            </w:pPr>
            <w:r w:rsidRPr="00B93EE1">
              <w:rPr>
                <w:rFonts w:cstheme="minorHAnsi"/>
                <w:color w:val="000000"/>
                <w:sz w:val="14"/>
                <w:szCs w:val="14"/>
              </w:rPr>
              <w:t>27.9</w:t>
            </w:r>
          </w:p>
        </w:tc>
        <w:tc>
          <w:tcPr>
            <w:tcW w:w="941" w:type="dxa"/>
            <w:noWrap/>
          </w:tcPr>
          <w:p w14:paraId="67BF811B" w14:textId="77777777" w:rsidR="00120717" w:rsidRPr="00B93EE1" w:rsidRDefault="00120717" w:rsidP="002562F5">
            <w:pPr>
              <w:ind w:left="113"/>
              <w:jc w:val="right"/>
              <w:rPr>
                <w:rFonts w:cs="Arial"/>
                <w:sz w:val="14"/>
                <w:szCs w:val="14"/>
              </w:rPr>
            </w:pPr>
            <w:r w:rsidRPr="00B93EE1">
              <w:rPr>
                <w:rFonts w:cstheme="minorHAnsi"/>
                <w:color w:val="000000"/>
                <w:sz w:val="14"/>
                <w:szCs w:val="14"/>
              </w:rPr>
              <w:t>26.6</w:t>
            </w:r>
          </w:p>
        </w:tc>
        <w:tc>
          <w:tcPr>
            <w:tcW w:w="940" w:type="dxa"/>
            <w:noWrap/>
          </w:tcPr>
          <w:p w14:paraId="38C8DD07" w14:textId="77777777" w:rsidR="00120717" w:rsidRPr="00B93EE1" w:rsidRDefault="00120717" w:rsidP="002562F5">
            <w:pPr>
              <w:ind w:left="113"/>
              <w:jc w:val="right"/>
              <w:rPr>
                <w:rFonts w:cs="Arial"/>
                <w:sz w:val="14"/>
                <w:szCs w:val="14"/>
              </w:rPr>
            </w:pPr>
            <w:r w:rsidRPr="00B93EE1">
              <w:rPr>
                <w:rFonts w:cstheme="minorHAnsi"/>
                <w:color w:val="000000"/>
                <w:sz w:val="14"/>
                <w:szCs w:val="14"/>
              </w:rPr>
              <w:t>27.6</w:t>
            </w:r>
          </w:p>
        </w:tc>
        <w:tc>
          <w:tcPr>
            <w:tcW w:w="941" w:type="dxa"/>
            <w:noWrap/>
          </w:tcPr>
          <w:p w14:paraId="0CD41576" w14:textId="77777777" w:rsidR="00120717" w:rsidRPr="00B93EE1" w:rsidRDefault="00120717" w:rsidP="002562F5">
            <w:pPr>
              <w:ind w:left="113"/>
              <w:jc w:val="right"/>
              <w:rPr>
                <w:rFonts w:cs="Arial"/>
                <w:sz w:val="14"/>
                <w:szCs w:val="14"/>
              </w:rPr>
            </w:pPr>
            <w:r w:rsidRPr="00B93EE1">
              <w:rPr>
                <w:rFonts w:cstheme="minorHAnsi"/>
                <w:color w:val="000000"/>
                <w:sz w:val="14"/>
                <w:szCs w:val="14"/>
              </w:rPr>
              <w:t>27.9</w:t>
            </w:r>
          </w:p>
        </w:tc>
        <w:tc>
          <w:tcPr>
            <w:tcW w:w="941" w:type="dxa"/>
            <w:noWrap/>
          </w:tcPr>
          <w:p w14:paraId="3F480105" w14:textId="77777777" w:rsidR="00120717" w:rsidRPr="00B93EE1" w:rsidRDefault="00120717" w:rsidP="002562F5">
            <w:pPr>
              <w:ind w:left="113"/>
              <w:jc w:val="right"/>
              <w:rPr>
                <w:rFonts w:cs="Arial"/>
                <w:sz w:val="14"/>
                <w:szCs w:val="14"/>
              </w:rPr>
            </w:pPr>
            <w:r w:rsidRPr="00B93EE1">
              <w:rPr>
                <w:rFonts w:cstheme="minorHAnsi"/>
                <w:color w:val="000000"/>
                <w:sz w:val="14"/>
                <w:szCs w:val="14"/>
              </w:rPr>
              <w:t>27.3</w:t>
            </w:r>
          </w:p>
        </w:tc>
        <w:tc>
          <w:tcPr>
            <w:tcW w:w="941" w:type="dxa"/>
            <w:noWrap/>
          </w:tcPr>
          <w:p w14:paraId="485BFCA6" w14:textId="77777777" w:rsidR="00120717" w:rsidRPr="00B93EE1" w:rsidRDefault="00120717" w:rsidP="002562F5">
            <w:pPr>
              <w:ind w:left="113"/>
              <w:jc w:val="right"/>
              <w:rPr>
                <w:rFonts w:cs="Arial"/>
                <w:sz w:val="14"/>
                <w:szCs w:val="14"/>
              </w:rPr>
            </w:pPr>
            <w:r w:rsidRPr="00B93EE1">
              <w:rPr>
                <w:rFonts w:cstheme="minorHAnsi"/>
                <w:color w:val="000000"/>
                <w:sz w:val="14"/>
                <w:szCs w:val="14"/>
              </w:rPr>
              <w:t>21.9</w:t>
            </w:r>
          </w:p>
        </w:tc>
      </w:tr>
      <w:tr w:rsidR="00120717" w:rsidRPr="00B93EE1" w14:paraId="2148BE3C"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507C5608" w14:textId="77777777" w:rsidR="00120717" w:rsidRPr="00B93EE1" w:rsidRDefault="00120717" w:rsidP="009C2A96">
            <w:pPr>
              <w:ind w:left="397"/>
              <w:jc w:val="left"/>
              <w:rPr>
                <w:rFonts w:cs="Arial"/>
                <w:sz w:val="14"/>
                <w:szCs w:val="14"/>
              </w:rPr>
            </w:pPr>
            <w:r w:rsidRPr="00B93EE1">
              <w:rPr>
                <w:rFonts w:cs="Arial"/>
                <w:sz w:val="14"/>
                <w:szCs w:val="14"/>
              </w:rPr>
              <w:t>MGS/GDP (%) (at current market price)</w:t>
            </w:r>
          </w:p>
        </w:tc>
        <w:tc>
          <w:tcPr>
            <w:tcW w:w="940" w:type="dxa"/>
            <w:noWrap/>
          </w:tcPr>
          <w:p w14:paraId="4CFD5D1A" w14:textId="77777777" w:rsidR="00120717" w:rsidRPr="00B93EE1" w:rsidRDefault="00120717" w:rsidP="002562F5">
            <w:pPr>
              <w:ind w:left="113"/>
              <w:jc w:val="right"/>
              <w:rPr>
                <w:rFonts w:cs="Arial"/>
                <w:sz w:val="14"/>
                <w:szCs w:val="14"/>
              </w:rPr>
            </w:pPr>
            <w:r w:rsidRPr="00B93EE1">
              <w:rPr>
                <w:rFonts w:cstheme="minorHAnsi"/>
                <w:color w:val="000000"/>
                <w:sz w:val="14"/>
                <w:szCs w:val="14"/>
              </w:rPr>
              <w:t>27.2</w:t>
            </w:r>
          </w:p>
        </w:tc>
        <w:tc>
          <w:tcPr>
            <w:tcW w:w="941" w:type="dxa"/>
            <w:noWrap/>
          </w:tcPr>
          <w:p w14:paraId="2EE99360" w14:textId="77777777" w:rsidR="00120717" w:rsidRPr="00B93EE1" w:rsidRDefault="00120717" w:rsidP="002562F5">
            <w:pPr>
              <w:ind w:left="113"/>
              <w:jc w:val="right"/>
              <w:rPr>
                <w:rFonts w:cs="Arial"/>
                <w:sz w:val="14"/>
                <w:szCs w:val="14"/>
              </w:rPr>
            </w:pPr>
            <w:r w:rsidRPr="00B93EE1">
              <w:rPr>
                <w:rFonts w:cstheme="minorHAnsi"/>
                <w:color w:val="000000"/>
                <w:sz w:val="14"/>
                <w:szCs w:val="14"/>
              </w:rPr>
              <w:t>27.0</w:t>
            </w:r>
          </w:p>
        </w:tc>
        <w:tc>
          <w:tcPr>
            <w:tcW w:w="941" w:type="dxa"/>
            <w:noWrap/>
          </w:tcPr>
          <w:p w14:paraId="51C7970D" w14:textId="77777777" w:rsidR="00120717" w:rsidRPr="00B93EE1" w:rsidRDefault="00120717" w:rsidP="002562F5">
            <w:pPr>
              <w:ind w:left="113"/>
              <w:jc w:val="right"/>
              <w:rPr>
                <w:rFonts w:cs="Arial"/>
                <w:sz w:val="14"/>
                <w:szCs w:val="14"/>
              </w:rPr>
            </w:pPr>
            <w:r w:rsidRPr="00B93EE1">
              <w:rPr>
                <w:rFonts w:cstheme="minorHAnsi"/>
                <w:color w:val="000000"/>
                <w:sz w:val="14"/>
                <w:szCs w:val="14"/>
              </w:rPr>
              <w:t>25.9</w:t>
            </w:r>
          </w:p>
        </w:tc>
        <w:tc>
          <w:tcPr>
            <w:tcW w:w="940" w:type="dxa"/>
            <w:noWrap/>
          </w:tcPr>
          <w:p w14:paraId="70FAAB01" w14:textId="77777777" w:rsidR="00120717" w:rsidRPr="00B93EE1" w:rsidRDefault="00120717" w:rsidP="002562F5">
            <w:pPr>
              <w:ind w:left="113"/>
              <w:jc w:val="right"/>
              <w:rPr>
                <w:rFonts w:cs="Arial"/>
                <w:sz w:val="14"/>
                <w:szCs w:val="14"/>
              </w:rPr>
            </w:pPr>
            <w:r w:rsidRPr="00B93EE1">
              <w:rPr>
                <w:rFonts w:cstheme="minorHAnsi"/>
                <w:color w:val="000000"/>
                <w:sz w:val="14"/>
                <w:szCs w:val="14"/>
              </w:rPr>
              <w:t>26.6</w:t>
            </w:r>
          </w:p>
        </w:tc>
        <w:tc>
          <w:tcPr>
            <w:tcW w:w="941" w:type="dxa"/>
            <w:noWrap/>
          </w:tcPr>
          <w:p w14:paraId="5B7F4B09" w14:textId="77777777" w:rsidR="00120717" w:rsidRPr="00B93EE1" w:rsidRDefault="00120717" w:rsidP="002562F5">
            <w:pPr>
              <w:ind w:left="113"/>
              <w:jc w:val="right"/>
              <w:rPr>
                <w:rFonts w:cs="Arial"/>
                <w:sz w:val="14"/>
                <w:szCs w:val="14"/>
              </w:rPr>
            </w:pPr>
            <w:r w:rsidRPr="00B93EE1">
              <w:rPr>
                <w:rFonts w:cstheme="minorHAnsi"/>
                <w:color w:val="000000"/>
                <w:sz w:val="14"/>
                <w:szCs w:val="14"/>
              </w:rPr>
              <w:t>27.9</w:t>
            </w:r>
          </w:p>
        </w:tc>
        <w:tc>
          <w:tcPr>
            <w:tcW w:w="941" w:type="dxa"/>
            <w:noWrap/>
          </w:tcPr>
          <w:p w14:paraId="3D6E73E8" w14:textId="77777777" w:rsidR="00120717" w:rsidRPr="00B93EE1" w:rsidRDefault="00120717" w:rsidP="002562F5">
            <w:pPr>
              <w:ind w:left="113"/>
              <w:jc w:val="right"/>
              <w:rPr>
                <w:rFonts w:cs="Arial"/>
                <w:sz w:val="14"/>
                <w:szCs w:val="14"/>
              </w:rPr>
            </w:pPr>
            <w:r w:rsidRPr="00B93EE1">
              <w:rPr>
                <w:rFonts w:cstheme="minorHAnsi"/>
                <w:color w:val="000000"/>
                <w:sz w:val="14"/>
                <w:szCs w:val="14"/>
              </w:rPr>
              <w:t>27.0</w:t>
            </w:r>
          </w:p>
        </w:tc>
        <w:tc>
          <w:tcPr>
            <w:tcW w:w="941" w:type="dxa"/>
            <w:noWrap/>
          </w:tcPr>
          <w:p w14:paraId="51616ABD" w14:textId="77777777" w:rsidR="00120717" w:rsidRPr="00B93EE1" w:rsidRDefault="00120717" w:rsidP="002562F5">
            <w:pPr>
              <w:ind w:left="113"/>
              <w:jc w:val="right"/>
              <w:rPr>
                <w:rFonts w:cs="Arial"/>
                <w:sz w:val="14"/>
                <w:szCs w:val="14"/>
              </w:rPr>
            </w:pPr>
            <w:r w:rsidRPr="00B93EE1">
              <w:rPr>
                <w:rFonts w:cstheme="minorHAnsi"/>
                <w:color w:val="000000"/>
                <w:sz w:val="14"/>
                <w:szCs w:val="14"/>
              </w:rPr>
              <w:t>22.3</w:t>
            </w:r>
          </w:p>
        </w:tc>
      </w:tr>
      <w:tr w:rsidR="00120717" w:rsidRPr="00B93EE1" w14:paraId="5B1A052A" w14:textId="77777777" w:rsidTr="009C2A96">
        <w:tc>
          <w:tcPr>
            <w:tcW w:w="2431" w:type="dxa"/>
            <w:noWrap/>
            <w:hideMark/>
          </w:tcPr>
          <w:p w14:paraId="7EB6DB03" w14:textId="77777777" w:rsidR="00120717" w:rsidRPr="00B93EE1" w:rsidRDefault="00120717" w:rsidP="009C2A96">
            <w:pPr>
              <w:jc w:val="left"/>
              <w:rPr>
                <w:rFonts w:cs="Arial"/>
                <w:sz w:val="14"/>
                <w:szCs w:val="14"/>
              </w:rPr>
            </w:pPr>
            <w:r w:rsidRPr="00B93EE1">
              <w:rPr>
                <w:rFonts w:cs="Arial"/>
                <w:sz w:val="14"/>
                <w:szCs w:val="14"/>
              </w:rPr>
              <w:t>Unemployment rate (%)</w:t>
            </w:r>
          </w:p>
        </w:tc>
        <w:tc>
          <w:tcPr>
            <w:tcW w:w="940" w:type="dxa"/>
            <w:noWrap/>
          </w:tcPr>
          <w:p w14:paraId="47FCEC6A" w14:textId="77777777" w:rsidR="00120717" w:rsidRPr="00B93EE1" w:rsidRDefault="00120717" w:rsidP="002562F5">
            <w:pPr>
              <w:ind w:left="113"/>
              <w:jc w:val="right"/>
              <w:rPr>
                <w:rFonts w:cs="Arial"/>
                <w:sz w:val="14"/>
                <w:szCs w:val="14"/>
              </w:rPr>
            </w:pPr>
            <w:r w:rsidRPr="00B93EE1">
              <w:rPr>
                <w:rFonts w:cstheme="minorHAnsi"/>
                <w:color w:val="000000"/>
                <w:sz w:val="14"/>
                <w:szCs w:val="14"/>
              </w:rPr>
              <w:t>5.4</w:t>
            </w:r>
          </w:p>
        </w:tc>
        <w:tc>
          <w:tcPr>
            <w:tcW w:w="941" w:type="dxa"/>
            <w:noWrap/>
          </w:tcPr>
          <w:p w14:paraId="4D066EC1" w14:textId="77777777" w:rsidR="00120717" w:rsidRPr="00B93EE1" w:rsidRDefault="00120717" w:rsidP="002562F5">
            <w:pPr>
              <w:ind w:left="113"/>
              <w:jc w:val="right"/>
              <w:rPr>
                <w:rFonts w:cs="Arial"/>
                <w:sz w:val="14"/>
                <w:szCs w:val="14"/>
              </w:rPr>
            </w:pPr>
            <w:r w:rsidRPr="00B93EE1">
              <w:rPr>
                <w:rFonts w:cstheme="minorHAnsi"/>
                <w:color w:val="000000"/>
                <w:sz w:val="14"/>
                <w:szCs w:val="14"/>
              </w:rPr>
              <w:t>5.4</w:t>
            </w:r>
          </w:p>
        </w:tc>
        <w:tc>
          <w:tcPr>
            <w:tcW w:w="941" w:type="dxa"/>
            <w:noWrap/>
          </w:tcPr>
          <w:p w14:paraId="0AD3D090" w14:textId="77777777" w:rsidR="00120717" w:rsidRPr="00B93EE1" w:rsidRDefault="00120717" w:rsidP="002562F5">
            <w:pPr>
              <w:ind w:left="113"/>
              <w:jc w:val="right"/>
              <w:rPr>
                <w:rFonts w:cs="Arial"/>
                <w:sz w:val="14"/>
                <w:szCs w:val="14"/>
              </w:rPr>
            </w:pPr>
            <w:r w:rsidRPr="00B93EE1">
              <w:rPr>
                <w:rFonts w:cstheme="minorHAnsi"/>
                <w:color w:val="000000"/>
                <w:sz w:val="14"/>
                <w:szCs w:val="14"/>
              </w:rPr>
              <w:t>5.1</w:t>
            </w:r>
          </w:p>
        </w:tc>
        <w:tc>
          <w:tcPr>
            <w:tcW w:w="940" w:type="dxa"/>
            <w:noWrap/>
          </w:tcPr>
          <w:p w14:paraId="7AF4CDBF" w14:textId="77777777" w:rsidR="00120717" w:rsidRPr="00B93EE1" w:rsidRDefault="00120717" w:rsidP="002562F5">
            <w:pPr>
              <w:ind w:left="113"/>
              <w:jc w:val="right"/>
              <w:rPr>
                <w:rFonts w:cs="Arial"/>
                <w:sz w:val="14"/>
                <w:szCs w:val="14"/>
              </w:rPr>
            </w:pPr>
            <w:r w:rsidRPr="00B93EE1">
              <w:rPr>
                <w:rFonts w:cstheme="minorHAnsi"/>
                <w:color w:val="000000"/>
                <w:sz w:val="14"/>
                <w:szCs w:val="14"/>
              </w:rPr>
              <w:t>4.6</w:t>
            </w:r>
          </w:p>
        </w:tc>
        <w:tc>
          <w:tcPr>
            <w:tcW w:w="941" w:type="dxa"/>
            <w:noWrap/>
          </w:tcPr>
          <w:p w14:paraId="1C860363" w14:textId="77777777" w:rsidR="00120717" w:rsidRPr="00B93EE1" w:rsidRDefault="00120717" w:rsidP="002562F5">
            <w:pPr>
              <w:ind w:left="113"/>
              <w:jc w:val="right"/>
              <w:rPr>
                <w:rFonts w:cs="Arial"/>
                <w:sz w:val="14"/>
                <w:szCs w:val="14"/>
              </w:rPr>
            </w:pPr>
            <w:r w:rsidRPr="00B93EE1">
              <w:rPr>
                <w:rFonts w:cstheme="minorHAnsi"/>
                <w:color w:val="000000"/>
                <w:sz w:val="14"/>
                <w:szCs w:val="14"/>
              </w:rPr>
              <w:t>4.3</w:t>
            </w:r>
          </w:p>
        </w:tc>
        <w:tc>
          <w:tcPr>
            <w:tcW w:w="941" w:type="dxa"/>
            <w:noWrap/>
          </w:tcPr>
          <w:p w14:paraId="5C3CAF20" w14:textId="77777777" w:rsidR="00120717" w:rsidRPr="00B93EE1" w:rsidRDefault="00120717" w:rsidP="002562F5">
            <w:pPr>
              <w:ind w:left="113"/>
              <w:jc w:val="right"/>
              <w:rPr>
                <w:rFonts w:cs="Arial"/>
                <w:sz w:val="14"/>
                <w:szCs w:val="14"/>
              </w:rPr>
            </w:pPr>
            <w:r w:rsidRPr="00B93EE1">
              <w:rPr>
                <w:rFonts w:cstheme="minorHAnsi"/>
                <w:color w:val="000000"/>
                <w:sz w:val="14"/>
                <w:szCs w:val="14"/>
              </w:rPr>
              <w:t>4.1</w:t>
            </w:r>
          </w:p>
        </w:tc>
        <w:tc>
          <w:tcPr>
            <w:tcW w:w="941" w:type="dxa"/>
            <w:noWrap/>
          </w:tcPr>
          <w:p w14:paraId="1F174761" w14:textId="77777777" w:rsidR="00120717" w:rsidRPr="00B93EE1" w:rsidRDefault="00120717" w:rsidP="002562F5">
            <w:pPr>
              <w:ind w:left="113"/>
              <w:jc w:val="right"/>
              <w:rPr>
                <w:rFonts w:cs="Arial"/>
                <w:sz w:val="14"/>
                <w:szCs w:val="14"/>
              </w:rPr>
            </w:pPr>
            <w:r w:rsidRPr="00B93EE1">
              <w:rPr>
                <w:rFonts w:cstheme="minorHAnsi"/>
                <w:color w:val="000000"/>
                <w:sz w:val="14"/>
                <w:szCs w:val="14"/>
              </w:rPr>
              <w:t>4.7</w:t>
            </w:r>
          </w:p>
        </w:tc>
      </w:tr>
      <w:tr w:rsidR="00120717" w:rsidRPr="00B93EE1" w14:paraId="7368B347"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10450D8D" w14:textId="77777777" w:rsidR="00120717" w:rsidRPr="00B93EE1" w:rsidRDefault="00120717" w:rsidP="009C2A96">
            <w:pPr>
              <w:jc w:val="left"/>
              <w:rPr>
                <w:rFonts w:cs="Arial"/>
                <w:b/>
                <w:bCs/>
                <w:sz w:val="14"/>
                <w:szCs w:val="14"/>
              </w:rPr>
            </w:pPr>
            <w:r w:rsidRPr="00B93EE1">
              <w:rPr>
                <w:rFonts w:cs="Arial"/>
                <w:b/>
                <w:bCs/>
                <w:sz w:val="14"/>
                <w:szCs w:val="14"/>
              </w:rPr>
              <w:t>Prices and interest rates</w:t>
            </w:r>
          </w:p>
        </w:tc>
        <w:tc>
          <w:tcPr>
            <w:tcW w:w="6585" w:type="dxa"/>
            <w:gridSpan w:val="7"/>
            <w:noWrap/>
          </w:tcPr>
          <w:p w14:paraId="4425A646" w14:textId="77777777" w:rsidR="00120717" w:rsidRPr="00B93EE1" w:rsidRDefault="00120717" w:rsidP="002562F5">
            <w:pPr>
              <w:ind w:left="113"/>
              <w:rPr>
                <w:rFonts w:cs="Arial"/>
                <w:b/>
                <w:bCs/>
                <w:sz w:val="14"/>
                <w:szCs w:val="14"/>
              </w:rPr>
            </w:pPr>
          </w:p>
        </w:tc>
      </w:tr>
      <w:tr w:rsidR="00120717" w:rsidRPr="00B93EE1" w14:paraId="1845A99A" w14:textId="77777777" w:rsidTr="009C2A96">
        <w:tc>
          <w:tcPr>
            <w:tcW w:w="2431" w:type="dxa"/>
            <w:noWrap/>
            <w:hideMark/>
          </w:tcPr>
          <w:p w14:paraId="12B2A18F" w14:textId="77777777" w:rsidR="00120717" w:rsidRPr="00B93EE1" w:rsidRDefault="00120717" w:rsidP="009C2A96">
            <w:pPr>
              <w:jc w:val="left"/>
              <w:rPr>
                <w:rFonts w:cs="Arial"/>
                <w:sz w:val="14"/>
                <w:szCs w:val="14"/>
              </w:rPr>
            </w:pPr>
            <w:r w:rsidRPr="00B93EE1">
              <w:rPr>
                <w:rFonts w:cs="Arial"/>
                <w:sz w:val="14"/>
                <w:szCs w:val="14"/>
              </w:rPr>
              <w:t>Inflation (CPI, % change)</w:t>
            </w:r>
          </w:p>
        </w:tc>
        <w:tc>
          <w:tcPr>
            <w:tcW w:w="940" w:type="dxa"/>
            <w:noWrap/>
          </w:tcPr>
          <w:p w14:paraId="69EC9AAD" w14:textId="77777777" w:rsidR="00120717" w:rsidRPr="00B93EE1" w:rsidRDefault="00120717" w:rsidP="002562F5">
            <w:pPr>
              <w:ind w:left="113"/>
              <w:jc w:val="right"/>
              <w:rPr>
                <w:rFonts w:cs="Arial"/>
                <w:sz w:val="14"/>
                <w:szCs w:val="14"/>
              </w:rPr>
            </w:pPr>
            <w:r w:rsidRPr="00B93EE1">
              <w:rPr>
                <w:rFonts w:cstheme="minorHAnsi"/>
                <w:color w:val="000000"/>
                <w:sz w:val="14"/>
                <w:szCs w:val="14"/>
              </w:rPr>
              <w:t>0.9</w:t>
            </w:r>
          </w:p>
        </w:tc>
        <w:tc>
          <w:tcPr>
            <w:tcW w:w="941" w:type="dxa"/>
            <w:noWrap/>
          </w:tcPr>
          <w:p w14:paraId="34F6D3BD" w14:textId="77777777" w:rsidR="00120717" w:rsidRPr="00B93EE1" w:rsidRDefault="00120717" w:rsidP="002562F5">
            <w:pPr>
              <w:ind w:left="113"/>
              <w:jc w:val="right"/>
              <w:rPr>
                <w:rFonts w:cs="Arial"/>
                <w:sz w:val="14"/>
                <w:szCs w:val="14"/>
              </w:rPr>
            </w:pPr>
            <w:r w:rsidRPr="00B93EE1">
              <w:rPr>
                <w:rFonts w:cstheme="minorHAnsi"/>
                <w:color w:val="000000"/>
                <w:sz w:val="14"/>
                <w:szCs w:val="14"/>
              </w:rPr>
              <w:t>0.3</w:t>
            </w:r>
          </w:p>
        </w:tc>
        <w:tc>
          <w:tcPr>
            <w:tcW w:w="941" w:type="dxa"/>
            <w:noWrap/>
          </w:tcPr>
          <w:p w14:paraId="7C25BAEB" w14:textId="77777777" w:rsidR="00120717" w:rsidRPr="00B93EE1" w:rsidRDefault="00120717" w:rsidP="002562F5">
            <w:pPr>
              <w:ind w:left="113"/>
              <w:jc w:val="right"/>
              <w:rPr>
                <w:rFonts w:cs="Arial"/>
                <w:sz w:val="14"/>
                <w:szCs w:val="14"/>
              </w:rPr>
            </w:pPr>
            <w:r w:rsidRPr="00B93EE1">
              <w:rPr>
                <w:rFonts w:cstheme="minorHAnsi"/>
                <w:color w:val="000000"/>
                <w:sz w:val="14"/>
                <w:szCs w:val="14"/>
              </w:rPr>
              <w:t>1.1</w:t>
            </w:r>
          </w:p>
        </w:tc>
        <w:tc>
          <w:tcPr>
            <w:tcW w:w="940" w:type="dxa"/>
            <w:noWrap/>
          </w:tcPr>
          <w:p w14:paraId="4E80D197" w14:textId="77777777" w:rsidR="00120717" w:rsidRPr="00B93EE1" w:rsidRDefault="00120717" w:rsidP="002562F5">
            <w:pPr>
              <w:ind w:left="113"/>
              <w:jc w:val="right"/>
              <w:rPr>
                <w:rFonts w:cs="Arial"/>
                <w:sz w:val="14"/>
                <w:szCs w:val="14"/>
              </w:rPr>
            </w:pPr>
            <w:r w:rsidRPr="00B93EE1">
              <w:rPr>
                <w:rFonts w:cstheme="minorHAnsi"/>
                <w:color w:val="000000"/>
                <w:sz w:val="14"/>
                <w:szCs w:val="14"/>
              </w:rPr>
              <w:t>1.6</w:t>
            </w:r>
          </w:p>
        </w:tc>
        <w:tc>
          <w:tcPr>
            <w:tcW w:w="941" w:type="dxa"/>
            <w:noWrap/>
          </w:tcPr>
          <w:p w14:paraId="3EF57063" w14:textId="77777777" w:rsidR="00120717" w:rsidRPr="00B93EE1" w:rsidRDefault="00120717" w:rsidP="002562F5">
            <w:pPr>
              <w:ind w:left="113"/>
              <w:jc w:val="right"/>
              <w:rPr>
                <w:rFonts w:cs="Arial"/>
                <w:sz w:val="14"/>
                <w:szCs w:val="14"/>
              </w:rPr>
            </w:pPr>
            <w:r w:rsidRPr="00B93EE1">
              <w:rPr>
                <w:rFonts w:cstheme="minorHAnsi"/>
                <w:color w:val="000000"/>
                <w:sz w:val="14"/>
                <w:szCs w:val="14"/>
              </w:rPr>
              <w:t>1.7</w:t>
            </w:r>
          </w:p>
        </w:tc>
        <w:tc>
          <w:tcPr>
            <w:tcW w:w="941" w:type="dxa"/>
            <w:noWrap/>
          </w:tcPr>
          <w:p w14:paraId="68E55A55"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w:t>
            </w:r>
          </w:p>
        </w:tc>
        <w:tc>
          <w:tcPr>
            <w:tcW w:w="941" w:type="dxa"/>
            <w:noWrap/>
          </w:tcPr>
          <w:p w14:paraId="41C75CF3" w14:textId="77777777" w:rsidR="00120717" w:rsidRPr="00B93EE1" w:rsidRDefault="00120717" w:rsidP="002562F5">
            <w:pPr>
              <w:ind w:left="113"/>
              <w:jc w:val="right"/>
              <w:rPr>
                <w:rFonts w:cs="Arial"/>
                <w:sz w:val="14"/>
                <w:szCs w:val="14"/>
              </w:rPr>
            </w:pPr>
            <w:r w:rsidRPr="00B93EE1">
              <w:rPr>
                <w:rFonts w:cstheme="minorHAnsi"/>
                <w:color w:val="000000"/>
                <w:sz w:val="14"/>
                <w:szCs w:val="14"/>
              </w:rPr>
              <w:t>1.5</w:t>
            </w:r>
          </w:p>
        </w:tc>
      </w:tr>
      <w:tr w:rsidR="00120717" w:rsidRPr="00B93EE1" w14:paraId="28C1C19C"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43882BD2" w14:textId="77777777" w:rsidR="00120717" w:rsidRPr="00B93EE1" w:rsidRDefault="00120717" w:rsidP="009C2A96">
            <w:pPr>
              <w:jc w:val="left"/>
              <w:rPr>
                <w:rFonts w:cs="Arial"/>
                <w:sz w:val="14"/>
                <w:szCs w:val="14"/>
              </w:rPr>
            </w:pPr>
            <w:r w:rsidRPr="00B93EE1">
              <w:rPr>
                <w:rFonts w:cs="Arial"/>
                <w:sz w:val="14"/>
                <w:szCs w:val="14"/>
              </w:rPr>
              <w:t>90-day bank bill rate</w:t>
            </w:r>
          </w:p>
          <w:p w14:paraId="5A05FDF1" w14:textId="77777777" w:rsidR="00120717" w:rsidRPr="00B93EE1" w:rsidRDefault="00120717" w:rsidP="009C2A96">
            <w:pPr>
              <w:jc w:val="left"/>
              <w:rPr>
                <w:rFonts w:cs="Arial"/>
                <w:sz w:val="14"/>
                <w:szCs w:val="14"/>
              </w:rPr>
            </w:pPr>
            <w:r w:rsidRPr="00B93EE1">
              <w:rPr>
                <w:rFonts w:cs="Arial"/>
                <w:sz w:val="14"/>
                <w:szCs w:val="14"/>
              </w:rPr>
              <w:t>(%, period average)</w:t>
            </w:r>
          </w:p>
        </w:tc>
        <w:tc>
          <w:tcPr>
            <w:tcW w:w="940" w:type="dxa"/>
            <w:noWrap/>
          </w:tcPr>
          <w:p w14:paraId="32EBDA8C" w14:textId="77777777" w:rsidR="00120717" w:rsidRPr="00B93EE1" w:rsidRDefault="00120717" w:rsidP="002562F5">
            <w:pPr>
              <w:ind w:left="113"/>
              <w:jc w:val="right"/>
              <w:rPr>
                <w:rFonts w:cs="Arial"/>
                <w:sz w:val="14"/>
                <w:szCs w:val="14"/>
              </w:rPr>
            </w:pPr>
            <w:r w:rsidRPr="00B93EE1">
              <w:rPr>
                <w:rFonts w:cstheme="minorHAnsi"/>
                <w:color w:val="000000"/>
                <w:sz w:val="14"/>
                <w:szCs w:val="14"/>
              </w:rPr>
              <w:t>3.60</w:t>
            </w:r>
          </w:p>
        </w:tc>
        <w:tc>
          <w:tcPr>
            <w:tcW w:w="941" w:type="dxa"/>
            <w:noWrap/>
          </w:tcPr>
          <w:p w14:paraId="1D2BF817" w14:textId="77777777" w:rsidR="00120717" w:rsidRPr="00B93EE1" w:rsidRDefault="00120717" w:rsidP="002562F5">
            <w:pPr>
              <w:ind w:left="113"/>
              <w:jc w:val="right"/>
              <w:rPr>
                <w:rFonts w:cs="Arial"/>
                <w:sz w:val="14"/>
                <w:szCs w:val="14"/>
              </w:rPr>
            </w:pPr>
            <w:r w:rsidRPr="00B93EE1">
              <w:rPr>
                <w:rFonts w:cstheme="minorHAnsi"/>
                <w:color w:val="000000"/>
                <w:sz w:val="14"/>
                <w:szCs w:val="14"/>
              </w:rPr>
              <w:t>2.98</w:t>
            </w:r>
          </w:p>
        </w:tc>
        <w:tc>
          <w:tcPr>
            <w:tcW w:w="941" w:type="dxa"/>
            <w:noWrap/>
          </w:tcPr>
          <w:p w14:paraId="3AD94BEB" w14:textId="77777777" w:rsidR="00120717" w:rsidRPr="00B93EE1" w:rsidRDefault="00120717" w:rsidP="002562F5">
            <w:pPr>
              <w:ind w:left="113"/>
              <w:jc w:val="right"/>
              <w:rPr>
                <w:rFonts w:cs="Arial"/>
                <w:sz w:val="14"/>
                <w:szCs w:val="14"/>
              </w:rPr>
            </w:pPr>
            <w:r w:rsidRPr="00B93EE1">
              <w:rPr>
                <w:rFonts w:cstheme="minorHAnsi"/>
                <w:color w:val="000000"/>
                <w:sz w:val="14"/>
                <w:szCs w:val="14"/>
              </w:rPr>
              <w:t>2.18</w:t>
            </w:r>
          </w:p>
        </w:tc>
        <w:tc>
          <w:tcPr>
            <w:tcW w:w="940" w:type="dxa"/>
            <w:noWrap/>
          </w:tcPr>
          <w:p w14:paraId="3D424DBD"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1.94</w:t>
            </w:r>
          </w:p>
        </w:tc>
        <w:tc>
          <w:tcPr>
            <w:tcW w:w="941" w:type="dxa"/>
            <w:noWrap/>
          </w:tcPr>
          <w:p w14:paraId="33AD1D8F"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1.90</w:t>
            </w:r>
          </w:p>
        </w:tc>
        <w:tc>
          <w:tcPr>
            <w:tcW w:w="941" w:type="dxa"/>
            <w:noWrap/>
          </w:tcPr>
          <w:p w14:paraId="1353BEE2" w14:textId="77777777" w:rsidR="00120717" w:rsidRPr="00B93EE1" w:rsidRDefault="00120717" w:rsidP="002562F5">
            <w:pPr>
              <w:ind w:left="113"/>
              <w:jc w:val="right"/>
              <w:rPr>
                <w:rFonts w:cs="Arial"/>
                <w:sz w:val="14"/>
                <w:szCs w:val="14"/>
              </w:rPr>
            </w:pPr>
            <w:r w:rsidRPr="00B93EE1">
              <w:rPr>
                <w:rFonts w:cstheme="minorHAnsi"/>
                <w:color w:val="000000"/>
                <w:sz w:val="14"/>
                <w:szCs w:val="14"/>
              </w:rPr>
              <w:t>1.31</w:t>
            </w:r>
          </w:p>
        </w:tc>
        <w:tc>
          <w:tcPr>
            <w:tcW w:w="941" w:type="dxa"/>
            <w:noWrap/>
          </w:tcPr>
          <w:p w14:paraId="0ECEA5F8" w14:textId="77777777" w:rsidR="00120717" w:rsidRPr="00B93EE1" w:rsidRDefault="00120717" w:rsidP="002562F5">
            <w:pPr>
              <w:ind w:left="113"/>
              <w:jc w:val="right"/>
              <w:rPr>
                <w:rFonts w:cs="Arial"/>
                <w:sz w:val="14"/>
                <w:szCs w:val="14"/>
              </w:rPr>
            </w:pPr>
            <w:r w:rsidRPr="00B93EE1">
              <w:rPr>
                <w:rFonts w:cstheme="minorHAnsi"/>
                <w:color w:val="000000"/>
                <w:sz w:val="14"/>
                <w:szCs w:val="14"/>
              </w:rPr>
              <w:t>0.29</w:t>
            </w:r>
          </w:p>
        </w:tc>
      </w:tr>
      <w:tr w:rsidR="00120717" w:rsidRPr="00B93EE1" w14:paraId="29979AE0" w14:textId="77777777" w:rsidTr="009C2A96">
        <w:tc>
          <w:tcPr>
            <w:tcW w:w="2431" w:type="dxa"/>
            <w:noWrap/>
            <w:hideMark/>
          </w:tcPr>
          <w:p w14:paraId="2C2D3F16" w14:textId="77777777" w:rsidR="00120717" w:rsidRPr="00B93EE1" w:rsidRDefault="00120717" w:rsidP="009C2A96">
            <w:pPr>
              <w:jc w:val="left"/>
              <w:rPr>
                <w:rFonts w:cs="Arial"/>
                <w:color w:val="000000"/>
                <w:sz w:val="14"/>
                <w:szCs w:val="14"/>
              </w:rPr>
            </w:pPr>
            <w:r w:rsidRPr="00B93EE1">
              <w:rPr>
                <w:rFonts w:cs="Arial"/>
                <w:color w:val="000000"/>
                <w:sz w:val="14"/>
                <w:szCs w:val="14"/>
              </w:rPr>
              <w:t>Lending rate</w:t>
            </w:r>
          </w:p>
          <w:p w14:paraId="5ED9F86C" w14:textId="77777777" w:rsidR="00120717" w:rsidRPr="00B93EE1" w:rsidRDefault="00120717" w:rsidP="009C2A96">
            <w:pPr>
              <w:jc w:val="left"/>
              <w:rPr>
                <w:rFonts w:cs="Arial"/>
                <w:color w:val="000000"/>
                <w:sz w:val="14"/>
                <w:szCs w:val="14"/>
              </w:rPr>
            </w:pPr>
            <w:r w:rsidRPr="00B93EE1">
              <w:rPr>
                <w:rFonts w:cs="Arial"/>
                <w:color w:val="000000"/>
                <w:sz w:val="14"/>
                <w:szCs w:val="14"/>
              </w:rPr>
              <w:t>(%, period average)</w:t>
            </w:r>
          </w:p>
        </w:tc>
        <w:tc>
          <w:tcPr>
            <w:tcW w:w="940" w:type="dxa"/>
            <w:noWrap/>
          </w:tcPr>
          <w:p w14:paraId="6B1C215F" w14:textId="77777777" w:rsidR="00120717" w:rsidRPr="00B93EE1" w:rsidRDefault="00120717" w:rsidP="002562F5">
            <w:pPr>
              <w:ind w:left="113"/>
              <w:jc w:val="right"/>
              <w:rPr>
                <w:rFonts w:cs="Arial"/>
                <w:sz w:val="14"/>
                <w:szCs w:val="14"/>
              </w:rPr>
            </w:pPr>
            <w:r w:rsidRPr="00B93EE1">
              <w:rPr>
                <w:rFonts w:cstheme="minorHAnsi"/>
                <w:color w:val="000000"/>
                <w:sz w:val="14"/>
                <w:szCs w:val="14"/>
              </w:rPr>
              <w:t>5.9</w:t>
            </w:r>
          </w:p>
        </w:tc>
        <w:tc>
          <w:tcPr>
            <w:tcW w:w="941" w:type="dxa"/>
            <w:noWrap/>
          </w:tcPr>
          <w:p w14:paraId="3139270F" w14:textId="77777777" w:rsidR="00120717" w:rsidRPr="00B93EE1" w:rsidRDefault="00120717" w:rsidP="002562F5">
            <w:pPr>
              <w:ind w:left="113"/>
              <w:jc w:val="right"/>
              <w:rPr>
                <w:rFonts w:cs="Arial"/>
                <w:sz w:val="14"/>
                <w:szCs w:val="14"/>
              </w:rPr>
            </w:pPr>
            <w:r w:rsidRPr="00B93EE1">
              <w:rPr>
                <w:rFonts w:cstheme="minorHAnsi"/>
                <w:color w:val="000000"/>
                <w:sz w:val="14"/>
                <w:szCs w:val="14"/>
              </w:rPr>
              <w:t>5.6</w:t>
            </w:r>
          </w:p>
        </w:tc>
        <w:tc>
          <w:tcPr>
            <w:tcW w:w="941" w:type="dxa"/>
            <w:noWrap/>
          </w:tcPr>
          <w:p w14:paraId="789C3380" w14:textId="77777777" w:rsidR="00120717" w:rsidRPr="00B93EE1" w:rsidRDefault="00120717" w:rsidP="002562F5">
            <w:pPr>
              <w:ind w:left="113"/>
              <w:jc w:val="right"/>
              <w:rPr>
                <w:rFonts w:cs="Arial"/>
                <w:sz w:val="14"/>
                <w:szCs w:val="14"/>
              </w:rPr>
            </w:pPr>
            <w:r w:rsidRPr="00B93EE1">
              <w:rPr>
                <w:rFonts w:cstheme="minorHAnsi"/>
                <w:color w:val="000000"/>
                <w:sz w:val="14"/>
                <w:szCs w:val="14"/>
              </w:rPr>
              <w:t>4.9</w:t>
            </w:r>
          </w:p>
        </w:tc>
        <w:tc>
          <w:tcPr>
            <w:tcW w:w="940" w:type="dxa"/>
            <w:noWrap/>
          </w:tcPr>
          <w:p w14:paraId="1B70B987" w14:textId="77777777" w:rsidR="00120717" w:rsidRPr="00B93EE1" w:rsidRDefault="00120717" w:rsidP="002562F5">
            <w:pPr>
              <w:ind w:left="113"/>
              <w:jc w:val="right"/>
              <w:rPr>
                <w:rFonts w:cs="Arial"/>
                <w:sz w:val="14"/>
                <w:szCs w:val="14"/>
              </w:rPr>
            </w:pPr>
            <w:r w:rsidRPr="00B93EE1">
              <w:rPr>
                <w:rFonts w:cstheme="minorHAnsi"/>
                <w:color w:val="000000"/>
                <w:sz w:val="14"/>
                <w:szCs w:val="14"/>
              </w:rPr>
              <w:t>4.6</w:t>
            </w:r>
          </w:p>
        </w:tc>
        <w:tc>
          <w:tcPr>
            <w:tcW w:w="941" w:type="dxa"/>
            <w:noWrap/>
          </w:tcPr>
          <w:p w14:paraId="4E8A259E" w14:textId="77777777" w:rsidR="00120717" w:rsidRPr="00B93EE1" w:rsidRDefault="00120717" w:rsidP="002562F5">
            <w:pPr>
              <w:ind w:left="113"/>
              <w:jc w:val="right"/>
              <w:rPr>
                <w:rFonts w:cs="Arial"/>
                <w:sz w:val="14"/>
                <w:szCs w:val="14"/>
              </w:rPr>
            </w:pPr>
            <w:r w:rsidRPr="00B93EE1">
              <w:rPr>
                <w:rFonts w:cstheme="minorHAnsi"/>
                <w:color w:val="000000"/>
                <w:sz w:val="14"/>
                <w:szCs w:val="14"/>
              </w:rPr>
              <w:t>4.6</w:t>
            </w:r>
          </w:p>
        </w:tc>
        <w:tc>
          <w:tcPr>
            <w:tcW w:w="941" w:type="dxa"/>
            <w:noWrap/>
          </w:tcPr>
          <w:p w14:paraId="24D1F35E" w14:textId="77777777" w:rsidR="00120717" w:rsidRPr="00B93EE1" w:rsidRDefault="00120717" w:rsidP="002562F5">
            <w:pPr>
              <w:ind w:left="113"/>
              <w:jc w:val="right"/>
              <w:rPr>
                <w:rFonts w:cs="Arial"/>
                <w:sz w:val="14"/>
                <w:szCs w:val="14"/>
              </w:rPr>
            </w:pPr>
            <w:r w:rsidRPr="00B93EE1">
              <w:rPr>
                <w:rFonts w:cstheme="minorHAnsi"/>
                <w:color w:val="000000"/>
                <w:sz w:val="14"/>
                <w:szCs w:val="14"/>
              </w:rPr>
              <w:t>4.2</w:t>
            </w:r>
          </w:p>
        </w:tc>
        <w:tc>
          <w:tcPr>
            <w:tcW w:w="941" w:type="dxa"/>
            <w:noWrap/>
          </w:tcPr>
          <w:p w14:paraId="2572363D" w14:textId="77777777" w:rsidR="00120717" w:rsidRPr="00B93EE1" w:rsidRDefault="00120717" w:rsidP="002562F5">
            <w:pPr>
              <w:ind w:left="113"/>
              <w:jc w:val="right"/>
              <w:rPr>
                <w:rFonts w:cs="Arial"/>
                <w:sz w:val="14"/>
                <w:szCs w:val="14"/>
              </w:rPr>
            </w:pPr>
            <w:r w:rsidRPr="00B93EE1">
              <w:rPr>
                <w:rFonts w:cstheme="minorHAnsi"/>
                <w:color w:val="000000"/>
                <w:sz w:val="14"/>
                <w:szCs w:val="14"/>
              </w:rPr>
              <w:t>3.3</w:t>
            </w:r>
          </w:p>
        </w:tc>
      </w:tr>
      <w:tr w:rsidR="00120717" w:rsidRPr="00B93EE1" w14:paraId="2F7CB027"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381D5F9D" w14:textId="77777777" w:rsidR="00120717" w:rsidRPr="00B93EE1" w:rsidRDefault="00120717" w:rsidP="009C2A96">
            <w:pPr>
              <w:jc w:val="left"/>
              <w:rPr>
                <w:rFonts w:cs="Arial"/>
                <w:color w:val="000000"/>
                <w:sz w:val="14"/>
                <w:szCs w:val="14"/>
              </w:rPr>
            </w:pPr>
            <w:r w:rsidRPr="00B93EE1">
              <w:rPr>
                <w:rFonts w:cs="Arial"/>
                <w:color w:val="000000"/>
                <w:sz w:val="14"/>
                <w:szCs w:val="14"/>
              </w:rPr>
              <w:t>Deposit rate</w:t>
            </w:r>
          </w:p>
          <w:p w14:paraId="59E9D483" w14:textId="77777777" w:rsidR="00120717" w:rsidRPr="00B93EE1" w:rsidRDefault="00120717" w:rsidP="009C2A96">
            <w:pPr>
              <w:jc w:val="left"/>
              <w:rPr>
                <w:rFonts w:cs="Arial"/>
                <w:color w:val="000000"/>
                <w:sz w:val="14"/>
                <w:szCs w:val="14"/>
              </w:rPr>
            </w:pPr>
            <w:r w:rsidRPr="00B93EE1">
              <w:rPr>
                <w:rFonts w:cs="Arial"/>
                <w:color w:val="000000"/>
                <w:sz w:val="14"/>
                <w:szCs w:val="14"/>
              </w:rPr>
              <w:t>(%, period average)</w:t>
            </w:r>
          </w:p>
        </w:tc>
        <w:tc>
          <w:tcPr>
            <w:tcW w:w="940" w:type="dxa"/>
            <w:noWrap/>
          </w:tcPr>
          <w:p w14:paraId="7A8A948E" w14:textId="77777777" w:rsidR="00120717" w:rsidRPr="00B93EE1" w:rsidRDefault="00120717" w:rsidP="002562F5">
            <w:pPr>
              <w:ind w:left="113"/>
              <w:jc w:val="right"/>
              <w:rPr>
                <w:rFonts w:cs="Arial"/>
                <w:sz w:val="14"/>
                <w:szCs w:val="14"/>
              </w:rPr>
            </w:pPr>
            <w:r w:rsidRPr="00B93EE1">
              <w:rPr>
                <w:rFonts w:cstheme="minorHAnsi"/>
                <w:sz w:val="14"/>
                <w:szCs w:val="14"/>
              </w:rPr>
              <w:t>4.09</w:t>
            </w:r>
          </w:p>
        </w:tc>
        <w:tc>
          <w:tcPr>
            <w:tcW w:w="941" w:type="dxa"/>
            <w:noWrap/>
          </w:tcPr>
          <w:p w14:paraId="31720C2A" w14:textId="77777777" w:rsidR="00120717" w:rsidRPr="00B93EE1" w:rsidRDefault="00120717" w:rsidP="002562F5">
            <w:pPr>
              <w:ind w:left="113"/>
              <w:jc w:val="right"/>
              <w:rPr>
                <w:rFonts w:cs="Arial"/>
                <w:sz w:val="14"/>
                <w:szCs w:val="14"/>
              </w:rPr>
            </w:pPr>
            <w:r w:rsidRPr="00B93EE1">
              <w:rPr>
                <w:rFonts w:cstheme="minorHAnsi"/>
                <w:color w:val="000000"/>
                <w:sz w:val="14"/>
                <w:szCs w:val="14"/>
              </w:rPr>
              <w:t>3.52</w:t>
            </w:r>
          </w:p>
        </w:tc>
        <w:tc>
          <w:tcPr>
            <w:tcW w:w="941" w:type="dxa"/>
            <w:noWrap/>
          </w:tcPr>
          <w:p w14:paraId="7F497568" w14:textId="77777777" w:rsidR="00120717" w:rsidRPr="00B93EE1" w:rsidRDefault="00120717" w:rsidP="002562F5">
            <w:pPr>
              <w:ind w:left="113"/>
              <w:jc w:val="right"/>
              <w:rPr>
                <w:rFonts w:cs="Arial"/>
                <w:sz w:val="14"/>
                <w:szCs w:val="14"/>
              </w:rPr>
            </w:pPr>
            <w:r w:rsidRPr="00B93EE1">
              <w:rPr>
                <w:rFonts w:cstheme="minorHAnsi"/>
                <w:color w:val="000000"/>
                <w:sz w:val="14"/>
                <w:szCs w:val="14"/>
              </w:rPr>
              <w:t>3.23</w:t>
            </w:r>
          </w:p>
        </w:tc>
        <w:tc>
          <w:tcPr>
            <w:tcW w:w="940" w:type="dxa"/>
            <w:noWrap/>
          </w:tcPr>
          <w:p w14:paraId="402A01EE" w14:textId="77777777" w:rsidR="00120717" w:rsidRPr="00B93EE1" w:rsidRDefault="00120717" w:rsidP="002562F5">
            <w:pPr>
              <w:ind w:left="113"/>
              <w:jc w:val="right"/>
              <w:rPr>
                <w:rFonts w:cs="Arial"/>
                <w:sz w:val="14"/>
                <w:szCs w:val="14"/>
              </w:rPr>
            </w:pPr>
            <w:r w:rsidRPr="00B93EE1">
              <w:rPr>
                <w:rFonts w:cstheme="minorHAnsi"/>
                <w:color w:val="000000"/>
                <w:sz w:val="14"/>
                <w:szCs w:val="14"/>
              </w:rPr>
              <w:t>3.30</w:t>
            </w:r>
          </w:p>
        </w:tc>
        <w:tc>
          <w:tcPr>
            <w:tcW w:w="941" w:type="dxa"/>
            <w:noWrap/>
          </w:tcPr>
          <w:p w14:paraId="2698D7B6" w14:textId="77777777" w:rsidR="00120717" w:rsidRPr="00B93EE1" w:rsidRDefault="00120717" w:rsidP="002562F5">
            <w:pPr>
              <w:ind w:left="113"/>
              <w:jc w:val="right"/>
              <w:rPr>
                <w:rFonts w:cs="Arial"/>
                <w:sz w:val="14"/>
                <w:szCs w:val="14"/>
              </w:rPr>
            </w:pPr>
            <w:r w:rsidRPr="00B93EE1">
              <w:rPr>
                <w:rFonts w:cstheme="minorHAnsi"/>
                <w:color w:val="000000"/>
                <w:sz w:val="14"/>
                <w:szCs w:val="14"/>
              </w:rPr>
              <w:t>3.26</w:t>
            </w:r>
          </w:p>
        </w:tc>
        <w:tc>
          <w:tcPr>
            <w:tcW w:w="941" w:type="dxa"/>
            <w:noWrap/>
          </w:tcPr>
          <w:p w14:paraId="50982933" w14:textId="77777777" w:rsidR="00120717" w:rsidRPr="00B93EE1" w:rsidRDefault="00120717" w:rsidP="002562F5">
            <w:pPr>
              <w:ind w:left="113"/>
              <w:jc w:val="right"/>
              <w:rPr>
                <w:rFonts w:cs="Arial"/>
                <w:sz w:val="14"/>
                <w:szCs w:val="14"/>
              </w:rPr>
            </w:pPr>
            <w:r w:rsidRPr="00B93EE1">
              <w:rPr>
                <w:rFonts w:cstheme="minorHAnsi"/>
                <w:color w:val="000000"/>
                <w:sz w:val="14"/>
                <w:szCs w:val="14"/>
              </w:rPr>
              <w:t>2.83</w:t>
            </w:r>
          </w:p>
        </w:tc>
        <w:tc>
          <w:tcPr>
            <w:tcW w:w="941" w:type="dxa"/>
            <w:noWrap/>
          </w:tcPr>
          <w:p w14:paraId="78715953" w14:textId="77777777" w:rsidR="00120717" w:rsidRPr="00B93EE1" w:rsidRDefault="00120717" w:rsidP="002562F5">
            <w:pPr>
              <w:ind w:left="113"/>
              <w:jc w:val="right"/>
              <w:rPr>
                <w:rFonts w:cs="Arial"/>
                <w:sz w:val="14"/>
                <w:szCs w:val="14"/>
              </w:rPr>
            </w:pPr>
            <w:r w:rsidRPr="00B93EE1">
              <w:rPr>
                <w:rFonts w:cstheme="minorHAnsi"/>
                <w:color w:val="000000"/>
                <w:sz w:val="14"/>
                <w:szCs w:val="14"/>
              </w:rPr>
              <w:t>1.24</w:t>
            </w:r>
          </w:p>
        </w:tc>
      </w:tr>
      <w:tr w:rsidR="00120717" w:rsidRPr="00B93EE1" w14:paraId="1166AF92" w14:textId="77777777" w:rsidTr="009C2A96">
        <w:tc>
          <w:tcPr>
            <w:tcW w:w="2431" w:type="dxa"/>
            <w:noWrap/>
            <w:hideMark/>
          </w:tcPr>
          <w:p w14:paraId="5D7E8A54" w14:textId="77777777" w:rsidR="00120717" w:rsidRPr="00B93EE1" w:rsidRDefault="00120717" w:rsidP="009C2A96">
            <w:pPr>
              <w:jc w:val="left"/>
              <w:rPr>
                <w:rFonts w:cs="Arial"/>
                <w:b/>
                <w:bCs/>
                <w:color w:val="000000"/>
                <w:sz w:val="14"/>
                <w:szCs w:val="14"/>
              </w:rPr>
            </w:pPr>
            <w:r w:rsidRPr="00B93EE1">
              <w:rPr>
                <w:rFonts w:cs="Arial"/>
                <w:b/>
                <w:bCs/>
                <w:color w:val="000000"/>
                <w:sz w:val="14"/>
                <w:szCs w:val="14"/>
              </w:rPr>
              <w:t>Exchange rate</w:t>
            </w:r>
          </w:p>
        </w:tc>
        <w:tc>
          <w:tcPr>
            <w:tcW w:w="940" w:type="dxa"/>
            <w:noWrap/>
          </w:tcPr>
          <w:p w14:paraId="5A8DA144" w14:textId="77777777" w:rsidR="00120717" w:rsidRPr="00B93EE1" w:rsidRDefault="00120717" w:rsidP="002562F5">
            <w:pPr>
              <w:ind w:left="113"/>
              <w:rPr>
                <w:rFonts w:cs="Arial"/>
                <w:b/>
                <w:bCs/>
                <w:color w:val="000000"/>
                <w:sz w:val="14"/>
                <w:szCs w:val="14"/>
              </w:rPr>
            </w:pPr>
          </w:p>
        </w:tc>
        <w:tc>
          <w:tcPr>
            <w:tcW w:w="941" w:type="dxa"/>
            <w:noWrap/>
          </w:tcPr>
          <w:p w14:paraId="06708500" w14:textId="77777777" w:rsidR="00120717" w:rsidRPr="00B93EE1" w:rsidRDefault="00120717" w:rsidP="002562F5">
            <w:pPr>
              <w:ind w:left="113"/>
              <w:rPr>
                <w:sz w:val="14"/>
                <w:szCs w:val="14"/>
              </w:rPr>
            </w:pPr>
          </w:p>
        </w:tc>
        <w:tc>
          <w:tcPr>
            <w:tcW w:w="941" w:type="dxa"/>
            <w:noWrap/>
          </w:tcPr>
          <w:p w14:paraId="25AAF591" w14:textId="77777777" w:rsidR="00120717" w:rsidRPr="00B93EE1" w:rsidRDefault="00120717" w:rsidP="002562F5">
            <w:pPr>
              <w:ind w:left="113"/>
              <w:rPr>
                <w:sz w:val="14"/>
                <w:szCs w:val="14"/>
              </w:rPr>
            </w:pPr>
          </w:p>
        </w:tc>
        <w:tc>
          <w:tcPr>
            <w:tcW w:w="940" w:type="dxa"/>
            <w:noWrap/>
          </w:tcPr>
          <w:p w14:paraId="2A9B87BB" w14:textId="77777777" w:rsidR="00120717" w:rsidRPr="00B93EE1" w:rsidRDefault="00120717" w:rsidP="002562F5">
            <w:pPr>
              <w:ind w:left="113"/>
              <w:rPr>
                <w:sz w:val="14"/>
                <w:szCs w:val="14"/>
              </w:rPr>
            </w:pPr>
          </w:p>
        </w:tc>
        <w:tc>
          <w:tcPr>
            <w:tcW w:w="941" w:type="dxa"/>
            <w:noWrap/>
          </w:tcPr>
          <w:p w14:paraId="2BB2D26C" w14:textId="77777777" w:rsidR="00120717" w:rsidRPr="00B93EE1" w:rsidRDefault="00120717" w:rsidP="002562F5">
            <w:pPr>
              <w:ind w:left="113"/>
              <w:rPr>
                <w:sz w:val="14"/>
                <w:szCs w:val="14"/>
              </w:rPr>
            </w:pPr>
          </w:p>
        </w:tc>
        <w:tc>
          <w:tcPr>
            <w:tcW w:w="941" w:type="dxa"/>
            <w:noWrap/>
          </w:tcPr>
          <w:p w14:paraId="063F49A3" w14:textId="77777777" w:rsidR="00120717" w:rsidRPr="00B93EE1" w:rsidRDefault="00120717" w:rsidP="002562F5">
            <w:pPr>
              <w:ind w:left="113"/>
              <w:rPr>
                <w:sz w:val="14"/>
                <w:szCs w:val="14"/>
              </w:rPr>
            </w:pPr>
          </w:p>
        </w:tc>
        <w:tc>
          <w:tcPr>
            <w:tcW w:w="941" w:type="dxa"/>
            <w:noWrap/>
          </w:tcPr>
          <w:p w14:paraId="44F8A1DF" w14:textId="77777777" w:rsidR="00120717" w:rsidRPr="00B93EE1" w:rsidRDefault="00120717" w:rsidP="002562F5">
            <w:pPr>
              <w:ind w:left="113"/>
              <w:rPr>
                <w:sz w:val="14"/>
                <w:szCs w:val="14"/>
              </w:rPr>
            </w:pPr>
          </w:p>
        </w:tc>
      </w:tr>
      <w:tr w:rsidR="00120717" w:rsidRPr="00B93EE1" w14:paraId="4B61E844"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2B6A396D" w14:textId="77777777" w:rsidR="00120717" w:rsidRPr="00B93EE1" w:rsidRDefault="00120717" w:rsidP="009C2A96">
            <w:pPr>
              <w:jc w:val="left"/>
              <w:rPr>
                <w:rFonts w:cs="Arial"/>
                <w:color w:val="000000"/>
                <w:sz w:val="14"/>
                <w:szCs w:val="14"/>
              </w:rPr>
            </w:pPr>
            <w:r w:rsidRPr="00B93EE1">
              <w:rPr>
                <w:rFonts w:cs="Arial"/>
                <w:color w:val="000000"/>
                <w:sz w:val="14"/>
                <w:szCs w:val="14"/>
              </w:rPr>
              <w:t>USD/NZD (period average)</w:t>
            </w:r>
          </w:p>
        </w:tc>
        <w:tc>
          <w:tcPr>
            <w:tcW w:w="940" w:type="dxa"/>
            <w:noWrap/>
          </w:tcPr>
          <w:p w14:paraId="2529C5B8" w14:textId="77777777" w:rsidR="00120717" w:rsidRPr="00B93EE1" w:rsidRDefault="00120717" w:rsidP="002562F5">
            <w:pPr>
              <w:ind w:left="113"/>
              <w:jc w:val="right"/>
              <w:rPr>
                <w:rFonts w:cs="Arial"/>
                <w:color w:val="000000"/>
                <w:sz w:val="14"/>
                <w:szCs w:val="14"/>
              </w:rPr>
            </w:pPr>
            <w:r w:rsidRPr="00B93EE1">
              <w:rPr>
                <w:rFonts w:cstheme="minorHAnsi"/>
                <w:color w:val="000000"/>
                <w:sz w:val="14"/>
                <w:szCs w:val="14"/>
              </w:rPr>
              <w:t>0.810</w:t>
            </w:r>
          </w:p>
        </w:tc>
        <w:tc>
          <w:tcPr>
            <w:tcW w:w="941" w:type="dxa"/>
            <w:noWrap/>
          </w:tcPr>
          <w:p w14:paraId="4E92E362" w14:textId="77777777" w:rsidR="00120717" w:rsidRPr="00B93EE1" w:rsidRDefault="00120717" w:rsidP="002562F5">
            <w:pPr>
              <w:ind w:left="113"/>
              <w:jc w:val="right"/>
              <w:rPr>
                <w:rFonts w:cs="Arial"/>
                <w:color w:val="000000"/>
                <w:sz w:val="14"/>
                <w:szCs w:val="14"/>
              </w:rPr>
            </w:pPr>
            <w:r w:rsidRPr="00B93EE1">
              <w:rPr>
                <w:rFonts w:cstheme="minorHAnsi"/>
                <w:color w:val="000000"/>
                <w:sz w:val="14"/>
                <w:szCs w:val="14"/>
              </w:rPr>
              <w:t>0.678</w:t>
            </w:r>
          </w:p>
        </w:tc>
        <w:tc>
          <w:tcPr>
            <w:tcW w:w="941" w:type="dxa"/>
            <w:noWrap/>
          </w:tcPr>
          <w:p w14:paraId="742A01A3" w14:textId="77777777" w:rsidR="00120717" w:rsidRPr="00B93EE1" w:rsidRDefault="00120717" w:rsidP="002562F5">
            <w:pPr>
              <w:ind w:left="113"/>
              <w:jc w:val="right"/>
              <w:rPr>
                <w:rFonts w:cs="Arial"/>
                <w:color w:val="000000"/>
                <w:sz w:val="14"/>
                <w:szCs w:val="14"/>
              </w:rPr>
            </w:pPr>
            <w:r w:rsidRPr="00B93EE1">
              <w:rPr>
                <w:rFonts w:cstheme="minorHAnsi"/>
                <w:color w:val="000000"/>
                <w:sz w:val="14"/>
                <w:szCs w:val="14"/>
              </w:rPr>
              <w:t>0.709</w:t>
            </w:r>
          </w:p>
        </w:tc>
        <w:tc>
          <w:tcPr>
            <w:tcW w:w="940" w:type="dxa"/>
            <w:noWrap/>
          </w:tcPr>
          <w:p w14:paraId="0A8DBEA8" w14:textId="77777777" w:rsidR="00120717" w:rsidRPr="00B93EE1" w:rsidRDefault="00120717" w:rsidP="002562F5">
            <w:pPr>
              <w:ind w:left="113"/>
              <w:jc w:val="right"/>
              <w:rPr>
                <w:rFonts w:cs="Arial"/>
                <w:color w:val="000000"/>
                <w:sz w:val="14"/>
                <w:szCs w:val="14"/>
              </w:rPr>
            </w:pPr>
            <w:r w:rsidRPr="00B93EE1">
              <w:rPr>
                <w:rFonts w:cstheme="minorHAnsi"/>
                <w:color w:val="000000"/>
                <w:sz w:val="14"/>
                <w:szCs w:val="14"/>
              </w:rPr>
              <w:t>0.715</w:t>
            </w:r>
          </w:p>
        </w:tc>
        <w:tc>
          <w:tcPr>
            <w:tcW w:w="941" w:type="dxa"/>
            <w:noWrap/>
          </w:tcPr>
          <w:p w14:paraId="7AD7F0FE" w14:textId="77777777" w:rsidR="00120717" w:rsidRPr="00B93EE1" w:rsidRDefault="00120717" w:rsidP="002562F5">
            <w:pPr>
              <w:ind w:left="113"/>
              <w:jc w:val="right"/>
              <w:rPr>
                <w:rFonts w:cs="Arial"/>
                <w:color w:val="000000"/>
                <w:sz w:val="14"/>
                <w:szCs w:val="14"/>
              </w:rPr>
            </w:pPr>
            <w:r w:rsidRPr="00B93EE1">
              <w:rPr>
                <w:rFonts w:cstheme="minorHAnsi"/>
                <w:color w:val="000000"/>
                <w:sz w:val="14"/>
                <w:szCs w:val="14"/>
              </w:rPr>
              <w:t>0.681</w:t>
            </w:r>
          </w:p>
        </w:tc>
        <w:tc>
          <w:tcPr>
            <w:tcW w:w="941" w:type="dxa"/>
            <w:noWrap/>
          </w:tcPr>
          <w:p w14:paraId="494548CB" w14:textId="77777777" w:rsidR="00120717" w:rsidRPr="00B93EE1" w:rsidRDefault="00120717" w:rsidP="002562F5">
            <w:pPr>
              <w:ind w:left="113"/>
              <w:jc w:val="right"/>
              <w:rPr>
                <w:rFonts w:cs="Arial"/>
                <w:color w:val="000000"/>
                <w:sz w:val="14"/>
                <w:szCs w:val="14"/>
              </w:rPr>
            </w:pPr>
            <w:r w:rsidRPr="00B93EE1">
              <w:rPr>
                <w:rFonts w:cstheme="minorHAnsi"/>
                <w:color w:val="000000"/>
                <w:sz w:val="14"/>
                <w:szCs w:val="14"/>
              </w:rPr>
              <w:t>0.648</w:t>
            </w:r>
          </w:p>
        </w:tc>
        <w:tc>
          <w:tcPr>
            <w:tcW w:w="941" w:type="dxa"/>
            <w:noWrap/>
          </w:tcPr>
          <w:p w14:paraId="02066BCA" w14:textId="77777777" w:rsidR="00120717" w:rsidRPr="00B93EE1" w:rsidRDefault="00120717" w:rsidP="002562F5">
            <w:pPr>
              <w:ind w:left="113"/>
              <w:jc w:val="right"/>
              <w:rPr>
                <w:rFonts w:cs="Arial"/>
                <w:color w:val="000000"/>
                <w:sz w:val="14"/>
                <w:szCs w:val="14"/>
              </w:rPr>
            </w:pPr>
            <w:r w:rsidRPr="00B93EE1">
              <w:rPr>
                <w:rFonts w:cstheme="minorHAnsi"/>
                <w:color w:val="000000"/>
                <w:sz w:val="14"/>
                <w:szCs w:val="14"/>
              </w:rPr>
              <w:t>0.671</w:t>
            </w:r>
          </w:p>
        </w:tc>
      </w:tr>
      <w:tr w:rsidR="00120717" w:rsidRPr="00B93EE1" w14:paraId="730336DD" w14:textId="77777777" w:rsidTr="009C2A96">
        <w:tc>
          <w:tcPr>
            <w:tcW w:w="2431" w:type="dxa"/>
            <w:noWrap/>
            <w:hideMark/>
          </w:tcPr>
          <w:p w14:paraId="06186847" w14:textId="77777777" w:rsidR="00120717" w:rsidRPr="00B93EE1" w:rsidRDefault="00120717" w:rsidP="009C2A96">
            <w:pPr>
              <w:jc w:val="left"/>
              <w:rPr>
                <w:rFonts w:cs="Arial"/>
                <w:sz w:val="14"/>
                <w:szCs w:val="14"/>
              </w:rPr>
            </w:pPr>
            <w:r w:rsidRPr="00B93EE1">
              <w:rPr>
                <w:rFonts w:cs="Arial"/>
                <w:sz w:val="14"/>
                <w:szCs w:val="14"/>
              </w:rPr>
              <w:t>Nominal effective exchange rate (% change)</w:t>
            </w:r>
          </w:p>
        </w:tc>
        <w:tc>
          <w:tcPr>
            <w:tcW w:w="940" w:type="dxa"/>
            <w:noWrap/>
          </w:tcPr>
          <w:p w14:paraId="716521AA" w14:textId="77777777" w:rsidR="00120717" w:rsidRPr="00B93EE1" w:rsidRDefault="00120717" w:rsidP="002562F5">
            <w:pPr>
              <w:ind w:left="113"/>
              <w:jc w:val="right"/>
              <w:rPr>
                <w:rFonts w:cs="Arial"/>
                <w:sz w:val="14"/>
                <w:szCs w:val="14"/>
              </w:rPr>
            </w:pPr>
            <w:r w:rsidRPr="00B93EE1">
              <w:rPr>
                <w:rFonts w:cs="Arial"/>
                <w:color w:val="000000"/>
                <w:sz w:val="14"/>
                <w:szCs w:val="14"/>
              </w:rPr>
              <w:t>2.3</w:t>
            </w:r>
          </w:p>
        </w:tc>
        <w:tc>
          <w:tcPr>
            <w:tcW w:w="941" w:type="dxa"/>
            <w:noWrap/>
          </w:tcPr>
          <w:p w14:paraId="4FC96799" w14:textId="77777777" w:rsidR="00120717" w:rsidRPr="00B93EE1" w:rsidRDefault="00120717" w:rsidP="002562F5">
            <w:pPr>
              <w:ind w:left="113"/>
              <w:jc w:val="right"/>
              <w:rPr>
                <w:rFonts w:cs="Arial"/>
                <w:sz w:val="14"/>
                <w:szCs w:val="14"/>
              </w:rPr>
            </w:pPr>
            <w:r w:rsidRPr="00B93EE1">
              <w:rPr>
                <w:rFonts w:cs="Arial"/>
                <w:color w:val="000000"/>
                <w:sz w:val="14"/>
                <w:szCs w:val="14"/>
              </w:rPr>
              <w:t>-7.9</w:t>
            </w:r>
          </w:p>
        </w:tc>
        <w:tc>
          <w:tcPr>
            <w:tcW w:w="941" w:type="dxa"/>
            <w:noWrap/>
          </w:tcPr>
          <w:p w14:paraId="7C9847B3" w14:textId="77777777" w:rsidR="00120717" w:rsidRPr="00B93EE1" w:rsidRDefault="00120717" w:rsidP="002562F5">
            <w:pPr>
              <w:ind w:left="113"/>
              <w:jc w:val="right"/>
              <w:rPr>
                <w:rFonts w:cs="Arial"/>
                <w:sz w:val="14"/>
                <w:szCs w:val="14"/>
              </w:rPr>
            </w:pPr>
            <w:r w:rsidRPr="00B93EE1">
              <w:rPr>
                <w:rFonts w:cs="Arial"/>
                <w:color w:val="000000"/>
                <w:sz w:val="14"/>
                <w:szCs w:val="14"/>
              </w:rPr>
              <w:t>5.5</w:t>
            </w:r>
          </w:p>
        </w:tc>
        <w:tc>
          <w:tcPr>
            <w:tcW w:w="940" w:type="dxa"/>
            <w:noWrap/>
          </w:tcPr>
          <w:p w14:paraId="7903862D" w14:textId="77777777" w:rsidR="00120717" w:rsidRPr="00B93EE1" w:rsidRDefault="00120717" w:rsidP="002562F5">
            <w:pPr>
              <w:ind w:left="113"/>
              <w:jc w:val="right"/>
              <w:rPr>
                <w:rFonts w:cs="Arial"/>
                <w:sz w:val="14"/>
                <w:szCs w:val="14"/>
              </w:rPr>
            </w:pPr>
            <w:r w:rsidRPr="00B93EE1">
              <w:rPr>
                <w:rFonts w:cs="Arial"/>
                <w:color w:val="000000"/>
                <w:sz w:val="14"/>
                <w:szCs w:val="14"/>
              </w:rPr>
              <w:t>-1.9</w:t>
            </w:r>
          </w:p>
        </w:tc>
        <w:tc>
          <w:tcPr>
            <w:tcW w:w="941" w:type="dxa"/>
            <w:noWrap/>
          </w:tcPr>
          <w:p w14:paraId="173F58C6" w14:textId="77777777" w:rsidR="00120717" w:rsidRPr="00B93EE1" w:rsidRDefault="00120717" w:rsidP="002562F5">
            <w:pPr>
              <w:ind w:left="113"/>
              <w:jc w:val="right"/>
              <w:rPr>
                <w:rFonts w:cs="Arial"/>
                <w:sz w:val="14"/>
                <w:szCs w:val="14"/>
              </w:rPr>
            </w:pPr>
            <w:r w:rsidRPr="00B93EE1">
              <w:rPr>
                <w:rFonts w:cs="Arial"/>
                <w:color w:val="000000"/>
                <w:sz w:val="14"/>
                <w:szCs w:val="14"/>
              </w:rPr>
              <w:t>-2.9</w:t>
            </w:r>
          </w:p>
        </w:tc>
        <w:tc>
          <w:tcPr>
            <w:tcW w:w="941" w:type="dxa"/>
            <w:noWrap/>
          </w:tcPr>
          <w:p w14:paraId="743D511C" w14:textId="77777777" w:rsidR="00120717" w:rsidRPr="00B93EE1" w:rsidRDefault="00120717" w:rsidP="002562F5">
            <w:pPr>
              <w:ind w:left="113"/>
              <w:jc w:val="right"/>
              <w:rPr>
                <w:rFonts w:cs="Arial"/>
                <w:sz w:val="14"/>
                <w:szCs w:val="14"/>
              </w:rPr>
            </w:pPr>
            <w:r w:rsidRPr="00B93EE1">
              <w:rPr>
                <w:rFonts w:cs="Arial"/>
                <w:color w:val="000000"/>
                <w:sz w:val="14"/>
                <w:szCs w:val="14"/>
              </w:rPr>
              <w:t>-2.3</w:t>
            </w:r>
          </w:p>
        </w:tc>
        <w:tc>
          <w:tcPr>
            <w:tcW w:w="941" w:type="dxa"/>
            <w:noWrap/>
          </w:tcPr>
          <w:p w14:paraId="6F5D8D50" w14:textId="77777777" w:rsidR="00120717" w:rsidRPr="00B93EE1" w:rsidRDefault="00120717" w:rsidP="002562F5">
            <w:pPr>
              <w:ind w:left="113"/>
              <w:jc w:val="right"/>
              <w:rPr>
                <w:rFonts w:cs="Arial"/>
                <w:sz w:val="14"/>
                <w:szCs w:val="14"/>
              </w:rPr>
            </w:pPr>
            <w:r w:rsidRPr="00B93EE1">
              <w:rPr>
                <w:rFonts w:cs="Arial"/>
                <w:color w:val="000000"/>
                <w:sz w:val="14"/>
                <w:szCs w:val="14"/>
              </w:rPr>
              <w:t>1.2</w:t>
            </w:r>
          </w:p>
        </w:tc>
      </w:tr>
      <w:tr w:rsidR="00120717" w:rsidRPr="00B93EE1" w14:paraId="6D1F2A67"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5D5C9F6A" w14:textId="77777777" w:rsidR="00120717" w:rsidRPr="00B93EE1" w:rsidRDefault="00120717" w:rsidP="009C2A96">
            <w:pPr>
              <w:jc w:val="left"/>
              <w:rPr>
                <w:rFonts w:cs="Arial"/>
                <w:sz w:val="14"/>
                <w:szCs w:val="14"/>
              </w:rPr>
            </w:pPr>
            <w:r w:rsidRPr="00B93EE1">
              <w:rPr>
                <w:rFonts w:cs="Arial"/>
                <w:sz w:val="14"/>
                <w:szCs w:val="14"/>
              </w:rPr>
              <w:t>Real effective exchange rate (% change)</w:t>
            </w:r>
          </w:p>
        </w:tc>
        <w:tc>
          <w:tcPr>
            <w:tcW w:w="940" w:type="dxa"/>
            <w:noWrap/>
          </w:tcPr>
          <w:p w14:paraId="455C8B56" w14:textId="77777777" w:rsidR="00120717" w:rsidRPr="00B93EE1" w:rsidRDefault="00120717" w:rsidP="002562F5">
            <w:pPr>
              <w:ind w:left="113"/>
              <w:jc w:val="right"/>
              <w:rPr>
                <w:rFonts w:cs="Arial"/>
                <w:sz w:val="14"/>
                <w:szCs w:val="14"/>
              </w:rPr>
            </w:pPr>
            <w:r w:rsidRPr="00B93EE1">
              <w:rPr>
                <w:rFonts w:cs="Arial"/>
                <w:color w:val="000000"/>
                <w:sz w:val="14"/>
                <w:szCs w:val="14"/>
              </w:rPr>
              <w:t>1.5</w:t>
            </w:r>
          </w:p>
        </w:tc>
        <w:tc>
          <w:tcPr>
            <w:tcW w:w="941" w:type="dxa"/>
            <w:noWrap/>
          </w:tcPr>
          <w:p w14:paraId="0A5A3651" w14:textId="77777777" w:rsidR="00120717" w:rsidRPr="00B93EE1" w:rsidRDefault="00120717" w:rsidP="002562F5">
            <w:pPr>
              <w:ind w:left="113"/>
              <w:jc w:val="right"/>
              <w:rPr>
                <w:rFonts w:cs="Arial"/>
                <w:sz w:val="14"/>
                <w:szCs w:val="14"/>
              </w:rPr>
            </w:pPr>
            <w:r w:rsidRPr="00B93EE1">
              <w:rPr>
                <w:rFonts w:cs="Arial"/>
                <w:color w:val="000000"/>
                <w:sz w:val="14"/>
                <w:szCs w:val="14"/>
              </w:rPr>
              <w:t>-8.6</w:t>
            </w:r>
          </w:p>
        </w:tc>
        <w:tc>
          <w:tcPr>
            <w:tcW w:w="941" w:type="dxa"/>
            <w:noWrap/>
          </w:tcPr>
          <w:p w14:paraId="41E26D42" w14:textId="77777777" w:rsidR="00120717" w:rsidRPr="00B93EE1" w:rsidRDefault="00120717" w:rsidP="002562F5">
            <w:pPr>
              <w:ind w:left="113"/>
              <w:jc w:val="right"/>
              <w:rPr>
                <w:rFonts w:cs="Arial"/>
                <w:sz w:val="14"/>
                <w:szCs w:val="14"/>
              </w:rPr>
            </w:pPr>
            <w:r w:rsidRPr="00B93EE1">
              <w:rPr>
                <w:rFonts w:cs="Arial"/>
                <w:color w:val="000000"/>
                <w:sz w:val="14"/>
                <w:szCs w:val="14"/>
              </w:rPr>
              <w:t>5.2</w:t>
            </w:r>
          </w:p>
        </w:tc>
        <w:tc>
          <w:tcPr>
            <w:tcW w:w="940" w:type="dxa"/>
            <w:noWrap/>
          </w:tcPr>
          <w:p w14:paraId="268660C8" w14:textId="77777777" w:rsidR="00120717" w:rsidRPr="00B93EE1" w:rsidRDefault="00120717" w:rsidP="002562F5">
            <w:pPr>
              <w:ind w:left="113"/>
              <w:jc w:val="right"/>
              <w:rPr>
                <w:rFonts w:cs="Arial"/>
                <w:sz w:val="14"/>
                <w:szCs w:val="14"/>
              </w:rPr>
            </w:pPr>
            <w:r w:rsidRPr="00B93EE1">
              <w:rPr>
                <w:rFonts w:cs="Arial"/>
                <w:color w:val="000000"/>
                <w:sz w:val="14"/>
                <w:szCs w:val="14"/>
              </w:rPr>
              <w:t>-2.0</w:t>
            </w:r>
          </w:p>
        </w:tc>
        <w:tc>
          <w:tcPr>
            <w:tcW w:w="941" w:type="dxa"/>
            <w:noWrap/>
          </w:tcPr>
          <w:p w14:paraId="0C3BB067" w14:textId="77777777" w:rsidR="00120717" w:rsidRPr="00B93EE1" w:rsidRDefault="00120717" w:rsidP="002562F5">
            <w:pPr>
              <w:ind w:left="113"/>
              <w:jc w:val="right"/>
              <w:rPr>
                <w:rFonts w:cs="Arial"/>
                <w:sz w:val="14"/>
                <w:szCs w:val="14"/>
              </w:rPr>
            </w:pPr>
            <w:r w:rsidRPr="00B93EE1">
              <w:rPr>
                <w:rFonts w:cs="Arial"/>
                <w:color w:val="000000"/>
                <w:sz w:val="14"/>
                <w:szCs w:val="14"/>
              </w:rPr>
              <w:t>-3.0</w:t>
            </w:r>
          </w:p>
        </w:tc>
        <w:tc>
          <w:tcPr>
            <w:tcW w:w="941" w:type="dxa"/>
            <w:noWrap/>
          </w:tcPr>
          <w:p w14:paraId="68EB076D" w14:textId="77777777" w:rsidR="00120717" w:rsidRPr="00B93EE1" w:rsidRDefault="00120717" w:rsidP="002562F5">
            <w:pPr>
              <w:ind w:left="113"/>
              <w:jc w:val="right"/>
              <w:rPr>
                <w:rFonts w:cs="Arial"/>
                <w:sz w:val="14"/>
                <w:szCs w:val="14"/>
              </w:rPr>
            </w:pPr>
            <w:r w:rsidRPr="00B93EE1">
              <w:rPr>
                <w:rFonts w:cs="Arial"/>
                <w:color w:val="000000"/>
                <w:sz w:val="14"/>
                <w:szCs w:val="14"/>
              </w:rPr>
              <w:t>-2.3</w:t>
            </w:r>
          </w:p>
        </w:tc>
        <w:tc>
          <w:tcPr>
            <w:tcW w:w="941" w:type="dxa"/>
            <w:noWrap/>
          </w:tcPr>
          <w:p w14:paraId="1B88E0A7" w14:textId="77777777" w:rsidR="00120717" w:rsidRPr="00B93EE1" w:rsidRDefault="00120717" w:rsidP="002562F5">
            <w:pPr>
              <w:ind w:left="113"/>
              <w:jc w:val="right"/>
              <w:rPr>
                <w:rFonts w:cs="Arial"/>
                <w:sz w:val="14"/>
                <w:szCs w:val="14"/>
              </w:rPr>
            </w:pPr>
            <w:r w:rsidRPr="00B93EE1">
              <w:rPr>
                <w:rFonts w:cs="Arial"/>
                <w:color w:val="000000"/>
                <w:sz w:val="14"/>
                <w:szCs w:val="14"/>
              </w:rPr>
              <w:t>2.0</w:t>
            </w:r>
          </w:p>
        </w:tc>
      </w:tr>
      <w:tr w:rsidR="00120717" w:rsidRPr="00B93EE1" w14:paraId="168B10D5" w14:textId="77777777" w:rsidTr="009C2A96">
        <w:tc>
          <w:tcPr>
            <w:tcW w:w="2431" w:type="dxa"/>
            <w:noWrap/>
            <w:hideMark/>
          </w:tcPr>
          <w:p w14:paraId="5FAA930C" w14:textId="77777777" w:rsidR="00120717" w:rsidRPr="00B93EE1" w:rsidRDefault="00120717" w:rsidP="009C2A96">
            <w:pPr>
              <w:jc w:val="left"/>
              <w:rPr>
                <w:rFonts w:cs="Arial"/>
                <w:b/>
                <w:bCs/>
                <w:sz w:val="14"/>
                <w:szCs w:val="14"/>
              </w:rPr>
            </w:pPr>
            <w:r w:rsidRPr="00B93EE1">
              <w:rPr>
                <w:rFonts w:cs="Arial"/>
                <w:b/>
                <w:bCs/>
                <w:sz w:val="14"/>
                <w:szCs w:val="14"/>
              </w:rPr>
              <w:t>Fiscal balance (year ended 30 June, % of GDP)</w:t>
            </w:r>
          </w:p>
        </w:tc>
        <w:tc>
          <w:tcPr>
            <w:tcW w:w="940" w:type="dxa"/>
            <w:noWrap/>
          </w:tcPr>
          <w:p w14:paraId="2DD82746" w14:textId="77777777" w:rsidR="00120717" w:rsidRPr="00B93EE1" w:rsidRDefault="00120717" w:rsidP="002562F5">
            <w:pPr>
              <w:ind w:left="113"/>
              <w:rPr>
                <w:rFonts w:cs="Arial"/>
                <w:b/>
                <w:bCs/>
                <w:sz w:val="14"/>
                <w:szCs w:val="14"/>
              </w:rPr>
            </w:pPr>
          </w:p>
        </w:tc>
        <w:tc>
          <w:tcPr>
            <w:tcW w:w="941" w:type="dxa"/>
            <w:noWrap/>
          </w:tcPr>
          <w:p w14:paraId="58678231" w14:textId="77777777" w:rsidR="00120717" w:rsidRPr="00B93EE1" w:rsidRDefault="00120717" w:rsidP="002562F5">
            <w:pPr>
              <w:ind w:left="113"/>
              <w:jc w:val="right"/>
              <w:rPr>
                <w:sz w:val="14"/>
                <w:szCs w:val="14"/>
              </w:rPr>
            </w:pPr>
          </w:p>
        </w:tc>
        <w:tc>
          <w:tcPr>
            <w:tcW w:w="941" w:type="dxa"/>
            <w:noWrap/>
          </w:tcPr>
          <w:p w14:paraId="15FA82DF" w14:textId="77777777" w:rsidR="00120717" w:rsidRPr="00B93EE1" w:rsidRDefault="00120717" w:rsidP="002562F5">
            <w:pPr>
              <w:ind w:left="113"/>
              <w:jc w:val="right"/>
              <w:rPr>
                <w:sz w:val="14"/>
                <w:szCs w:val="14"/>
              </w:rPr>
            </w:pPr>
          </w:p>
        </w:tc>
        <w:tc>
          <w:tcPr>
            <w:tcW w:w="940" w:type="dxa"/>
            <w:noWrap/>
          </w:tcPr>
          <w:p w14:paraId="467B5C29" w14:textId="77777777" w:rsidR="00120717" w:rsidRPr="00B93EE1" w:rsidRDefault="00120717" w:rsidP="002562F5">
            <w:pPr>
              <w:ind w:left="113"/>
              <w:jc w:val="right"/>
              <w:rPr>
                <w:sz w:val="14"/>
                <w:szCs w:val="14"/>
              </w:rPr>
            </w:pPr>
          </w:p>
        </w:tc>
        <w:tc>
          <w:tcPr>
            <w:tcW w:w="941" w:type="dxa"/>
            <w:noWrap/>
          </w:tcPr>
          <w:p w14:paraId="058B5EC0" w14:textId="77777777" w:rsidR="00120717" w:rsidRPr="00B93EE1" w:rsidRDefault="00120717" w:rsidP="002562F5">
            <w:pPr>
              <w:ind w:left="113"/>
              <w:jc w:val="right"/>
              <w:rPr>
                <w:sz w:val="14"/>
                <w:szCs w:val="14"/>
              </w:rPr>
            </w:pPr>
          </w:p>
        </w:tc>
        <w:tc>
          <w:tcPr>
            <w:tcW w:w="941" w:type="dxa"/>
            <w:noWrap/>
          </w:tcPr>
          <w:p w14:paraId="4EBE94A9" w14:textId="77777777" w:rsidR="00120717" w:rsidRPr="00B93EE1" w:rsidRDefault="00120717" w:rsidP="002562F5">
            <w:pPr>
              <w:ind w:left="113"/>
              <w:jc w:val="right"/>
              <w:rPr>
                <w:sz w:val="14"/>
                <w:szCs w:val="14"/>
              </w:rPr>
            </w:pPr>
          </w:p>
        </w:tc>
        <w:tc>
          <w:tcPr>
            <w:tcW w:w="941" w:type="dxa"/>
            <w:noWrap/>
          </w:tcPr>
          <w:p w14:paraId="0059F7FB" w14:textId="77777777" w:rsidR="00120717" w:rsidRPr="00B93EE1" w:rsidRDefault="00120717" w:rsidP="002562F5">
            <w:pPr>
              <w:ind w:left="113"/>
              <w:jc w:val="right"/>
              <w:rPr>
                <w:sz w:val="14"/>
                <w:szCs w:val="14"/>
              </w:rPr>
            </w:pPr>
          </w:p>
        </w:tc>
      </w:tr>
      <w:tr w:rsidR="00120717" w:rsidRPr="00B93EE1" w14:paraId="3F54817A"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70117B24" w14:textId="77777777" w:rsidR="00120717" w:rsidRPr="00B93EE1" w:rsidRDefault="00120717" w:rsidP="009C2A96">
            <w:pPr>
              <w:jc w:val="left"/>
              <w:rPr>
                <w:rFonts w:cs="Arial"/>
                <w:sz w:val="14"/>
                <w:szCs w:val="14"/>
              </w:rPr>
            </w:pPr>
            <w:r w:rsidRPr="00B93EE1">
              <w:rPr>
                <w:rFonts w:cs="Arial"/>
                <w:sz w:val="14"/>
                <w:szCs w:val="14"/>
              </w:rPr>
              <w:t>Total Crown revenue</w:t>
            </w:r>
          </w:p>
        </w:tc>
        <w:tc>
          <w:tcPr>
            <w:tcW w:w="940" w:type="dxa"/>
            <w:noWrap/>
          </w:tcPr>
          <w:p w14:paraId="69AE1263" w14:textId="77777777" w:rsidR="00120717" w:rsidRPr="00B93EE1" w:rsidRDefault="00120717" w:rsidP="002562F5">
            <w:pPr>
              <w:ind w:left="113"/>
              <w:jc w:val="right"/>
              <w:rPr>
                <w:rFonts w:cs="Arial"/>
                <w:sz w:val="14"/>
                <w:szCs w:val="14"/>
              </w:rPr>
            </w:pPr>
            <w:r w:rsidRPr="00B93EE1">
              <w:rPr>
                <w:rFonts w:cstheme="minorHAnsi"/>
                <w:sz w:val="14"/>
                <w:szCs w:val="14"/>
              </w:rPr>
              <w:t>38.2</w:t>
            </w:r>
          </w:p>
        </w:tc>
        <w:tc>
          <w:tcPr>
            <w:tcW w:w="941" w:type="dxa"/>
            <w:noWrap/>
          </w:tcPr>
          <w:p w14:paraId="56044B30" w14:textId="77777777" w:rsidR="00120717" w:rsidRPr="00B93EE1" w:rsidRDefault="00120717" w:rsidP="002562F5">
            <w:pPr>
              <w:ind w:left="113"/>
              <w:jc w:val="right"/>
              <w:rPr>
                <w:rFonts w:cs="Arial"/>
                <w:sz w:val="14"/>
                <w:szCs w:val="14"/>
              </w:rPr>
            </w:pPr>
            <w:r w:rsidRPr="00B93EE1">
              <w:rPr>
                <w:rFonts w:cstheme="minorHAnsi"/>
                <w:sz w:val="14"/>
                <w:szCs w:val="14"/>
              </w:rPr>
              <w:t>37.7</w:t>
            </w:r>
          </w:p>
        </w:tc>
        <w:tc>
          <w:tcPr>
            <w:tcW w:w="941" w:type="dxa"/>
            <w:noWrap/>
          </w:tcPr>
          <w:p w14:paraId="7DC54780" w14:textId="77777777" w:rsidR="00120717" w:rsidRPr="00B93EE1" w:rsidRDefault="00120717" w:rsidP="002562F5">
            <w:pPr>
              <w:ind w:left="113"/>
              <w:jc w:val="right"/>
              <w:rPr>
                <w:rFonts w:cs="Arial"/>
                <w:sz w:val="14"/>
                <w:szCs w:val="14"/>
              </w:rPr>
            </w:pPr>
            <w:r w:rsidRPr="00B93EE1">
              <w:rPr>
                <w:rFonts w:cstheme="minorHAnsi"/>
                <w:sz w:val="14"/>
                <w:szCs w:val="14"/>
              </w:rPr>
              <w:t xml:space="preserve">37.5 </w:t>
            </w:r>
          </w:p>
        </w:tc>
        <w:tc>
          <w:tcPr>
            <w:tcW w:w="940" w:type="dxa"/>
            <w:noWrap/>
          </w:tcPr>
          <w:p w14:paraId="1454FC41" w14:textId="77777777" w:rsidR="00120717" w:rsidRPr="00B93EE1" w:rsidRDefault="00120717" w:rsidP="002562F5">
            <w:pPr>
              <w:ind w:left="113"/>
              <w:jc w:val="right"/>
              <w:rPr>
                <w:rFonts w:cs="Arial"/>
                <w:sz w:val="14"/>
                <w:szCs w:val="14"/>
              </w:rPr>
            </w:pPr>
            <w:r w:rsidRPr="00B93EE1">
              <w:rPr>
                <w:rFonts w:cstheme="minorHAnsi"/>
                <w:sz w:val="14"/>
                <w:szCs w:val="14"/>
              </w:rPr>
              <w:t xml:space="preserve">37.2 </w:t>
            </w:r>
          </w:p>
        </w:tc>
        <w:tc>
          <w:tcPr>
            <w:tcW w:w="941" w:type="dxa"/>
            <w:noWrap/>
          </w:tcPr>
          <w:p w14:paraId="1B5DFBBE" w14:textId="77777777" w:rsidR="00120717" w:rsidRPr="00B93EE1" w:rsidRDefault="00120717" w:rsidP="002562F5">
            <w:pPr>
              <w:ind w:left="113"/>
              <w:jc w:val="right"/>
              <w:rPr>
                <w:rFonts w:cs="Arial"/>
                <w:sz w:val="14"/>
                <w:szCs w:val="14"/>
              </w:rPr>
            </w:pPr>
            <w:r w:rsidRPr="00B93EE1">
              <w:rPr>
                <w:rFonts w:cstheme="minorHAnsi"/>
                <w:sz w:val="14"/>
                <w:szCs w:val="14"/>
              </w:rPr>
              <w:t xml:space="preserve">38.4 </w:t>
            </w:r>
          </w:p>
        </w:tc>
        <w:tc>
          <w:tcPr>
            <w:tcW w:w="941" w:type="dxa"/>
            <w:noWrap/>
          </w:tcPr>
          <w:p w14:paraId="7F8F6F5A" w14:textId="77777777" w:rsidR="00120717" w:rsidRPr="00B93EE1" w:rsidRDefault="00120717" w:rsidP="002562F5">
            <w:pPr>
              <w:ind w:left="113"/>
              <w:jc w:val="right"/>
              <w:rPr>
                <w:rFonts w:cs="Arial"/>
                <w:sz w:val="14"/>
                <w:szCs w:val="14"/>
              </w:rPr>
            </w:pPr>
            <w:r w:rsidRPr="00B93EE1">
              <w:rPr>
                <w:rFonts w:cstheme="minorHAnsi"/>
                <w:sz w:val="14"/>
                <w:szCs w:val="14"/>
              </w:rPr>
              <w:t xml:space="preserve">36.6 </w:t>
            </w:r>
          </w:p>
        </w:tc>
        <w:tc>
          <w:tcPr>
            <w:tcW w:w="941" w:type="dxa"/>
            <w:noWrap/>
          </w:tcPr>
          <w:p w14:paraId="3CAFCCE7" w14:textId="77777777" w:rsidR="00120717" w:rsidRPr="00B93EE1" w:rsidRDefault="00120717" w:rsidP="002562F5">
            <w:pPr>
              <w:ind w:left="113"/>
              <w:jc w:val="right"/>
              <w:rPr>
                <w:rFonts w:cs="Arial"/>
                <w:sz w:val="14"/>
                <w:szCs w:val="14"/>
              </w:rPr>
            </w:pPr>
            <w:r w:rsidRPr="00B93EE1">
              <w:rPr>
                <w:rFonts w:cstheme="minorHAnsi"/>
                <w:sz w:val="14"/>
                <w:szCs w:val="14"/>
              </w:rPr>
              <w:t xml:space="preserve">38.1 </w:t>
            </w:r>
          </w:p>
        </w:tc>
      </w:tr>
      <w:tr w:rsidR="00120717" w:rsidRPr="00B93EE1" w14:paraId="017CC668" w14:textId="77777777" w:rsidTr="009C2A96">
        <w:tc>
          <w:tcPr>
            <w:tcW w:w="2431" w:type="dxa"/>
            <w:noWrap/>
            <w:hideMark/>
          </w:tcPr>
          <w:p w14:paraId="27F7EAB5" w14:textId="77777777" w:rsidR="00120717" w:rsidRPr="00B93EE1" w:rsidRDefault="00120717" w:rsidP="009C2A96">
            <w:pPr>
              <w:ind w:left="397"/>
              <w:jc w:val="left"/>
              <w:rPr>
                <w:rFonts w:cs="Arial"/>
                <w:sz w:val="14"/>
                <w:szCs w:val="14"/>
              </w:rPr>
            </w:pPr>
            <w:r w:rsidRPr="00B93EE1">
              <w:rPr>
                <w:rFonts w:cs="Arial"/>
                <w:sz w:val="14"/>
                <w:szCs w:val="14"/>
              </w:rPr>
              <w:t>Tax revenue</w:t>
            </w:r>
          </w:p>
        </w:tc>
        <w:tc>
          <w:tcPr>
            <w:tcW w:w="940" w:type="dxa"/>
            <w:noWrap/>
          </w:tcPr>
          <w:p w14:paraId="6CF3DCDF" w14:textId="77777777" w:rsidR="00120717" w:rsidRPr="00B93EE1" w:rsidRDefault="00120717" w:rsidP="002562F5">
            <w:pPr>
              <w:ind w:left="113"/>
              <w:jc w:val="right"/>
              <w:rPr>
                <w:rFonts w:cs="Arial"/>
                <w:sz w:val="14"/>
                <w:szCs w:val="14"/>
              </w:rPr>
            </w:pPr>
            <w:r w:rsidRPr="00B93EE1">
              <w:rPr>
                <w:rFonts w:cstheme="minorHAnsi"/>
                <w:sz w:val="14"/>
                <w:szCs w:val="14"/>
              </w:rPr>
              <w:t>27.1</w:t>
            </w:r>
          </w:p>
        </w:tc>
        <w:tc>
          <w:tcPr>
            <w:tcW w:w="941" w:type="dxa"/>
            <w:noWrap/>
          </w:tcPr>
          <w:p w14:paraId="626D3CEA" w14:textId="77777777" w:rsidR="00120717" w:rsidRPr="00B93EE1" w:rsidRDefault="00120717" w:rsidP="002562F5">
            <w:pPr>
              <w:ind w:left="113"/>
              <w:jc w:val="right"/>
              <w:rPr>
                <w:rFonts w:cs="Arial"/>
                <w:sz w:val="14"/>
                <w:szCs w:val="14"/>
              </w:rPr>
            </w:pPr>
            <w:r w:rsidRPr="00B93EE1">
              <w:rPr>
                <w:rFonts w:cstheme="minorHAnsi"/>
                <w:sz w:val="14"/>
                <w:szCs w:val="14"/>
              </w:rPr>
              <w:t>27.2</w:t>
            </w:r>
          </w:p>
        </w:tc>
        <w:tc>
          <w:tcPr>
            <w:tcW w:w="941" w:type="dxa"/>
            <w:noWrap/>
          </w:tcPr>
          <w:p w14:paraId="13C6B80C" w14:textId="77777777" w:rsidR="00120717" w:rsidRPr="00B93EE1" w:rsidRDefault="00120717" w:rsidP="002562F5">
            <w:pPr>
              <w:ind w:left="113"/>
              <w:jc w:val="right"/>
              <w:rPr>
                <w:rFonts w:cs="Arial"/>
                <w:sz w:val="14"/>
                <w:szCs w:val="14"/>
              </w:rPr>
            </w:pPr>
            <w:r w:rsidRPr="00B93EE1">
              <w:rPr>
                <w:rFonts w:cstheme="minorHAnsi"/>
                <w:sz w:val="14"/>
                <w:szCs w:val="14"/>
              </w:rPr>
              <w:t xml:space="preserve">27.4 </w:t>
            </w:r>
          </w:p>
        </w:tc>
        <w:tc>
          <w:tcPr>
            <w:tcW w:w="940" w:type="dxa"/>
            <w:noWrap/>
          </w:tcPr>
          <w:p w14:paraId="498F726F" w14:textId="77777777" w:rsidR="00120717" w:rsidRPr="00B93EE1" w:rsidRDefault="00120717" w:rsidP="002562F5">
            <w:pPr>
              <w:ind w:left="113"/>
              <w:jc w:val="right"/>
              <w:rPr>
                <w:rFonts w:cs="Arial"/>
                <w:sz w:val="14"/>
                <w:szCs w:val="14"/>
              </w:rPr>
            </w:pPr>
            <w:r w:rsidRPr="00B93EE1">
              <w:rPr>
                <w:rFonts w:cstheme="minorHAnsi"/>
                <w:sz w:val="14"/>
                <w:szCs w:val="14"/>
              </w:rPr>
              <w:t xml:space="preserve">27.1 </w:t>
            </w:r>
          </w:p>
        </w:tc>
        <w:tc>
          <w:tcPr>
            <w:tcW w:w="941" w:type="dxa"/>
            <w:noWrap/>
          </w:tcPr>
          <w:p w14:paraId="1F25F081" w14:textId="77777777" w:rsidR="00120717" w:rsidRPr="00B93EE1" w:rsidRDefault="00120717" w:rsidP="002562F5">
            <w:pPr>
              <w:ind w:left="113"/>
              <w:jc w:val="right"/>
              <w:rPr>
                <w:rFonts w:cs="Arial"/>
                <w:sz w:val="14"/>
                <w:szCs w:val="14"/>
              </w:rPr>
            </w:pPr>
            <w:r w:rsidRPr="00B93EE1">
              <w:rPr>
                <w:rFonts w:cstheme="minorHAnsi"/>
                <w:sz w:val="14"/>
                <w:szCs w:val="14"/>
              </w:rPr>
              <w:t xml:space="preserve">27.9 </w:t>
            </w:r>
          </w:p>
        </w:tc>
        <w:tc>
          <w:tcPr>
            <w:tcW w:w="941" w:type="dxa"/>
            <w:noWrap/>
          </w:tcPr>
          <w:p w14:paraId="0D885916" w14:textId="77777777" w:rsidR="00120717" w:rsidRPr="00B93EE1" w:rsidRDefault="00120717" w:rsidP="002562F5">
            <w:pPr>
              <w:ind w:left="113"/>
              <w:jc w:val="right"/>
              <w:rPr>
                <w:rFonts w:cs="Arial"/>
                <w:sz w:val="14"/>
                <w:szCs w:val="14"/>
              </w:rPr>
            </w:pPr>
            <w:r w:rsidRPr="00B93EE1">
              <w:rPr>
                <w:rFonts w:cstheme="minorHAnsi"/>
                <w:sz w:val="14"/>
                <w:szCs w:val="14"/>
              </w:rPr>
              <w:t xml:space="preserve">26.8 </w:t>
            </w:r>
          </w:p>
        </w:tc>
        <w:tc>
          <w:tcPr>
            <w:tcW w:w="941" w:type="dxa"/>
            <w:noWrap/>
          </w:tcPr>
          <w:p w14:paraId="42CE5AC3" w14:textId="77777777" w:rsidR="00120717" w:rsidRPr="00B93EE1" w:rsidRDefault="00120717" w:rsidP="002562F5">
            <w:pPr>
              <w:ind w:left="113"/>
              <w:jc w:val="right"/>
              <w:rPr>
                <w:rFonts w:cs="Arial"/>
                <w:sz w:val="14"/>
                <w:szCs w:val="14"/>
              </w:rPr>
            </w:pPr>
            <w:r w:rsidRPr="00B93EE1">
              <w:rPr>
                <w:rFonts w:cstheme="minorHAnsi"/>
                <w:sz w:val="14"/>
                <w:szCs w:val="14"/>
              </w:rPr>
              <w:t xml:space="preserve">28.9 </w:t>
            </w:r>
          </w:p>
        </w:tc>
      </w:tr>
      <w:tr w:rsidR="00120717" w:rsidRPr="00B93EE1" w14:paraId="332BD899"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2AD435E9" w14:textId="77777777" w:rsidR="00120717" w:rsidRPr="00B93EE1" w:rsidRDefault="00120717" w:rsidP="009C2A96">
            <w:pPr>
              <w:jc w:val="left"/>
              <w:rPr>
                <w:rFonts w:cs="Arial"/>
                <w:sz w:val="14"/>
                <w:szCs w:val="14"/>
              </w:rPr>
            </w:pPr>
            <w:r w:rsidRPr="00B93EE1">
              <w:rPr>
                <w:rFonts w:cs="Arial"/>
                <w:sz w:val="14"/>
                <w:szCs w:val="14"/>
              </w:rPr>
              <w:t>Total Crown expenditure</w:t>
            </w:r>
          </w:p>
        </w:tc>
        <w:tc>
          <w:tcPr>
            <w:tcW w:w="940" w:type="dxa"/>
            <w:noWrap/>
          </w:tcPr>
          <w:p w14:paraId="2A24F2FB" w14:textId="77777777" w:rsidR="00120717" w:rsidRPr="00B93EE1" w:rsidRDefault="00120717" w:rsidP="002562F5">
            <w:pPr>
              <w:ind w:left="113"/>
              <w:jc w:val="right"/>
              <w:rPr>
                <w:rFonts w:cs="Arial"/>
                <w:sz w:val="14"/>
                <w:szCs w:val="14"/>
              </w:rPr>
            </w:pPr>
            <w:r w:rsidRPr="00B93EE1">
              <w:rPr>
                <w:rFonts w:cstheme="minorHAnsi"/>
                <w:sz w:val="14"/>
                <w:szCs w:val="14"/>
              </w:rPr>
              <w:t>37.9</w:t>
            </w:r>
          </w:p>
        </w:tc>
        <w:tc>
          <w:tcPr>
            <w:tcW w:w="941" w:type="dxa"/>
            <w:noWrap/>
          </w:tcPr>
          <w:p w14:paraId="668A4329" w14:textId="77777777" w:rsidR="00120717" w:rsidRPr="00B93EE1" w:rsidRDefault="00120717" w:rsidP="002562F5">
            <w:pPr>
              <w:ind w:left="113"/>
              <w:jc w:val="right"/>
              <w:rPr>
                <w:rFonts w:cs="Arial"/>
                <w:sz w:val="14"/>
                <w:szCs w:val="14"/>
              </w:rPr>
            </w:pPr>
            <w:r w:rsidRPr="00B93EE1">
              <w:rPr>
                <w:rFonts w:cstheme="minorHAnsi"/>
                <w:sz w:val="14"/>
                <w:szCs w:val="14"/>
              </w:rPr>
              <w:t>36.8</w:t>
            </w:r>
          </w:p>
        </w:tc>
        <w:tc>
          <w:tcPr>
            <w:tcW w:w="941" w:type="dxa"/>
            <w:noWrap/>
          </w:tcPr>
          <w:p w14:paraId="613F7863" w14:textId="77777777" w:rsidR="00120717" w:rsidRPr="00B93EE1" w:rsidRDefault="00120717" w:rsidP="002562F5">
            <w:pPr>
              <w:ind w:left="113"/>
              <w:jc w:val="right"/>
              <w:rPr>
                <w:rFonts w:cs="Arial"/>
                <w:sz w:val="14"/>
                <w:szCs w:val="14"/>
              </w:rPr>
            </w:pPr>
            <w:r w:rsidRPr="00B93EE1">
              <w:rPr>
                <w:rFonts w:cstheme="minorHAnsi"/>
                <w:sz w:val="14"/>
                <w:szCs w:val="14"/>
              </w:rPr>
              <w:t xml:space="preserve">35.9 </w:t>
            </w:r>
          </w:p>
        </w:tc>
        <w:tc>
          <w:tcPr>
            <w:tcW w:w="940" w:type="dxa"/>
            <w:noWrap/>
          </w:tcPr>
          <w:p w14:paraId="5AFA531E" w14:textId="77777777" w:rsidR="00120717" w:rsidRPr="00B93EE1" w:rsidRDefault="00120717" w:rsidP="002562F5">
            <w:pPr>
              <w:ind w:left="113"/>
              <w:jc w:val="right"/>
              <w:rPr>
                <w:rFonts w:cs="Arial"/>
                <w:sz w:val="14"/>
                <w:szCs w:val="14"/>
              </w:rPr>
            </w:pPr>
            <w:r w:rsidRPr="00B93EE1">
              <w:rPr>
                <w:rFonts w:cstheme="minorHAnsi"/>
                <w:sz w:val="14"/>
                <w:szCs w:val="14"/>
              </w:rPr>
              <w:t xml:space="preserve">35.1 </w:t>
            </w:r>
          </w:p>
        </w:tc>
        <w:tc>
          <w:tcPr>
            <w:tcW w:w="941" w:type="dxa"/>
            <w:noWrap/>
          </w:tcPr>
          <w:p w14:paraId="505387FB" w14:textId="77777777" w:rsidR="00120717" w:rsidRPr="00B93EE1" w:rsidRDefault="00120717" w:rsidP="002562F5">
            <w:pPr>
              <w:ind w:left="113"/>
              <w:jc w:val="right"/>
              <w:rPr>
                <w:rFonts w:cs="Arial"/>
                <w:sz w:val="14"/>
                <w:szCs w:val="14"/>
              </w:rPr>
            </w:pPr>
            <w:r w:rsidRPr="00B93EE1">
              <w:rPr>
                <w:rFonts w:cstheme="minorHAnsi"/>
                <w:sz w:val="14"/>
                <w:szCs w:val="14"/>
              </w:rPr>
              <w:t xml:space="preserve">35.9 </w:t>
            </w:r>
          </w:p>
        </w:tc>
        <w:tc>
          <w:tcPr>
            <w:tcW w:w="941" w:type="dxa"/>
            <w:noWrap/>
          </w:tcPr>
          <w:p w14:paraId="2F94791C" w14:textId="77777777" w:rsidR="00120717" w:rsidRPr="00B93EE1" w:rsidRDefault="00120717" w:rsidP="002562F5">
            <w:pPr>
              <w:ind w:left="113"/>
              <w:jc w:val="right"/>
              <w:rPr>
                <w:rFonts w:cs="Arial"/>
                <w:sz w:val="14"/>
                <w:szCs w:val="14"/>
              </w:rPr>
            </w:pPr>
            <w:r w:rsidRPr="00B93EE1">
              <w:rPr>
                <w:rFonts w:cstheme="minorHAnsi"/>
                <w:sz w:val="14"/>
                <w:szCs w:val="14"/>
              </w:rPr>
              <w:t xml:space="preserve">43.8 </w:t>
            </w:r>
          </w:p>
        </w:tc>
        <w:tc>
          <w:tcPr>
            <w:tcW w:w="941" w:type="dxa"/>
            <w:noWrap/>
          </w:tcPr>
          <w:p w14:paraId="6DF6E13D" w14:textId="77777777" w:rsidR="00120717" w:rsidRPr="00B93EE1" w:rsidRDefault="00120717" w:rsidP="002562F5">
            <w:pPr>
              <w:ind w:left="113"/>
              <w:jc w:val="right"/>
              <w:rPr>
                <w:rFonts w:cs="Arial"/>
                <w:sz w:val="14"/>
                <w:szCs w:val="14"/>
              </w:rPr>
            </w:pPr>
            <w:r w:rsidRPr="00B93EE1">
              <w:rPr>
                <w:rFonts w:cstheme="minorHAnsi"/>
                <w:sz w:val="14"/>
                <w:szCs w:val="14"/>
              </w:rPr>
              <w:t xml:space="preserve">39.4 </w:t>
            </w:r>
          </w:p>
        </w:tc>
      </w:tr>
      <w:tr w:rsidR="00120717" w:rsidRPr="00B93EE1" w14:paraId="37C531F7" w14:textId="77777777" w:rsidTr="009C2A96">
        <w:tc>
          <w:tcPr>
            <w:tcW w:w="2431" w:type="dxa"/>
            <w:noWrap/>
            <w:hideMark/>
          </w:tcPr>
          <w:p w14:paraId="34212DBD" w14:textId="77777777" w:rsidR="00120717" w:rsidRPr="00B93EE1" w:rsidRDefault="00120717" w:rsidP="009C2A96">
            <w:pPr>
              <w:jc w:val="left"/>
              <w:rPr>
                <w:rFonts w:cs="Arial"/>
                <w:sz w:val="14"/>
                <w:szCs w:val="14"/>
              </w:rPr>
            </w:pPr>
            <w:r w:rsidRPr="00B93EE1">
              <w:rPr>
                <w:rFonts w:cs="Arial"/>
                <w:sz w:val="14"/>
                <w:szCs w:val="14"/>
              </w:rPr>
              <w:t>Operating balance before gains and losses</w:t>
            </w:r>
          </w:p>
        </w:tc>
        <w:tc>
          <w:tcPr>
            <w:tcW w:w="940" w:type="dxa"/>
            <w:noWrap/>
          </w:tcPr>
          <w:p w14:paraId="77E4826D" w14:textId="77777777" w:rsidR="00120717" w:rsidRPr="00B93EE1" w:rsidRDefault="00120717" w:rsidP="002562F5">
            <w:pPr>
              <w:ind w:left="113"/>
              <w:jc w:val="right"/>
              <w:rPr>
                <w:rFonts w:cs="Arial"/>
                <w:sz w:val="14"/>
                <w:szCs w:val="14"/>
              </w:rPr>
            </w:pPr>
            <w:r w:rsidRPr="00B93EE1">
              <w:rPr>
                <w:rFonts w:cstheme="minorHAnsi"/>
                <w:sz w:val="14"/>
                <w:szCs w:val="14"/>
              </w:rPr>
              <w:t>0.2</w:t>
            </w:r>
          </w:p>
        </w:tc>
        <w:tc>
          <w:tcPr>
            <w:tcW w:w="941" w:type="dxa"/>
            <w:noWrap/>
          </w:tcPr>
          <w:p w14:paraId="146C767A" w14:textId="77777777" w:rsidR="00120717" w:rsidRPr="00B93EE1" w:rsidRDefault="00120717" w:rsidP="002562F5">
            <w:pPr>
              <w:ind w:left="113"/>
              <w:jc w:val="right"/>
              <w:rPr>
                <w:rFonts w:cs="Arial"/>
                <w:sz w:val="14"/>
                <w:szCs w:val="14"/>
              </w:rPr>
            </w:pPr>
            <w:r w:rsidRPr="00B93EE1">
              <w:rPr>
                <w:rFonts w:cstheme="minorHAnsi"/>
                <w:sz w:val="14"/>
                <w:szCs w:val="14"/>
              </w:rPr>
              <w:t>0.7</w:t>
            </w:r>
          </w:p>
        </w:tc>
        <w:tc>
          <w:tcPr>
            <w:tcW w:w="941" w:type="dxa"/>
            <w:noWrap/>
          </w:tcPr>
          <w:p w14:paraId="2009E8EF" w14:textId="77777777" w:rsidR="00120717" w:rsidRPr="00B93EE1" w:rsidRDefault="00120717" w:rsidP="002562F5">
            <w:pPr>
              <w:ind w:left="113"/>
              <w:jc w:val="right"/>
              <w:rPr>
                <w:rFonts w:cs="Arial"/>
                <w:sz w:val="14"/>
                <w:szCs w:val="14"/>
              </w:rPr>
            </w:pPr>
            <w:r w:rsidRPr="00B93EE1">
              <w:rPr>
                <w:rFonts w:cstheme="minorHAnsi"/>
                <w:sz w:val="14"/>
                <w:szCs w:val="14"/>
              </w:rPr>
              <w:t xml:space="preserve">1.5 </w:t>
            </w:r>
          </w:p>
        </w:tc>
        <w:tc>
          <w:tcPr>
            <w:tcW w:w="940" w:type="dxa"/>
            <w:noWrap/>
          </w:tcPr>
          <w:p w14:paraId="3739DEA9" w14:textId="77777777" w:rsidR="00120717" w:rsidRPr="00B93EE1" w:rsidRDefault="00120717" w:rsidP="002562F5">
            <w:pPr>
              <w:ind w:left="113"/>
              <w:jc w:val="right"/>
              <w:rPr>
                <w:rFonts w:cs="Arial"/>
                <w:sz w:val="14"/>
                <w:szCs w:val="14"/>
              </w:rPr>
            </w:pPr>
            <w:r w:rsidRPr="00B93EE1">
              <w:rPr>
                <w:rFonts w:cstheme="minorHAnsi"/>
                <w:sz w:val="14"/>
                <w:szCs w:val="14"/>
              </w:rPr>
              <w:t xml:space="preserve">1.9 </w:t>
            </w:r>
          </w:p>
        </w:tc>
        <w:tc>
          <w:tcPr>
            <w:tcW w:w="941" w:type="dxa"/>
            <w:noWrap/>
          </w:tcPr>
          <w:p w14:paraId="421FB7F6" w14:textId="77777777" w:rsidR="00120717" w:rsidRPr="00B93EE1" w:rsidRDefault="00120717" w:rsidP="002562F5">
            <w:pPr>
              <w:ind w:left="113"/>
              <w:jc w:val="right"/>
              <w:rPr>
                <w:rFonts w:cs="Arial"/>
                <w:sz w:val="14"/>
                <w:szCs w:val="14"/>
              </w:rPr>
            </w:pPr>
            <w:r w:rsidRPr="00B93EE1">
              <w:rPr>
                <w:rFonts w:cstheme="minorHAnsi"/>
                <w:sz w:val="14"/>
                <w:szCs w:val="14"/>
              </w:rPr>
              <w:t xml:space="preserve">2.4 </w:t>
            </w:r>
          </w:p>
        </w:tc>
        <w:tc>
          <w:tcPr>
            <w:tcW w:w="941" w:type="dxa"/>
            <w:noWrap/>
          </w:tcPr>
          <w:p w14:paraId="55E1258B" w14:textId="77777777" w:rsidR="00120717" w:rsidRPr="00B93EE1" w:rsidRDefault="00120717" w:rsidP="002562F5">
            <w:pPr>
              <w:ind w:left="113"/>
              <w:jc w:val="right"/>
              <w:rPr>
                <w:rFonts w:cs="Arial"/>
                <w:sz w:val="14"/>
                <w:szCs w:val="14"/>
              </w:rPr>
            </w:pPr>
            <w:r w:rsidRPr="00B93EE1">
              <w:rPr>
                <w:rFonts w:cstheme="minorHAnsi"/>
                <w:sz w:val="14"/>
                <w:szCs w:val="14"/>
              </w:rPr>
              <w:t>-7.3</w:t>
            </w:r>
          </w:p>
        </w:tc>
        <w:tc>
          <w:tcPr>
            <w:tcW w:w="941" w:type="dxa"/>
            <w:noWrap/>
          </w:tcPr>
          <w:p w14:paraId="396A22C8" w14:textId="77777777" w:rsidR="00120717" w:rsidRPr="00B93EE1" w:rsidRDefault="00120717" w:rsidP="002562F5">
            <w:pPr>
              <w:ind w:left="113"/>
              <w:jc w:val="right"/>
              <w:rPr>
                <w:rFonts w:cs="Arial"/>
                <w:sz w:val="14"/>
                <w:szCs w:val="14"/>
              </w:rPr>
            </w:pPr>
            <w:r w:rsidRPr="00B93EE1">
              <w:rPr>
                <w:rFonts w:cstheme="minorHAnsi"/>
                <w:sz w:val="14"/>
                <w:szCs w:val="14"/>
              </w:rPr>
              <w:t>-1.3</w:t>
            </w:r>
          </w:p>
        </w:tc>
      </w:tr>
      <w:tr w:rsidR="00120717" w:rsidRPr="00B93EE1" w14:paraId="21BF992D"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231AAC5F" w14:textId="77777777" w:rsidR="00120717" w:rsidRPr="00B93EE1" w:rsidRDefault="00120717" w:rsidP="009C2A96">
            <w:pPr>
              <w:jc w:val="left"/>
              <w:rPr>
                <w:rFonts w:cs="Arial"/>
                <w:sz w:val="14"/>
                <w:szCs w:val="14"/>
              </w:rPr>
            </w:pPr>
            <w:r w:rsidRPr="00B93EE1">
              <w:rPr>
                <w:rFonts w:cs="Arial"/>
                <w:sz w:val="14"/>
                <w:szCs w:val="14"/>
              </w:rPr>
              <w:t xml:space="preserve">Gross </w:t>
            </w:r>
            <w:proofErr w:type="spellStart"/>
            <w:r w:rsidRPr="00B93EE1">
              <w:rPr>
                <w:rFonts w:cs="Arial"/>
                <w:sz w:val="14"/>
                <w:szCs w:val="14"/>
              </w:rPr>
              <w:t>debt</w:t>
            </w:r>
            <w:r w:rsidRPr="00B93EE1">
              <w:rPr>
                <w:rFonts w:cs="Arial"/>
                <w:sz w:val="14"/>
                <w:szCs w:val="14"/>
                <w:vertAlign w:val="superscript"/>
              </w:rPr>
              <w:t>a</w:t>
            </w:r>
            <w:proofErr w:type="spellEnd"/>
          </w:p>
        </w:tc>
        <w:tc>
          <w:tcPr>
            <w:tcW w:w="940" w:type="dxa"/>
            <w:noWrap/>
          </w:tcPr>
          <w:p w14:paraId="5153719B" w14:textId="77777777" w:rsidR="00120717" w:rsidRPr="00B93EE1" w:rsidRDefault="00120717" w:rsidP="002562F5">
            <w:pPr>
              <w:ind w:left="113"/>
              <w:jc w:val="right"/>
              <w:rPr>
                <w:rFonts w:cs="Arial"/>
                <w:sz w:val="14"/>
                <w:szCs w:val="14"/>
              </w:rPr>
            </w:pPr>
            <w:r w:rsidRPr="00B93EE1">
              <w:rPr>
                <w:rFonts w:cstheme="minorHAnsi"/>
                <w:sz w:val="14"/>
                <w:szCs w:val="14"/>
              </w:rPr>
              <w:t>35.1</w:t>
            </w:r>
          </w:p>
        </w:tc>
        <w:tc>
          <w:tcPr>
            <w:tcW w:w="941" w:type="dxa"/>
            <w:noWrap/>
          </w:tcPr>
          <w:p w14:paraId="093A30E3" w14:textId="77777777" w:rsidR="00120717" w:rsidRPr="00B93EE1" w:rsidRDefault="00120717" w:rsidP="002562F5">
            <w:pPr>
              <w:ind w:left="113"/>
              <w:jc w:val="right"/>
              <w:rPr>
                <w:rFonts w:cs="Arial"/>
                <w:sz w:val="14"/>
                <w:szCs w:val="14"/>
              </w:rPr>
            </w:pPr>
            <w:r w:rsidRPr="00B93EE1">
              <w:rPr>
                <w:rFonts w:cstheme="minorHAnsi"/>
                <w:sz w:val="14"/>
                <w:szCs w:val="14"/>
              </w:rPr>
              <w:t>33.6</w:t>
            </w:r>
          </w:p>
        </w:tc>
        <w:tc>
          <w:tcPr>
            <w:tcW w:w="941" w:type="dxa"/>
            <w:noWrap/>
          </w:tcPr>
          <w:p w14:paraId="18722552" w14:textId="77777777" w:rsidR="00120717" w:rsidRPr="00B93EE1" w:rsidRDefault="00120717" w:rsidP="002562F5">
            <w:pPr>
              <w:ind w:left="113"/>
              <w:jc w:val="right"/>
              <w:rPr>
                <w:rFonts w:cs="Arial"/>
                <w:sz w:val="14"/>
                <w:szCs w:val="14"/>
              </w:rPr>
            </w:pPr>
            <w:r w:rsidRPr="00B93EE1">
              <w:rPr>
                <w:rFonts w:cstheme="minorHAnsi"/>
                <w:sz w:val="14"/>
                <w:szCs w:val="14"/>
              </w:rPr>
              <w:t xml:space="preserve">31.6 </w:t>
            </w:r>
          </w:p>
        </w:tc>
        <w:tc>
          <w:tcPr>
            <w:tcW w:w="940" w:type="dxa"/>
            <w:noWrap/>
          </w:tcPr>
          <w:p w14:paraId="6E0E7EBF" w14:textId="77777777" w:rsidR="00120717" w:rsidRPr="00B93EE1" w:rsidRDefault="00120717" w:rsidP="002562F5">
            <w:pPr>
              <w:ind w:left="113"/>
              <w:jc w:val="right"/>
              <w:rPr>
                <w:rFonts w:cs="Arial"/>
                <w:sz w:val="14"/>
                <w:szCs w:val="14"/>
              </w:rPr>
            </w:pPr>
            <w:r w:rsidRPr="00B93EE1">
              <w:rPr>
                <w:rFonts w:cstheme="minorHAnsi"/>
                <w:sz w:val="14"/>
                <w:szCs w:val="14"/>
              </w:rPr>
              <w:t xml:space="preserve">29.7 </w:t>
            </w:r>
          </w:p>
        </w:tc>
        <w:tc>
          <w:tcPr>
            <w:tcW w:w="941" w:type="dxa"/>
            <w:noWrap/>
          </w:tcPr>
          <w:p w14:paraId="3D215BEC" w14:textId="77777777" w:rsidR="00120717" w:rsidRPr="00B93EE1" w:rsidRDefault="00120717" w:rsidP="002562F5">
            <w:pPr>
              <w:ind w:left="113"/>
              <w:jc w:val="right"/>
              <w:rPr>
                <w:rFonts w:cs="Arial"/>
                <w:sz w:val="14"/>
                <w:szCs w:val="14"/>
              </w:rPr>
            </w:pPr>
            <w:r w:rsidRPr="00B93EE1">
              <w:rPr>
                <w:rFonts w:cstheme="minorHAnsi"/>
                <w:sz w:val="14"/>
                <w:szCs w:val="14"/>
              </w:rPr>
              <w:t xml:space="preserve">27.2 </w:t>
            </w:r>
          </w:p>
        </w:tc>
        <w:tc>
          <w:tcPr>
            <w:tcW w:w="941" w:type="dxa"/>
            <w:noWrap/>
          </w:tcPr>
          <w:p w14:paraId="43D0545C" w14:textId="77777777" w:rsidR="00120717" w:rsidRPr="00B93EE1" w:rsidRDefault="00120717" w:rsidP="002562F5">
            <w:pPr>
              <w:ind w:left="113"/>
              <w:jc w:val="right"/>
              <w:rPr>
                <w:rFonts w:cs="Arial"/>
                <w:sz w:val="14"/>
                <w:szCs w:val="14"/>
              </w:rPr>
            </w:pPr>
            <w:r w:rsidRPr="00B93EE1">
              <w:rPr>
                <w:rFonts w:cstheme="minorHAnsi"/>
                <w:sz w:val="14"/>
                <w:szCs w:val="14"/>
              </w:rPr>
              <w:t xml:space="preserve">32.2 </w:t>
            </w:r>
          </w:p>
        </w:tc>
        <w:tc>
          <w:tcPr>
            <w:tcW w:w="941" w:type="dxa"/>
            <w:noWrap/>
          </w:tcPr>
          <w:p w14:paraId="2A412F48" w14:textId="77777777" w:rsidR="00120717" w:rsidRPr="00B93EE1" w:rsidRDefault="00120717" w:rsidP="002562F5">
            <w:pPr>
              <w:ind w:left="113"/>
              <w:jc w:val="right"/>
              <w:rPr>
                <w:rFonts w:cs="Arial"/>
                <w:sz w:val="14"/>
                <w:szCs w:val="14"/>
              </w:rPr>
            </w:pPr>
            <w:r w:rsidRPr="00B93EE1">
              <w:rPr>
                <w:rFonts w:cstheme="minorHAnsi"/>
                <w:sz w:val="14"/>
                <w:szCs w:val="14"/>
              </w:rPr>
              <w:t xml:space="preserve">30.2 </w:t>
            </w:r>
          </w:p>
        </w:tc>
      </w:tr>
      <w:tr w:rsidR="00120717" w:rsidRPr="00B93EE1" w14:paraId="14D962F1" w14:textId="77777777" w:rsidTr="009C2A96">
        <w:tc>
          <w:tcPr>
            <w:tcW w:w="2431" w:type="dxa"/>
            <w:noWrap/>
            <w:hideMark/>
          </w:tcPr>
          <w:p w14:paraId="4E6419C8" w14:textId="77777777" w:rsidR="00120717" w:rsidRPr="00B93EE1" w:rsidRDefault="00120717" w:rsidP="009C2A96">
            <w:pPr>
              <w:jc w:val="left"/>
              <w:rPr>
                <w:rFonts w:cs="Arial"/>
                <w:sz w:val="14"/>
                <w:szCs w:val="14"/>
              </w:rPr>
            </w:pPr>
            <w:r w:rsidRPr="00B93EE1">
              <w:rPr>
                <w:rFonts w:cs="Arial"/>
                <w:sz w:val="14"/>
                <w:szCs w:val="14"/>
              </w:rPr>
              <w:t xml:space="preserve">Net </w:t>
            </w:r>
            <w:proofErr w:type="spellStart"/>
            <w:r w:rsidRPr="00B93EE1">
              <w:rPr>
                <w:rFonts w:cs="Arial"/>
                <w:sz w:val="14"/>
                <w:szCs w:val="14"/>
              </w:rPr>
              <w:t>debt</w:t>
            </w:r>
            <w:r w:rsidRPr="00B93EE1">
              <w:rPr>
                <w:rFonts w:cs="Arial"/>
                <w:sz w:val="14"/>
                <w:szCs w:val="14"/>
                <w:vertAlign w:val="superscript"/>
              </w:rPr>
              <w:t>b</w:t>
            </w:r>
            <w:proofErr w:type="spellEnd"/>
            <w:r w:rsidRPr="00B93EE1">
              <w:rPr>
                <w:rFonts w:cs="Arial"/>
                <w:sz w:val="14"/>
                <w:szCs w:val="14"/>
              </w:rPr>
              <w:t xml:space="preserve"> </w:t>
            </w:r>
          </w:p>
        </w:tc>
        <w:tc>
          <w:tcPr>
            <w:tcW w:w="940" w:type="dxa"/>
            <w:noWrap/>
          </w:tcPr>
          <w:p w14:paraId="713DDD9A" w14:textId="77777777" w:rsidR="00120717" w:rsidRPr="00B93EE1" w:rsidRDefault="00120717" w:rsidP="002562F5">
            <w:pPr>
              <w:ind w:left="113"/>
              <w:jc w:val="right"/>
              <w:rPr>
                <w:rFonts w:cs="Arial"/>
                <w:sz w:val="14"/>
                <w:szCs w:val="14"/>
              </w:rPr>
            </w:pPr>
            <w:r w:rsidRPr="00B93EE1">
              <w:rPr>
                <w:rFonts w:cstheme="minorHAnsi"/>
                <w:sz w:val="14"/>
                <w:szCs w:val="14"/>
              </w:rPr>
              <w:t>24.7</w:t>
            </w:r>
          </w:p>
        </w:tc>
        <w:tc>
          <w:tcPr>
            <w:tcW w:w="941" w:type="dxa"/>
            <w:noWrap/>
          </w:tcPr>
          <w:p w14:paraId="6D6B55E1" w14:textId="77777777" w:rsidR="00120717" w:rsidRPr="00B93EE1" w:rsidRDefault="00120717" w:rsidP="002562F5">
            <w:pPr>
              <w:ind w:left="113"/>
              <w:jc w:val="right"/>
              <w:rPr>
                <w:rFonts w:cs="Arial"/>
                <w:sz w:val="14"/>
                <w:szCs w:val="14"/>
              </w:rPr>
            </w:pPr>
            <w:r w:rsidRPr="00B93EE1">
              <w:rPr>
                <w:rFonts w:cstheme="minorHAnsi"/>
                <w:sz w:val="14"/>
                <w:szCs w:val="14"/>
              </w:rPr>
              <w:t>23.9</w:t>
            </w:r>
          </w:p>
        </w:tc>
        <w:tc>
          <w:tcPr>
            <w:tcW w:w="941" w:type="dxa"/>
            <w:noWrap/>
          </w:tcPr>
          <w:p w14:paraId="49CA792C" w14:textId="77777777" w:rsidR="00120717" w:rsidRPr="00B93EE1" w:rsidRDefault="00120717" w:rsidP="002562F5">
            <w:pPr>
              <w:ind w:left="113"/>
              <w:jc w:val="right"/>
              <w:rPr>
                <w:rFonts w:cs="Arial"/>
                <w:sz w:val="14"/>
                <w:szCs w:val="14"/>
              </w:rPr>
            </w:pPr>
            <w:r w:rsidRPr="00B93EE1">
              <w:rPr>
                <w:rFonts w:cstheme="minorHAnsi"/>
                <w:sz w:val="14"/>
                <w:szCs w:val="14"/>
              </w:rPr>
              <w:t xml:space="preserve">21.6 </w:t>
            </w:r>
          </w:p>
        </w:tc>
        <w:tc>
          <w:tcPr>
            <w:tcW w:w="940" w:type="dxa"/>
            <w:noWrap/>
          </w:tcPr>
          <w:p w14:paraId="77975E21" w14:textId="77777777" w:rsidR="00120717" w:rsidRPr="00B93EE1" w:rsidRDefault="00120717" w:rsidP="002562F5">
            <w:pPr>
              <w:ind w:left="113"/>
              <w:jc w:val="right"/>
              <w:rPr>
                <w:rFonts w:cs="Arial"/>
                <w:sz w:val="14"/>
                <w:szCs w:val="14"/>
              </w:rPr>
            </w:pPr>
            <w:r w:rsidRPr="00B93EE1">
              <w:rPr>
                <w:rFonts w:cstheme="minorHAnsi"/>
                <w:sz w:val="14"/>
                <w:szCs w:val="14"/>
              </w:rPr>
              <w:t xml:space="preserve">19.4 </w:t>
            </w:r>
          </w:p>
        </w:tc>
        <w:tc>
          <w:tcPr>
            <w:tcW w:w="941" w:type="dxa"/>
            <w:noWrap/>
          </w:tcPr>
          <w:p w14:paraId="05030D54" w14:textId="77777777" w:rsidR="00120717" w:rsidRPr="00B93EE1" w:rsidRDefault="00120717" w:rsidP="002562F5">
            <w:pPr>
              <w:ind w:left="113"/>
              <w:jc w:val="right"/>
              <w:rPr>
                <w:rFonts w:cs="Arial"/>
                <w:sz w:val="14"/>
                <w:szCs w:val="14"/>
              </w:rPr>
            </w:pPr>
            <w:r w:rsidRPr="00B93EE1">
              <w:rPr>
                <w:rFonts w:cstheme="minorHAnsi"/>
                <w:sz w:val="14"/>
                <w:szCs w:val="14"/>
              </w:rPr>
              <w:t xml:space="preserve">18.6 </w:t>
            </w:r>
          </w:p>
        </w:tc>
        <w:tc>
          <w:tcPr>
            <w:tcW w:w="941" w:type="dxa"/>
            <w:noWrap/>
          </w:tcPr>
          <w:p w14:paraId="6123145F" w14:textId="77777777" w:rsidR="00120717" w:rsidRPr="00B93EE1" w:rsidRDefault="00120717" w:rsidP="002562F5">
            <w:pPr>
              <w:ind w:left="113"/>
              <w:jc w:val="right"/>
              <w:rPr>
                <w:rFonts w:cs="Arial"/>
                <w:sz w:val="14"/>
                <w:szCs w:val="14"/>
              </w:rPr>
            </w:pPr>
            <w:r w:rsidRPr="00B93EE1">
              <w:rPr>
                <w:rFonts w:cstheme="minorHAnsi"/>
                <w:sz w:val="14"/>
                <w:szCs w:val="14"/>
              </w:rPr>
              <w:t xml:space="preserve">26.3 </w:t>
            </w:r>
          </w:p>
        </w:tc>
        <w:tc>
          <w:tcPr>
            <w:tcW w:w="941" w:type="dxa"/>
            <w:noWrap/>
          </w:tcPr>
          <w:p w14:paraId="19D17DF2" w14:textId="77777777" w:rsidR="00120717" w:rsidRPr="00B93EE1" w:rsidRDefault="00120717" w:rsidP="002562F5">
            <w:pPr>
              <w:ind w:left="113"/>
              <w:jc w:val="right"/>
              <w:rPr>
                <w:rFonts w:cs="Arial"/>
                <w:sz w:val="14"/>
                <w:szCs w:val="14"/>
              </w:rPr>
            </w:pPr>
            <w:r w:rsidRPr="00B93EE1">
              <w:rPr>
                <w:rFonts w:cstheme="minorHAnsi"/>
                <w:sz w:val="14"/>
                <w:szCs w:val="14"/>
              </w:rPr>
              <w:t xml:space="preserve">30.1 </w:t>
            </w:r>
          </w:p>
        </w:tc>
      </w:tr>
      <w:tr w:rsidR="00120717" w:rsidRPr="00B93EE1" w14:paraId="65D2A8DF"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72B5699A" w14:textId="77777777" w:rsidR="00120717" w:rsidRPr="00B93EE1" w:rsidRDefault="00120717" w:rsidP="009C2A96">
            <w:pPr>
              <w:jc w:val="left"/>
              <w:rPr>
                <w:rFonts w:cs="Arial"/>
                <w:b/>
                <w:bCs/>
                <w:sz w:val="14"/>
                <w:szCs w:val="14"/>
              </w:rPr>
            </w:pPr>
            <w:r w:rsidRPr="00B93EE1">
              <w:rPr>
                <w:rFonts w:cs="Arial"/>
                <w:b/>
                <w:bCs/>
                <w:sz w:val="14"/>
                <w:szCs w:val="14"/>
              </w:rPr>
              <w:t>Saving and investment</w:t>
            </w:r>
          </w:p>
          <w:p w14:paraId="34A11FAC" w14:textId="77777777" w:rsidR="00120717" w:rsidRPr="00B93EE1" w:rsidRDefault="00120717" w:rsidP="009C2A96">
            <w:pPr>
              <w:jc w:val="left"/>
              <w:rPr>
                <w:rFonts w:cs="Arial"/>
                <w:b/>
                <w:bCs/>
                <w:sz w:val="14"/>
                <w:szCs w:val="14"/>
              </w:rPr>
            </w:pPr>
            <w:r w:rsidRPr="00B93EE1">
              <w:rPr>
                <w:rFonts w:cs="Arial"/>
                <w:b/>
                <w:bCs/>
                <w:sz w:val="14"/>
                <w:szCs w:val="14"/>
              </w:rPr>
              <w:t>(% of GDP)</w:t>
            </w:r>
          </w:p>
        </w:tc>
        <w:tc>
          <w:tcPr>
            <w:tcW w:w="940" w:type="dxa"/>
            <w:noWrap/>
          </w:tcPr>
          <w:p w14:paraId="2448E486" w14:textId="77777777" w:rsidR="00120717" w:rsidRPr="00B93EE1" w:rsidRDefault="00120717" w:rsidP="002562F5">
            <w:pPr>
              <w:ind w:left="113"/>
              <w:rPr>
                <w:rFonts w:cs="Arial"/>
                <w:sz w:val="14"/>
                <w:szCs w:val="14"/>
              </w:rPr>
            </w:pPr>
          </w:p>
        </w:tc>
        <w:tc>
          <w:tcPr>
            <w:tcW w:w="941" w:type="dxa"/>
            <w:noWrap/>
          </w:tcPr>
          <w:p w14:paraId="1B73B6C2" w14:textId="77777777" w:rsidR="00120717" w:rsidRPr="00B93EE1" w:rsidRDefault="00120717" w:rsidP="002562F5">
            <w:pPr>
              <w:ind w:left="113"/>
              <w:jc w:val="right"/>
              <w:rPr>
                <w:sz w:val="14"/>
                <w:szCs w:val="14"/>
              </w:rPr>
            </w:pPr>
          </w:p>
        </w:tc>
        <w:tc>
          <w:tcPr>
            <w:tcW w:w="941" w:type="dxa"/>
            <w:noWrap/>
          </w:tcPr>
          <w:p w14:paraId="4136EE4B" w14:textId="77777777" w:rsidR="00120717" w:rsidRPr="00B93EE1" w:rsidRDefault="00120717" w:rsidP="002562F5">
            <w:pPr>
              <w:ind w:left="113"/>
              <w:jc w:val="right"/>
              <w:rPr>
                <w:sz w:val="14"/>
                <w:szCs w:val="14"/>
              </w:rPr>
            </w:pPr>
          </w:p>
        </w:tc>
        <w:tc>
          <w:tcPr>
            <w:tcW w:w="940" w:type="dxa"/>
            <w:noWrap/>
          </w:tcPr>
          <w:p w14:paraId="73608776" w14:textId="77777777" w:rsidR="00120717" w:rsidRPr="00B93EE1" w:rsidRDefault="00120717" w:rsidP="002562F5">
            <w:pPr>
              <w:ind w:left="113"/>
              <w:jc w:val="right"/>
              <w:rPr>
                <w:sz w:val="14"/>
                <w:szCs w:val="14"/>
              </w:rPr>
            </w:pPr>
          </w:p>
        </w:tc>
        <w:tc>
          <w:tcPr>
            <w:tcW w:w="941" w:type="dxa"/>
            <w:noWrap/>
          </w:tcPr>
          <w:p w14:paraId="5939C05D" w14:textId="77777777" w:rsidR="00120717" w:rsidRPr="00B93EE1" w:rsidRDefault="00120717" w:rsidP="002562F5">
            <w:pPr>
              <w:ind w:left="113"/>
              <w:jc w:val="right"/>
              <w:rPr>
                <w:sz w:val="14"/>
                <w:szCs w:val="14"/>
              </w:rPr>
            </w:pPr>
          </w:p>
        </w:tc>
        <w:tc>
          <w:tcPr>
            <w:tcW w:w="941" w:type="dxa"/>
            <w:noWrap/>
          </w:tcPr>
          <w:p w14:paraId="17958B6D" w14:textId="77777777" w:rsidR="00120717" w:rsidRPr="00B93EE1" w:rsidRDefault="00120717" w:rsidP="002562F5">
            <w:pPr>
              <w:ind w:left="113"/>
              <w:jc w:val="right"/>
              <w:rPr>
                <w:sz w:val="14"/>
                <w:szCs w:val="14"/>
              </w:rPr>
            </w:pPr>
          </w:p>
        </w:tc>
        <w:tc>
          <w:tcPr>
            <w:tcW w:w="941" w:type="dxa"/>
            <w:noWrap/>
          </w:tcPr>
          <w:p w14:paraId="5F128DB1" w14:textId="77777777" w:rsidR="00120717" w:rsidRPr="00B93EE1" w:rsidRDefault="00120717" w:rsidP="002562F5">
            <w:pPr>
              <w:ind w:left="113"/>
              <w:jc w:val="right"/>
              <w:rPr>
                <w:sz w:val="14"/>
                <w:szCs w:val="14"/>
              </w:rPr>
            </w:pPr>
          </w:p>
        </w:tc>
      </w:tr>
      <w:tr w:rsidR="00120717" w:rsidRPr="00B93EE1" w14:paraId="13D1CAA3" w14:textId="77777777" w:rsidTr="009C2A96">
        <w:tc>
          <w:tcPr>
            <w:tcW w:w="2431" w:type="dxa"/>
            <w:noWrap/>
            <w:hideMark/>
          </w:tcPr>
          <w:p w14:paraId="5DA57097" w14:textId="77777777" w:rsidR="00120717" w:rsidRPr="00B93EE1" w:rsidRDefault="00120717" w:rsidP="009C2A96">
            <w:pPr>
              <w:jc w:val="left"/>
              <w:rPr>
                <w:rFonts w:cs="Arial"/>
                <w:sz w:val="14"/>
                <w:szCs w:val="14"/>
              </w:rPr>
            </w:pPr>
            <w:r w:rsidRPr="00B93EE1">
              <w:rPr>
                <w:rFonts w:cs="Arial"/>
                <w:sz w:val="14"/>
                <w:szCs w:val="14"/>
              </w:rPr>
              <w:t>Gross national savings</w:t>
            </w:r>
          </w:p>
        </w:tc>
        <w:tc>
          <w:tcPr>
            <w:tcW w:w="940" w:type="dxa"/>
            <w:noWrap/>
          </w:tcPr>
          <w:p w14:paraId="2EDD3B2E"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19.6</w:t>
            </w:r>
          </w:p>
        </w:tc>
        <w:tc>
          <w:tcPr>
            <w:tcW w:w="941" w:type="dxa"/>
            <w:noWrap/>
          </w:tcPr>
          <w:p w14:paraId="783423E2"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20.7</w:t>
            </w:r>
          </w:p>
        </w:tc>
        <w:tc>
          <w:tcPr>
            <w:tcW w:w="941" w:type="dxa"/>
            <w:noWrap/>
          </w:tcPr>
          <w:p w14:paraId="03517C95"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20.6</w:t>
            </w:r>
          </w:p>
        </w:tc>
        <w:tc>
          <w:tcPr>
            <w:tcW w:w="940" w:type="dxa"/>
            <w:noWrap/>
          </w:tcPr>
          <w:p w14:paraId="68250DC2"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20.8</w:t>
            </w:r>
          </w:p>
        </w:tc>
        <w:tc>
          <w:tcPr>
            <w:tcW w:w="941" w:type="dxa"/>
            <w:noWrap/>
          </w:tcPr>
          <w:p w14:paraId="708DBD11"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20.3</w:t>
            </w:r>
          </w:p>
        </w:tc>
        <w:tc>
          <w:tcPr>
            <w:tcW w:w="941" w:type="dxa"/>
            <w:noWrap/>
          </w:tcPr>
          <w:p w14:paraId="089B341C" w14:textId="77777777" w:rsidR="00120717" w:rsidRPr="00B93EE1" w:rsidRDefault="00120717" w:rsidP="002562F5">
            <w:pPr>
              <w:ind w:left="113"/>
              <w:jc w:val="right"/>
              <w:rPr>
                <w:rFonts w:cs="Arial"/>
                <w:sz w:val="14"/>
                <w:szCs w:val="14"/>
              </w:rPr>
            </w:pPr>
            <w:r w:rsidRPr="00B93EE1">
              <w:rPr>
                <w:rFonts w:cstheme="minorHAnsi"/>
                <w:color w:val="000000"/>
                <w:sz w:val="14"/>
                <w:szCs w:val="14"/>
              </w:rPr>
              <w:t>21.3</w:t>
            </w:r>
          </w:p>
        </w:tc>
        <w:tc>
          <w:tcPr>
            <w:tcW w:w="941" w:type="dxa"/>
            <w:noWrap/>
          </w:tcPr>
          <w:p w14:paraId="452ABE42"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19.6</w:t>
            </w:r>
          </w:p>
        </w:tc>
      </w:tr>
      <w:tr w:rsidR="00120717" w:rsidRPr="00B93EE1" w14:paraId="03ED67BB"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72578ED4" w14:textId="77777777" w:rsidR="00120717" w:rsidRPr="00B93EE1" w:rsidRDefault="00120717" w:rsidP="009C2A96">
            <w:pPr>
              <w:jc w:val="left"/>
              <w:rPr>
                <w:rFonts w:cs="Arial"/>
                <w:sz w:val="14"/>
                <w:szCs w:val="14"/>
              </w:rPr>
            </w:pPr>
            <w:r w:rsidRPr="00B93EE1">
              <w:rPr>
                <w:rFonts w:cs="Arial"/>
                <w:sz w:val="14"/>
                <w:szCs w:val="14"/>
              </w:rPr>
              <w:t>Gross domestic investment</w:t>
            </w:r>
          </w:p>
        </w:tc>
        <w:tc>
          <w:tcPr>
            <w:tcW w:w="940" w:type="dxa"/>
            <w:noWrap/>
          </w:tcPr>
          <w:p w14:paraId="240F3D06" w14:textId="77777777" w:rsidR="00120717" w:rsidRPr="00B93EE1" w:rsidRDefault="00120717" w:rsidP="002562F5">
            <w:pPr>
              <w:ind w:left="113"/>
              <w:jc w:val="right"/>
              <w:rPr>
                <w:rFonts w:cs="Arial"/>
                <w:sz w:val="14"/>
                <w:szCs w:val="14"/>
              </w:rPr>
            </w:pPr>
            <w:r w:rsidRPr="00B93EE1">
              <w:rPr>
                <w:rFonts w:cstheme="minorHAnsi"/>
                <w:color w:val="000000"/>
                <w:sz w:val="14"/>
                <w:szCs w:val="14"/>
              </w:rPr>
              <w:t>23.0</w:t>
            </w:r>
          </w:p>
        </w:tc>
        <w:tc>
          <w:tcPr>
            <w:tcW w:w="941" w:type="dxa"/>
            <w:noWrap/>
          </w:tcPr>
          <w:p w14:paraId="77A4D921" w14:textId="77777777" w:rsidR="00120717" w:rsidRPr="00B93EE1" w:rsidRDefault="00120717" w:rsidP="002562F5">
            <w:pPr>
              <w:ind w:left="113"/>
              <w:jc w:val="right"/>
              <w:rPr>
                <w:rFonts w:cs="Arial"/>
                <w:sz w:val="14"/>
                <w:szCs w:val="14"/>
              </w:rPr>
            </w:pPr>
            <w:r w:rsidRPr="00B93EE1">
              <w:rPr>
                <w:rFonts w:cstheme="minorHAnsi"/>
                <w:color w:val="000000"/>
                <w:sz w:val="14"/>
                <w:szCs w:val="14"/>
              </w:rPr>
              <w:t>23.2</w:t>
            </w:r>
          </w:p>
        </w:tc>
        <w:tc>
          <w:tcPr>
            <w:tcW w:w="941" w:type="dxa"/>
            <w:noWrap/>
          </w:tcPr>
          <w:p w14:paraId="0A2AD1E9" w14:textId="77777777" w:rsidR="00120717" w:rsidRPr="00B93EE1" w:rsidRDefault="00120717" w:rsidP="002562F5">
            <w:pPr>
              <w:ind w:left="113"/>
              <w:jc w:val="right"/>
              <w:rPr>
                <w:rFonts w:cs="Arial"/>
                <w:sz w:val="14"/>
                <w:szCs w:val="14"/>
              </w:rPr>
            </w:pPr>
            <w:r w:rsidRPr="00B93EE1">
              <w:rPr>
                <w:rFonts w:cstheme="minorHAnsi"/>
                <w:color w:val="000000"/>
                <w:sz w:val="14"/>
                <w:szCs w:val="14"/>
              </w:rPr>
              <w:t>23.1</w:t>
            </w:r>
          </w:p>
        </w:tc>
        <w:tc>
          <w:tcPr>
            <w:tcW w:w="940" w:type="dxa"/>
            <w:noWrap/>
          </w:tcPr>
          <w:p w14:paraId="27C38221" w14:textId="77777777" w:rsidR="00120717" w:rsidRPr="00B93EE1" w:rsidRDefault="00120717" w:rsidP="002562F5">
            <w:pPr>
              <w:ind w:left="113"/>
              <w:jc w:val="right"/>
              <w:rPr>
                <w:rFonts w:cs="Arial"/>
                <w:sz w:val="14"/>
                <w:szCs w:val="14"/>
              </w:rPr>
            </w:pPr>
            <w:r w:rsidRPr="00B93EE1">
              <w:rPr>
                <w:rFonts w:cstheme="minorHAnsi"/>
                <w:color w:val="000000"/>
                <w:sz w:val="14"/>
                <w:szCs w:val="14"/>
              </w:rPr>
              <w:t>23.7</w:t>
            </w:r>
          </w:p>
        </w:tc>
        <w:tc>
          <w:tcPr>
            <w:tcW w:w="941" w:type="dxa"/>
            <w:noWrap/>
          </w:tcPr>
          <w:p w14:paraId="12640575" w14:textId="77777777" w:rsidR="00120717" w:rsidRPr="00B93EE1" w:rsidRDefault="00120717" w:rsidP="002562F5">
            <w:pPr>
              <w:ind w:left="113"/>
              <w:jc w:val="right"/>
              <w:rPr>
                <w:rFonts w:cs="Arial"/>
                <w:sz w:val="14"/>
                <w:szCs w:val="14"/>
              </w:rPr>
            </w:pPr>
            <w:r w:rsidRPr="00B93EE1">
              <w:rPr>
                <w:rFonts w:cstheme="minorHAnsi"/>
                <w:color w:val="000000"/>
                <w:sz w:val="14"/>
                <w:szCs w:val="14"/>
              </w:rPr>
              <w:t>24.0</w:t>
            </w:r>
          </w:p>
        </w:tc>
        <w:tc>
          <w:tcPr>
            <w:tcW w:w="941" w:type="dxa"/>
            <w:noWrap/>
          </w:tcPr>
          <w:p w14:paraId="22320856" w14:textId="77777777" w:rsidR="00120717" w:rsidRPr="00B93EE1" w:rsidRDefault="00120717" w:rsidP="002562F5">
            <w:pPr>
              <w:ind w:left="113"/>
              <w:jc w:val="right"/>
              <w:rPr>
                <w:rFonts w:cs="Arial"/>
                <w:sz w:val="14"/>
                <w:szCs w:val="14"/>
              </w:rPr>
            </w:pPr>
            <w:r w:rsidRPr="00B93EE1">
              <w:rPr>
                <w:rFonts w:cstheme="minorHAnsi"/>
                <w:color w:val="000000"/>
                <w:sz w:val="14"/>
                <w:szCs w:val="14"/>
              </w:rPr>
              <w:t>23.7</w:t>
            </w:r>
          </w:p>
        </w:tc>
        <w:tc>
          <w:tcPr>
            <w:tcW w:w="941" w:type="dxa"/>
            <w:noWrap/>
          </w:tcPr>
          <w:p w14:paraId="747692DF" w14:textId="77777777" w:rsidR="00120717" w:rsidRPr="00B93EE1" w:rsidRDefault="00120717" w:rsidP="002562F5">
            <w:pPr>
              <w:ind w:left="113"/>
              <w:jc w:val="right"/>
              <w:rPr>
                <w:rFonts w:cs="Arial"/>
                <w:sz w:val="14"/>
                <w:szCs w:val="14"/>
              </w:rPr>
            </w:pPr>
            <w:r w:rsidRPr="00B93EE1">
              <w:rPr>
                <w:rFonts w:cstheme="minorHAnsi"/>
                <w:color w:val="000000"/>
                <w:sz w:val="14"/>
                <w:szCs w:val="14"/>
              </w:rPr>
              <w:t>22.3</w:t>
            </w:r>
          </w:p>
        </w:tc>
      </w:tr>
      <w:tr w:rsidR="00120717" w:rsidRPr="00B93EE1" w14:paraId="2A1A38A1" w14:textId="77777777" w:rsidTr="009C2A96">
        <w:tc>
          <w:tcPr>
            <w:tcW w:w="2431" w:type="dxa"/>
            <w:noWrap/>
            <w:hideMark/>
          </w:tcPr>
          <w:p w14:paraId="45B12802" w14:textId="77777777" w:rsidR="00120717" w:rsidRPr="00B93EE1" w:rsidRDefault="00120717" w:rsidP="009C2A96">
            <w:pPr>
              <w:jc w:val="left"/>
              <w:rPr>
                <w:rFonts w:cs="Arial"/>
                <w:b/>
                <w:bCs/>
                <w:sz w:val="14"/>
                <w:szCs w:val="14"/>
              </w:rPr>
            </w:pPr>
            <w:r w:rsidRPr="00B93EE1">
              <w:rPr>
                <w:rFonts w:cs="Arial"/>
                <w:b/>
                <w:bCs/>
                <w:sz w:val="14"/>
                <w:szCs w:val="14"/>
              </w:rPr>
              <w:t>External sector (% of GDP, unless otherwise indicated)</w:t>
            </w:r>
          </w:p>
        </w:tc>
        <w:tc>
          <w:tcPr>
            <w:tcW w:w="940" w:type="dxa"/>
            <w:noWrap/>
          </w:tcPr>
          <w:p w14:paraId="38589B9C" w14:textId="77777777" w:rsidR="00120717" w:rsidRPr="00B93EE1" w:rsidRDefault="00120717" w:rsidP="002562F5">
            <w:pPr>
              <w:ind w:left="113"/>
              <w:rPr>
                <w:rFonts w:cs="Arial"/>
                <w:b/>
                <w:bCs/>
                <w:sz w:val="14"/>
                <w:szCs w:val="14"/>
              </w:rPr>
            </w:pPr>
          </w:p>
        </w:tc>
        <w:tc>
          <w:tcPr>
            <w:tcW w:w="941" w:type="dxa"/>
            <w:noWrap/>
          </w:tcPr>
          <w:p w14:paraId="3A568311" w14:textId="77777777" w:rsidR="00120717" w:rsidRPr="00B93EE1" w:rsidRDefault="00120717" w:rsidP="002562F5">
            <w:pPr>
              <w:ind w:left="113"/>
              <w:jc w:val="right"/>
              <w:rPr>
                <w:sz w:val="14"/>
                <w:szCs w:val="14"/>
              </w:rPr>
            </w:pPr>
          </w:p>
        </w:tc>
        <w:tc>
          <w:tcPr>
            <w:tcW w:w="941" w:type="dxa"/>
            <w:noWrap/>
          </w:tcPr>
          <w:p w14:paraId="23EF0363" w14:textId="77777777" w:rsidR="00120717" w:rsidRPr="00B93EE1" w:rsidRDefault="00120717" w:rsidP="002562F5">
            <w:pPr>
              <w:ind w:left="113"/>
              <w:jc w:val="right"/>
              <w:rPr>
                <w:sz w:val="14"/>
                <w:szCs w:val="14"/>
              </w:rPr>
            </w:pPr>
          </w:p>
        </w:tc>
        <w:tc>
          <w:tcPr>
            <w:tcW w:w="940" w:type="dxa"/>
            <w:noWrap/>
          </w:tcPr>
          <w:p w14:paraId="2361A922" w14:textId="77777777" w:rsidR="00120717" w:rsidRPr="00B93EE1" w:rsidRDefault="00120717" w:rsidP="002562F5">
            <w:pPr>
              <w:ind w:left="113"/>
              <w:jc w:val="right"/>
              <w:rPr>
                <w:sz w:val="14"/>
                <w:szCs w:val="14"/>
              </w:rPr>
            </w:pPr>
          </w:p>
        </w:tc>
        <w:tc>
          <w:tcPr>
            <w:tcW w:w="941" w:type="dxa"/>
            <w:noWrap/>
          </w:tcPr>
          <w:p w14:paraId="74A251B8" w14:textId="77777777" w:rsidR="00120717" w:rsidRPr="00B93EE1" w:rsidRDefault="00120717" w:rsidP="002562F5">
            <w:pPr>
              <w:ind w:left="113"/>
              <w:jc w:val="right"/>
              <w:rPr>
                <w:sz w:val="14"/>
                <w:szCs w:val="14"/>
              </w:rPr>
            </w:pPr>
          </w:p>
        </w:tc>
        <w:tc>
          <w:tcPr>
            <w:tcW w:w="941" w:type="dxa"/>
            <w:noWrap/>
          </w:tcPr>
          <w:p w14:paraId="1225EDEB" w14:textId="77777777" w:rsidR="00120717" w:rsidRPr="00B93EE1" w:rsidRDefault="00120717" w:rsidP="002562F5">
            <w:pPr>
              <w:ind w:left="113"/>
              <w:jc w:val="right"/>
              <w:rPr>
                <w:sz w:val="14"/>
                <w:szCs w:val="14"/>
              </w:rPr>
            </w:pPr>
          </w:p>
        </w:tc>
        <w:tc>
          <w:tcPr>
            <w:tcW w:w="941" w:type="dxa"/>
            <w:noWrap/>
          </w:tcPr>
          <w:p w14:paraId="5424FD67" w14:textId="77777777" w:rsidR="00120717" w:rsidRPr="00B93EE1" w:rsidRDefault="00120717" w:rsidP="002562F5">
            <w:pPr>
              <w:ind w:left="113"/>
              <w:jc w:val="right"/>
              <w:rPr>
                <w:sz w:val="14"/>
                <w:szCs w:val="14"/>
              </w:rPr>
            </w:pPr>
          </w:p>
        </w:tc>
      </w:tr>
      <w:tr w:rsidR="00120717" w:rsidRPr="00B93EE1" w14:paraId="3F10F351"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4AFB34A8" w14:textId="77777777" w:rsidR="00120717" w:rsidRPr="00B93EE1" w:rsidRDefault="00120717" w:rsidP="009C2A96">
            <w:pPr>
              <w:jc w:val="left"/>
              <w:rPr>
                <w:rFonts w:cs="Arial"/>
                <w:sz w:val="14"/>
                <w:szCs w:val="14"/>
              </w:rPr>
            </w:pPr>
            <w:r w:rsidRPr="00B93EE1">
              <w:rPr>
                <w:rFonts w:cs="Arial"/>
                <w:sz w:val="14"/>
                <w:szCs w:val="14"/>
              </w:rPr>
              <w:t xml:space="preserve">Current account balance </w:t>
            </w:r>
          </w:p>
        </w:tc>
        <w:tc>
          <w:tcPr>
            <w:tcW w:w="940" w:type="dxa"/>
            <w:noWrap/>
          </w:tcPr>
          <w:p w14:paraId="221FE567" w14:textId="77777777" w:rsidR="00120717" w:rsidRPr="00B93EE1" w:rsidRDefault="00120717" w:rsidP="002562F5">
            <w:pPr>
              <w:ind w:left="113"/>
              <w:jc w:val="right"/>
              <w:rPr>
                <w:rFonts w:cs="Arial"/>
                <w:sz w:val="14"/>
                <w:szCs w:val="14"/>
              </w:rPr>
            </w:pPr>
            <w:r w:rsidRPr="00B93EE1">
              <w:rPr>
                <w:rFonts w:cstheme="minorHAnsi"/>
                <w:color w:val="000000"/>
                <w:sz w:val="14"/>
                <w:szCs w:val="14"/>
              </w:rPr>
              <w:t>-3.4</w:t>
            </w:r>
          </w:p>
        </w:tc>
        <w:tc>
          <w:tcPr>
            <w:tcW w:w="941" w:type="dxa"/>
            <w:noWrap/>
          </w:tcPr>
          <w:p w14:paraId="3CB06820" w14:textId="77777777" w:rsidR="00120717" w:rsidRPr="00B93EE1" w:rsidRDefault="00120717" w:rsidP="002562F5">
            <w:pPr>
              <w:ind w:left="113"/>
              <w:jc w:val="right"/>
              <w:rPr>
                <w:rFonts w:cs="Arial"/>
                <w:sz w:val="14"/>
                <w:szCs w:val="14"/>
              </w:rPr>
            </w:pPr>
            <w:r w:rsidRPr="00B93EE1">
              <w:rPr>
                <w:rFonts w:cstheme="minorHAnsi"/>
                <w:color w:val="000000"/>
                <w:sz w:val="14"/>
                <w:szCs w:val="14"/>
              </w:rPr>
              <w:t>-2.5</w:t>
            </w:r>
          </w:p>
        </w:tc>
        <w:tc>
          <w:tcPr>
            <w:tcW w:w="941" w:type="dxa"/>
            <w:noWrap/>
          </w:tcPr>
          <w:p w14:paraId="569766F2" w14:textId="77777777" w:rsidR="00120717" w:rsidRPr="00B93EE1" w:rsidRDefault="00120717" w:rsidP="002562F5">
            <w:pPr>
              <w:ind w:left="113"/>
              <w:jc w:val="right"/>
              <w:rPr>
                <w:rFonts w:cs="Arial"/>
                <w:sz w:val="14"/>
                <w:szCs w:val="14"/>
              </w:rPr>
            </w:pPr>
            <w:r w:rsidRPr="00B93EE1">
              <w:rPr>
                <w:rFonts w:cstheme="minorHAnsi"/>
                <w:color w:val="000000"/>
                <w:sz w:val="14"/>
                <w:szCs w:val="14"/>
              </w:rPr>
              <w:t>-2.5</w:t>
            </w:r>
          </w:p>
        </w:tc>
        <w:tc>
          <w:tcPr>
            <w:tcW w:w="940" w:type="dxa"/>
            <w:noWrap/>
          </w:tcPr>
          <w:p w14:paraId="09552B28" w14:textId="77777777" w:rsidR="00120717" w:rsidRPr="00B93EE1" w:rsidRDefault="00120717" w:rsidP="002562F5">
            <w:pPr>
              <w:ind w:left="113"/>
              <w:jc w:val="right"/>
              <w:rPr>
                <w:rFonts w:cs="Arial"/>
                <w:sz w:val="14"/>
                <w:szCs w:val="14"/>
              </w:rPr>
            </w:pPr>
            <w:r w:rsidRPr="00B93EE1">
              <w:rPr>
                <w:rFonts w:cstheme="minorHAnsi"/>
                <w:color w:val="000000"/>
                <w:sz w:val="14"/>
                <w:szCs w:val="14"/>
              </w:rPr>
              <w:t>-2.9</w:t>
            </w:r>
          </w:p>
        </w:tc>
        <w:tc>
          <w:tcPr>
            <w:tcW w:w="941" w:type="dxa"/>
            <w:noWrap/>
          </w:tcPr>
          <w:p w14:paraId="23655DD2" w14:textId="77777777" w:rsidR="00120717" w:rsidRPr="00B93EE1" w:rsidRDefault="00120717" w:rsidP="002562F5">
            <w:pPr>
              <w:ind w:left="113"/>
              <w:jc w:val="right"/>
              <w:rPr>
                <w:rFonts w:cs="Arial"/>
                <w:sz w:val="14"/>
                <w:szCs w:val="14"/>
              </w:rPr>
            </w:pPr>
            <w:r w:rsidRPr="00B93EE1">
              <w:rPr>
                <w:rFonts w:cstheme="minorHAnsi"/>
                <w:color w:val="000000"/>
                <w:sz w:val="14"/>
                <w:szCs w:val="14"/>
              </w:rPr>
              <w:t>-3.7</w:t>
            </w:r>
          </w:p>
        </w:tc>
        <w:tc>
          <w:tcPr>
            <w:tcW w:w="941" w:type="dxa"/>
            <w:noWrap/>
          </w:tcPr>
          <w:p w14:paraId="02CD154A" w14:textId="77777777" w:rsidR="00120717" w:rsidRPr="00B93EE1" w:rsidRDefault="00120717" w:rsidP="002562F5">
            <w:pPr>
              <w:ind w:left="113"/>
              <w:jc w:val="right"/>
              <w:rPr>
                <w:rFonts w:cs="Arial"/>
                <w:sz w:val="14"/>
                <w:szCs w:val="14"/>
              </w:rPr>
            </w:pPr>
            <w:r w:rsidRPr="00B93EE1">
              <w:rPr>
                <w:rFonts w:cstheme="minorHAnsi"/>
                <w:color w:val="000000"/>
                <w:sz w:val="14"/>
                <w:szCs w:val="14"/>
              </w:rPr>
              <w:t>-2.3</w:t>
            </w:r>
          </w:p>
        </w:tc>
        <w:tc>
          <w:tcPr>
            <w:tcW w:w="941" w:type="dxa"/>
            <w:noWrap/>
          </w:tcPr>
          <w:p w14:paraId="10B65CC0" w14:textId="77777777" w:rsidR="00120717" w:rsidRPr="00B93EE1" w:rsidRDefault="00120717" w:rsidP="002562F5">
            <w:pPr>
              <w:ind w:left="113"/>
              <w:jc w:val="right"/>
              <w:rPr>
                <w:rFonts w:cs="Arial"/>
                <w:sz w:val="14"/>
                <w:szCs w:val="14"/>
              </w:rPr>
            </w:pPr>
            <w:r w:rsidRPr="00B93EE1">
              <w:rPr>
                <w:rFonts w:cstheme="minorHAnsi"/>
                <w:color w:val="000000"/>
                <w:sz w:val="14"/>
                <w:szCs w:val="14"/>
              </w:rPr>
              <w:t>-2.5</w:t>
            </w:r>
          </w:p>
        </w:tc>
      </w:tr>
      <w:tr w:rsidR="00120717" w:rsidRPr="00B93EE1" w14:paraId="0C4769A0" w14:textId="77777777" w:rsidTr="009C2A96">
        <w:tc>
          <w:tcPr>
            <w:tcW w:w="2431" w:type="dxa"/>
            <w:noWrap/>
            <w:hideMark/>
          </w:tcPr>
          <w:p w14:paraId="08533270" w14:textId="77777777" w:rsidR="00120717" w:rsidRPr="00B93EE1" w:rsidRDefault="00120717" w:rsidP="009C2A96">
            <w:pPr>
              <w:jc w:val="left"/>
              <w:rPr>
                <w:rFonts w:cs="Arial"/>
                <w:sz w:val="14"/>
                <w:szCs w:val="14"/>
              </w:rPr>
            </w:pPr>
            <w:r w:rsidRPr="00B93EE1">
              <w:rPr>
                <w:rFonts w:cs="Arial"/>
                <w:sz w:val="14"/>
                <w:szCs w:val="14"/>
              </w:rPr>
              <w:t>Goods balance</w:t>
            </w:r>
          </w:p>
        </w:tc>
        <w:tc>
          <w:tcPr>
            <w:tcW w:w="940" w:type="dxa"/>
            <w:noWrap/>
          </w:tcPr>
          <w:p w14:paraId="7AC29527" w14:textId="77777777" w:rsidR="00120717" w:rsidRPr="00B93EE1" w:rsidRDefault="00120717" w:rsidP="002562F5">
            <w:pPr>
              <w:ind w:left="113"/>
              <w:jc w:val="right"/>
              <w:rPr>
                <w:rFonts w:cs="Arial"/>
                <w:sz w:val="14"/>
                <w:szCs w:val="14"/>
              </w:rPr>
            </w:pPr>
            <w:r w:rsidRPr="00B93EE1">
              <w:rPr>
                <w:rFonts w:cstheme="minorHAnsi"/>
                <w:color w:val="000000"/>
                <w:sz w:val="14"/>
                <w:szCs w:val="14"/>
              </w:rPr>
              <w:t>-0.2</w:t>
            </w:r>
          </w:p>
        </w:tc>
        <w:tc>
          <w:tcPr>
            <w:tcW w:w="941" w:type="dxa"/>
            <w:noWrap/>
          </w:tcPr>
          <w:p w14:paraId="15E0E84A" w14:textId="77777777" w:rsidR="00120717" w:rsidRPr="00B93EE1" w:rsidRDefault="00120717" w:rsidP="002562F5">
            <w:pPr>
              <w:ind w:left="113"/>
              <w:jc w:val="right"/>
              <w:rPr>
                <w:rFonts w:cs="Arial"/>
                <w:sz w:val="14"/>
                <w:szCs w:val="14"/>
              </w:rPr>
            </w:pPr>
            <w:r w:rsidRPr="00B93EE1">
              <w:rPr>
                <w:rFonts w:cstheme="minorHAnsi"/>
                <w:color w:val="000000"/>
                <w:sz w:val="14"/>
                <w:szCs w:val="14"/>
              </w:rPr>
              <w:t>-1.0</w:t>
            </w:r>
          </w:p>
        </w:tc>
        <w:tc>
          <w:tcPr>
            <w:tcW w:w="941" w:type="dxa"/>
            <w:noWrap/>
          </w:tcPr>
          <w:p w14:paraId="703C20BE" w14:textId="77777777" w:rsidR="00120717" w:rsidRPr="00B93EE1" w:rsidRDefault="00120717" w:rsidP="002562F5">
            <w:pPr>
              <w:ind w:left="113"/>
              <w:jc w:val="right"/>
              <w:rPr>
                <w:rFonts w:cs="Arial"/>
                <w:sz w:val="14"/>
                <w:szCs w:val="14"/>
              </w:rPr>
            </w:pPr>
            <w:r w:rsidRPr="00B93EE1">
              <w:rPr>
                <w:rFonts w:cstheme="minorHAnsi"/>
                <w:color w:val="000000"/>
                <w:sz w:val="14"/>
                <w:szCs w:val="14"/>
              </w:rPr>
              <w:t>-1.1</w:t>
            </w:r>
          </w:p>
        </w:tc>
        <w:tc>
          <w:tcPr>
            <w:tcW w:w="940" w:type="dxa"/>
            <w:noWrap/>
          </w:tcPr>
          <w:p w14:paraId="4DC10C43" w14:textId="77777777" w:rsidR="00120717" w:rsidRPr="00B93EE1" w:rsidRDefault="00120717" w:rsidP="002562F5">
            <w:pPr>
              <w:ind w:left="113"/>
              <w:jc w:val="right"/>
              <w:rPr>
                <w:rFonts w:cs="Arial"/>
                <w:sz w:val="14"/>
                <w:szCs w:val="14"/>
              </w:rPr>
            </w:pPr>
            <w:r w:rsidRPr="00B93EE1">
              <w:rPr>
                <w:rFonts w:cstheme="minorHAnsi"/>
                <w:color w:val="000000"/>
                <w:sz w:val="14"/>
                <w:szCs w:val="14"/>
              </w:rPr>
              <w:t>-1.0</w:t>
            </w:r>
          </w:p>
        </w:tc>
        <w:tc>
          <w:tcPr>
            <w:tcW w:w="941" w:type="dxa"/>
            <w:noWrap/>
          </w:tcPr>
          <w:p w14:paraId="02004E45" w14:textId="77777777" w:rsidR="00120717" w:rsidRPr="00B93EE1" w:rsidRDefault="00120717" w:rsidP="002562F5">
            <w:pPr>
              <w:ind w:left="113"/>
              <w:jc w:val="right"/>
              <w:rPr>
                <w:rFonts w:cs="Arial"/>
                <w:sz w:val="14"/>
                <w:szCs w:val="14"/>
              </w:rPr>
            </w:pPr>
            <w:r w:rsidRPr="00B93EE1">
              <w:rPr>
                <w:rFonts w:cstheme="minorHAnsi"/>
                <w:color w:val="000000"/>
                <w:sz w:val="14"/>
                <w:szCs w:val="14"/>
              </w:rPr>
              <w:t>-1.5</w:t>
            </w:r>
          </w:p>
        </w:tc>
        <w:tc>
          <w:tcPr>
            <w:tcW w:w="941" w:type="dxa"/>
            <w:noWrap/>
          </w:tcPr>
          <w:p w14:paraId="60C75E11" w14:textId="77777777" w:rsidR="00120717" w:rsidRPr="00B93EE1" w:rsidRDefault="00120717" w:rsidP="002562F5">
            <w:pPr>
              <w:ind w:left="113"/>
              <w:jc w:val="right"/>
              <w:rPr>
                <w:rFonts w:cs="Arial"/>
                <w:sz w:val="14"/>
                <w:szCs w:val="14"/>
              </w:rPr>
            </w:pPr>
            <w:r w:rsidRPr="00B93EE1">
              <w:rPr>
                <w:rFonts w:cstheme="minorHAnsi"/>
                <w:color w:val="000000"/>
                <w:sz w:val="14"/>
                <w:szCs w:val="14"/>
              </w:rPr>
              <w:t>-0.9</w:t>
            </w:r>
          </w:p>
        </w:tc>
        <w:tc>
          <w:tcPr>
            <w:tcW w:w="941" w:type="dxa"/>
            <w:noWrap/>
          </w:tcPr>
          <w:p w14:paraId="5B70AA70" w14:textId="77777777" w:rsidR="00120717" w:rsidRPr="00B93EE1" w:rsidRDefault="00120717" w:rsidP="002562F5">
            <w:pPr>
              <w:ind w:left="113"/>
              <w:jc w:val="right"/>
              <w:rPr>
                <w:rFonts w:cs="Arial"/>
                <w:sz w:val="14"/>
                <w:szCs w:val="14"/>
              </w:rPr>
            </w:pPr>
            <w:r w:rsidRPr="00B93EE1">
              <w:rPr>
                <w:rFonts w:cstheme="minorHAnsi"/>
                <w:color w:val="000000"/>
                <w:sz w:val="14"/>
                <w:szCs w:val="14"/>
              </w:rPr>
              <w:t>0.5</w:t>
            </w:r>
          </w:p>
        </w:tc>
      </w:tr>
      <w:tr w:rsidR="00120717" w:rsidRPr="00B93EE1" w14:paraId="4B604CD0"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2AABD7EC" w14:textId="77777777" w:rsidR="00120717" w:rsidRPr="00B93EE1" w:rsidRDefault="00120717" w:rsidP="009C2A96">
            <w:pPr>
              <w:ind w:left="170"/>
              <w:jc w:val="left"/>
              <w:rPr>
                <w:rFonts w:cs="Arial"/>
                <w:sz w:val="14"/>
                <w:szCs w:val="14"/>
              </w:rPr>
            </w:pPr>
            <w:r w:rsidRPr="00B93EE1">
              <w:rPr>
                <w:rFonts w:cs="Arial"/>
                <w:sz w:val="14"/>
                <w:szCs w:val="14"/>
              </w:rPr>
              <w:t>Exports</w:t>
            </w:r>
          </w:p>
        </w:tc>
        <w:tc>
          <w:tcPr>
            <w:tcW w:w="940" w:type="dxa"/>
            <w:noWrap/>
          </w:tcPr>
          <w:p w14:paraId="1D874670"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20.3</w:t>
            </w:r>
          </w:p>
        </w:tc>
        <w:tc>
          <w:tcPr>
            <w:tcW w:w="941" w:type="dxa"/>
            <w:noWrap/>
          </w:tcPr>
          <w:p w14:paraId="69A5F806"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19.1</w:t>
            </w:r>
          </w:p>
        </w:tc>
        <w:tc>
          <w:tcPr>
            <w:tcW w:w="941" w:type="dxa"/>
            <w:noWrap/>
          </w:tcPr>
          <w:p w14:paraId="1F28E702" w14:textId="77777777" w:rsidR="00120717" w:rsidRPr="00B93EE1" w:rsidRDefault="00120717" w:rsidP="002562F5">
            <w:pPr>
              <w:ind w:left="113"/>
              <w:jc w:val="right"/>
              <w:rPr>
                <w:rFonts w:cs="Arial"/>
                <w:sz w:val="14"/>
                <w:szCs w:val="14"/>
              </w:rPr>
            </w:pPr>
            <w:r w:rsidRPr="00B93EE1">
              <w:rPr>
                <w:rFonts w:cstheme="minorHAnsi"/>
                <w:color w:val="000000"/>
                <w:sz w:val="14"/>
                <w:szCs w:val="14"/>
              </w:rPr>
              <w:t>18</w:t>
            </w:r>
          </w:p>
        </w:tc>
        <w:tc>
          <w:tcPr>
            <w:tcW w:w="940" w:type="dxa"/>
            <w:noWrap/>
          </w:tcPr>
          <w:p w14:paraId="7F32EF9F" w14:textId="77777777" w:rsidR="00120717" w:rsidRPr="00B93EE1" w:rsidRDefault="00120717" w:rsidP="002562F5">
            <w:pPr>
              <w:ind w:left="113"/>
              <w:jc w:val="right"/>
              <w:rPr>
                <w:rFonts w:cs="Arial"/>
                <w:sz w:val="14"/>
                <w:szCs w:val="14"/>
              </w:rPr>
            </w:pPr>
            <w:r w:rsidRPr="00B93EE1">
              <w:rPr>
                <w:rFonts w:cstheme="minorHAnsi"/>
                <w:color w:val="000000"/>
                <w:sz w:val="14"/>
                <w:szCs w:val="14"/>
              </w:rPr>
              <w:t>18.9</w:t>
            </w:r>
          </w:p>
        </w:tc>
        <w:tc>
          <w:tcPr>
            <w:tcW w:w="941" w:type="dxa"/>
            <w:noWrap/>
          </w:tcPr>
          <w:p w14:paraId="601F93EE"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19.2</w:t>
            </w:r>
          </w:p>
        </w:tc>
        <w:tc>
          <w:tcPr>
            <w:tcW w:w="941" w:type="dxa"/>
            <w:noWrap/>
          </w:tcPr>
          <w:p w14:paraId="367B0454" w14:textId="77777777" w:rsidR="00120717" w:rsidRPr="00B93EE1" w:rsidRDefault="00120717" w:rsidP="002562F5">
            <w:pPr>
              <w:ind w:left="113"/>
              <w:jc w:val="right"/>
              <w:rPr>
                <w:rFonts w:cs="Arial"/>
                <w:sz w:val="14"/>
                <w:szCs w:val="14"/>
              </w:rPr>
            </w:pPr>
            <w:r w:rsidRPr="00B93EE1">
              <w:rPr>
                <w:rFonts w:cstheme="minorHAnsi"/>
                <w:color w:val="000000"/>
                <w:sz w:val="14"/>
                <w:szCs w:val="14"/>
              </w:rPr>
              <w:t>18.8</w:t>
            </w:r>
          </w:p>
        </w:tc>
        <w:tc>
          <w:tcPr>
            <w:tcW w:w="941" w:type="dxa"/>
            <w:noWrap/>
          </w:tcPr>
          <w:p w14:paraId="2861CF74" w14:textId="77777777" w:rsidR="00120717" w:rsidRPr="00B93EE1" w:rsidRDefault="00120717" w:rsidP="002562F5">
            <w:pPr>
              <w:ind w:left="113"/>
              <w:jc w:val="right"/>
              <w:rPr>
                <w:rFonts w:cs="Arial"/>
                <w:sz w:val="14"/>
                <w:szCs w:val="14"/>
              </w:rPr>
            </w:pPr>
            <w:r w:rsidRPr="00B93EE1">
              <w:rPr>
                <w:rFonts w:cstheme="minorHAnsi"/>
                <w:color w:val="000000"/>
                <w:sz w:val="14"/>
                <w:szCs w:val="14"/>
              </w:rPr>
              <w:t>17.9</w:t>
            </w:r>
          </w:p>
        </w:tc>
      </w:tr>
      <w:tr w:rsidR="00120717" w:rsidRPr="00B93EE1" w14:paraId="748055F8" w14:textId="77777777" w:rsidTr="009C2A96">
        <w:tc>
          <w:tcPr>
            <w:tcW w:w="2431" w:type="dxa"/>
            <w:noWrap/>
            <w:hideMark/>
          </w:tcPr>
          <w:p w14:paraId="486F9FD4" w14:textId="77777777" w:rsidR="00120717" w:rsidRPr="00B93EE1" w:rsidRDefault="00120717" w:rsidP="009C2A96">
            <w:pPr>
              <w:ind w:left="170"/>
              <w:jc w:val="left"/>
              <w:rPr>
                <w:rFonts w:cs="Arial"/>
                <w:sz w:val="14"/>
                <w:szCs w:val="14"/>
              </w:rPr>
            </w:pPr>
            <w:r w:rsidRPr="00B93EE1">
              <w:rPr>
                <w:rFonts w:cs="Arial"/>
                <w:sz w:val="14"/>
                <w:szCs w:val="14"/>
              </w:rPr>
              <w:t>Imports</w:t>
            </w:r>
          </w:p>
        </w:tc>
        <w:tc>
          <w:tcPr>
            <w:tcW w:w="940" w:type="dxa"/>
            <w:noWrap/>
          </w:tcPr>
          <w:p w14:paraId="7D5360CD"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20.5</w:t>
            </w:r>
          </w:p>
        </w:tc>
        <w:tc>
          <w:tcPr>
            <w:tcW w:w="941" w:type="dxa"/>
            <w:noWrap/>
          </w:tcPr>
          <w:p w14:paraId="02B5A20C"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20.1</w:t>
            </w:r>
          </w:p>
        </w:tc>
        <w:tc>
          <w:tcPr>
            <w:tcW w:w="941" w:type="dxa"/>
            <w:noWrap/>
          </w:tcPr>
          <w:p w14:paraId="0D16465B"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19.1</w:t>
            </w:r>
          </w:p>
        </w:tc>
        <w:tc>
          <w:tcPr>
            <w:tcW w:w="940" w:type="dxa"/>
            <w:noWrap/>
          </w:tcPr>
          <w:p w14:paraId="2A95DA0B"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19.8</w:t>
            </w:r>
          </w:p>
        </w:tc>
        <w:tc>
          <w:tcPr>
            <w:tcW w:w="941" w:type="dxa"/>
            <w:noWrap/>
          </w:tcPr>
          <w:p w14:paraId="51DA9F51"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20.7</w:t>
            </w:r>
          </w:p>
        </w:tc>
        <w:tc>
          <w:tcPr>
            <w:tcW w:w="941" w:type="dxa"/>
            <w:noWrap/>
          </w:tcPr>
          <w:p w14:paraId="4B1ED462"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19.7</w:t>
            </w:r>
          </w:p>
        </w:tc>
        <w:tc>
          <w:tcPr>
            <w:tcW w:w="941" w:type="dxa"/>
            <w:noWrap/>
          </w:tcPr>
          <w:p w14:paraId="78C68F9C" w14:textId="77777777" w:rsidR="00120717" w:rsidRPr="00B93EE1" w:rsidRDefault="00120717" w:rsidP="002562F5">
            <w:pPr>
              <w:ind w:left="113"/>
              <w:jc w:val="right"/>
              <w:rPr>
                <w:rFonts w:cs="Arial"/>
                <w:sz w:val="14"/>
                <w:szCs w:val="14"/>
              </w:rPr>
            </w:pPr>
            <w:r w:rsidRPr="00B93EE1">
              <w:rPr>
                <w:rFonts w:cstheme="minorHAnsi"/>
                <w:color w:val="000000"/>
                <w:sz w:val="14"/>
                <w:szCs w:val="14"/>
              </w:rPr>
              <w:t>17.4</w:t>
            </w:r>
          </w:p>
        </w:tc>
      </w:tr>
      <w:tr w:rsidR="00120717" w:rsidRPr="00B93EE1" w14:paraId="730C4970"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7A6F067F" w14:textId="77777777" w:rsidR="00120717" w:rsidRPr="00B93EE1" w:rsidRDefault="00120717" w:rsidP="009C2A96">
            <w:pPr>
              <w:jc w:val="left"/>
              <w:rPr>
                <w:rFonts w:cs="Arial"/>
                <w:sz w:val="14"/>
                <w:szCs w:val="14"/>
              </w:rPr>
            </w:pPr>
            <w:r w:rsidRPr="00B93EE1">
              <w:rPr>
                <w:rFonts w:cs="Arial"/>
                <w:sz w:val="14"/>
                <w:szCs w:val="14"/>
              </w:rPr>
              <w:t>Services balance</w:t>
            </w:r>
          </w:p>
        </w:tc>
        <w:tc>
          <w:tcPr>
            <w:tcW w:w="940" w:type="dxa"/>
            <w:noWrap/>
          </w:tcPr>
          <w:p w14:paraId="10593CA3" w14:textId="77777777" w:rsidR="00120717" w:rsidRPr="00B93EE1" w:rsidRDefault="00120717" w:rsidP="002562F5">
            <w:pPr>
              <w:ind w:left="113"/>
              <w:jc w:val="right"/>
              <w:rPr>
                <w:rFonts w:cs="Arial"/>
                <w:sz w:val="14"/>
                <w:szCs w:val="14"/>
              </w:rPr>
            </w:pPr>
            <w:r w:rsidRPr="00B93EE1">
              <w:rPr>
                <w:rFonts w:cstheme="minorHAnsi"/>
                <w:color w:val="000000"/>
                <w:sz w:val="14"/>
                <w:szCs w:val="14"/>
              </w:rPr>
              <w:t>1.0</w:t>
            </w:r>
          </w:p>
        </w:tc>
        <w:tc>
          <w:tcPr>
            <w:tcW w:w="941" w:type="dxa"/>
            <w:noWrap/>
          </w:tcPr>
          <w:p w14:paraId="4A77EE7D"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w:t>
            </w:r>
          </w:p>
        </w:tc>
        <w:tc>
          <w:tcPr>
            <w:tcW w:w="941" w:type="dxa"/>
            <w:noWrap/>
          </w:tcPr>
          <w:p w14:paraId="760510DE" w14:textId="77777777" w:rsidR="00120717" w:rsidRPr="00B93EE1" w:rsidRDefault="00120717" w:rsidP="002562F5">
            <w:pPr>
              <w:ind w:left="113"/>
              <w:jc w:val="right"/>
              <w:rPr>
                <w:rFonts w:cs="Arial"/>
                <w:sz w:val="14"/>
                <w:szCs w:val="14"/>
              </w:rPr>
            </w:pPr>
            <w:r w:rsidRPr="00B93EE1">
              <w:rPr>
                <w:rFonts w:cstheme="minorHAnsi"/>
                <w:color w:val="000000"/>
                <w:sz w:val="14"/>
                <w:szCs w:val="14"/>
              </w:rPr>
              <w:t>1.8</w:t>
            </w:r>
          </w:p>
        </w:tc>
        <w:tc>
          <w:tcPr>
            <w:tcW w:w="940" w:type="dxa"/>
            <w:noWrap/>
          </w:tcPr>
          <w:p w14:paraId="3B64FE39"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w:t>
            </w:r>
          </w:p>
        </w:tc>
        <w:tc>
          <w:tcPr>
            <w:tcW w:w="941" w:type="dxa"/>
            <w:noWrap/>
          </w:tcPr>
          <w:p w14:paraId="2C79A800" w14:textId="77777777" w:rsidR="00120717" w:rsidRPr="00B93EE1" w:rsidRDefault="00120717" w:rsidP="002562F5">
            <w:pPr>
              <w:ind w:left="113"/>
              <w:jc w:val="right"/>
              <w:rPr>
                <w:rFonts w:cs="Arial"/>
                <w:sz w:val="14"/>
                <w:szCs w:val="14"/>
              </w:rPr>
            </w:pPr>
            <w:r w:rsidRPr="00B93EE1">
              <w:rPr>
                <w:rFonts w:cstheme="minorHAnsi"/>
                <w:color w:val="000000"/>
                <w:sz w:val="14"/>
                <w:szCs w:val="14"/>
              </w:rPr>
              <w:t>1.4</w:t>
            </w:r>
          </w:p>
        </w:tc>
        <w:tc>
          <w:tcPr>
            <w:tcW w:w="941" w:type="dxa"/>
            <w:noWrap/>
          </w:tcPr>
          <w:p w14:paraId="522ED2ED" w14:textId="77777777" w:rsidR="00120717" w:rsidRPr="00B93EE1" w:rsidRDefault="00120717" w:rsidP="002562F5">
            <w:pPr>
              <w:ind w:left="113"/>
              <w:jc w:val="right"/>
              <w:rPr>
                <w:rFonts w:cs="Arial"/>
                <w:sz w:val="14"/>
                <w:szCs w:val="14"/>
              </w:rPr>
            </w:pPr>
            <w:r w:rsidRPr="00B93EE1">
              <w:rPr>
                <w:rFonts w:cstheme="minorHAnsi"/>
                <w:color w:val="000000"/>
                <w:sz w:val="14"/>
                <w:szCs w:val="14"/>
              </w:rPr>
              <w:t>1.2</w:t>
            </w:r>
          </w:p>
        </w:tc>
        <w:tc>
          <w:tcPr>
            <w:tcW w:w="941" w:type="dxa"/>
            <w:noWrap/>
          </w:tcPr>
          <w:p w14:paraId="695EC083" w14:textId="77777777" w:rsidR="00120717" w:rsidRPr="00B93EE1" w:rsidRDefault="00120717" w:rsidP="002562F5">
            <w:pPr>
              <w:ind w:left="113"/>
              <w:jc w:val="right"/>
              <w:rPr>
                <w:rFonts w:cs="Arial"/>
                <w:sz w:val="14"/>
                <w:szCs w:val="14"/>
              </w:rPr>
            </w:pPr>
            <w:r w:rsidRPr="00B93EE1">
              <w:rPr>
                <w:rFonts w:cstheme="minorHAnsi"/>
                <w:color w:val="000000"/>
                <w:sz w:val="14"/>
                <w:szCs w:val="14"/>
              </w:rPr>
              <w:t>-0.9</w:t>
            </w:r>
          </w:p>
        </w:tc>
      </w:tr>
      <w:tr w:rsidR="00120717" w:rsidRPr="00B93EE1" w14:paraId="3938B337" w14:textId="77777777" w:rsidTr="009C2A96">
        <w:tc>
          <w:tcPr>
            <w:tcW w:w="2431" w:type="dxa"/>
            <w:noWrap/>
            <w:hideMark/>
          </w:tcPr>
          <w:p w14:paraId="396A4473" w14:textId="77777777" w:rsidR="00120717" w:rsidRPr="00B93EE1" w:rsidRDefault="00120717" w:rsidP="009C2A96">
            <w:pPr>
              <w:ind w:left="170"/>
              <w:jc w:val="left"/>
              <w:rPr>
                <w:rFonts w:cs="Arial"/>
                <w:sz w:val="14"/>
                <w:szCs w:val="14"/>
              </w:rPr>
            </w:pPr>
            <w:r w:rsidRPr="00B93EE1">
              <w:rPr>
                <w:rFonts w:cs="Arial"/>
                <w:sz w:val="14"/>
                <w:szCs w:val="14"/>
              </w:rPr>
              <w:t>Credit</w:t>
            </w:r>
          </w:p>
        </w:tc>
        <w:tc>
          <w:tcPr>
            <w:tcW w:w="940" w:type="dxa"/>
            <w:noWrap/>
          </w:tcPr>
          <w:p w14:paraId="3CD0C5DF" w14:textId="77777777" w:rsidR="00120717" w:rsidRPr="00B93EE1" w:rsidRDefault="00120717" w:rsidP="002562F5">
            <w:pPr>
              <w:ind w:left="113"/>
              <w:jc w:val="right"/>
              <w:rPr>
                <w:rFonts w:cs="Arial"/>
                <w:sz w:val="14"/>
                <w:szCs w:val="14"/>
              </w:rPr>
            </w:pPr>
            <w:r w:rsidRPr="00B93EE1">
              <w:rPr>
                <w:rFonts w:cstheme="minorHAnsi"/>
                <w:color w:val="000000"/>
                <w:sz w:val="14"/>
                <w:szCs w:val="14"/>
              </w:rPr>
              <w:t>7.7</w:t>
            </w:r>
          </w:p>
        </w:tc>
        <w:tc>
          <w:tcPr>
            <w:tcW w:w="941" w:type="dxa"/>
            <w:noWrap/>
          </w:tcPr>
          <w:p w14:paraId="3043CA8A" w14:textId="77777777" w:rsidR="00120717" w:rsidRPr="00B93EE1" w:rsidRDefault="00120717" w:rsidP="002562F5">
            <w:pPr>
              <w:ind w:left="113"/>
              <w:jc w:val="right"/>
              <w:rPr>
                <w:rFonts w:cs="Arial"/>
                <w:sz w:val="14"/>
                <w:szCs w:val="14"/>
              </w:rPr>
            </w:pPr>
            <w:r w:rsidRPr="00B93EE1">
              <w:rPr>
                <w:rFonts w:cstheme="minorHAnsi"/>
                <w:color w:val="000000"/>
                <w:sz w:val="14"/>
                <w:szCs w:val="14"/>
              </w:rPr>
              <w:t>8.8</w:t>
            </w:r>
          </w:p>
        </w:tc>
        <w:tc>
          <w:tcPr>
            <w:tcW w:w="941" w:type="dxa"/>
            <w:noWrap/>
          </w:tcPr>
          <w:p w14:paraId="33BDD165" w14:textId="77777777" w:rsidR="00120717" w:rsidRPr="00B93EE1" w:rsidRDefault="00120717" w:rsidP="002562F5">
            <w:pPr>
              <w:ind w:left="113"/>
              <w:jc w:val="right"/>
              <w:rPr>
                <w:rFonts w:cs="Arial"/>
                <w:sz w:val="14"/>
                <w:szCs w:val="14"/>
              </w:rPr>
            </w:pPr>
            <w:r w:rsidRPr="00B93EE1">
              <w:rPr>
                <w:rFonts w:cstheme="minorHAnsi"/>
                <w:color w:val="000000"/>
                <w:sz w:val="14"/>
                <w:szCs w:val="14"/>
              </w:rPr>
              <w:t>8.6</w:t>
            </w:r>
          </w:p>
        </w:tc>
        <w:tc>
          <w:tcPr>
            <w:tcW w:w="940" w:type="dxa"/>
            <w:noWrap/>
          </w:tcPr>
          <w:p w14:paraId="1416F18D" w14:textId="77777777" w:rsidR="00120717" w:rsidRPr="00B93EE1" w:rsidRDefault="00120717" w:rsidP="002562F5">
            <w:pPr>
              <w:ind w:left="113"/>
              <w:jc w:val="right"/>
              <w:rPr>
                <w:rFonts w:cs="Arial"/>
                <w:sz w:val="14"/>
                <w:szCs w:val="14"/>
              </w:rPr>
            </w:pPr>
            <w:r w:rsidRPr="00B93EE1">
              <w:rPr>
                <w:rFonts w:cstheme="minorHAnsi"/>
                <w:color w:val="000000"/>
                <w:sz w:val="14"/>
                <w:szCs w:val="14"/>
              </w:rPr>
              <w:t>8.7</w:t>
            </w:r>
          </w:p>
        </w:tc>
        <w:tc>
          <w:tcPr>
            <w:tcW w:w="941" w:type="dxa"/>
            <w:noWrap/>
          </w:tcPr>
          <w:p w14:paraId="4F3D6A3D" w14:textId="77777777" w:rsidR="00120717" w:rsidRPr="00B93EE1" w:rsidRDefault="00120717" w:rsidP="002562F5">
            <w:pPr>
              <w:ind w:left="113"/>
              <w:jc w:val="right"/>
              <w:rPr>
                <w:rFonts w:cs="Arial"/>
                <w:sz w:val="14"/>
                <w:szCs w:val="14"/>
              </w:rPr>
            </w:pPr>
            <w:r w:rsidRPr="00B93EE1">
              <w:rPr>
                <w:rFonts w:cstheme="minorHAnsi"/>
                <w:color w:val="000000"/>
                <w:sz w:val="14"/>
                <w:szCs w:val="14"/>
              </w:rPr>
              <w:t>8.7</w:t>
            </w:r>
          </w:p>
        </w:tc>
        <w:tc>
          <w:tcPr>
            <w:tcW w:w="941" w:type="dxa"/>
            <w:noWrap/>
          </w:tcPr>
          <w:p w14:paraId="022192F6" w14:textId="77777777" w:rsidR="00120717" w:rsidRPr="00B93EE1" w:rsidRDefault="00120717" w:rsidP="002562F5">
            <w:pPr>
              <w:ind w:left="113"/>
              <w:jc w:val="right"/>
              <w:rPr>
                <w:rFonts w:cs="Arial"/>
                <w:sz w:val="14"/>
                <w:szCs w:val="14"/>
              </w:rPr>
            </w:pPr>
            <w:r w:rsidRPr="00B93EE1">
              <w:rPr>
                <w:rFonts w:cstheme="minorHAnsi"/>
                <w:color w:val="000000"/>
                <w:sz w:val="14"/>
                <w:szCs w:val="14"/>
              </w:rPr>
              <w:t>8.5</w:t>
            </w:r>
          </w:p>
        </w:tc>
        <w:tc>
          <w:tcPr>
            <w:tcW w:w="941" w:type="dxa"/>
            <w:noWrap/>
          </w:tcPr>
          <w:p w14:paraId="5D0F90F3" w14:textId="77777777" w:rsidR="00120717" w:rsidRPr="00B93EE1" w:rsidRDefault="00120717" w:rsidP="002562F5">
            <w:pPr>
              <w:ind w:left="113"/>
              <w:jc w:val="right"/>
              <w:rPr>
                <w:rFonts w:cs="Arial"/>
                <w:sz w:val="14"/>
                <w:szCs w:val="14"/>
              </w:rPr>
            </w:pPr>
            <w:r w:rsidRPr="00B93EE1">
              <w:rPr>
                <w:rFonts w:cstheme="minorHAnsi"/>
                <w:color w:val="000000"/>
                <w:sz w:val="14"/>
                <w:szCs w:val="14"/>
              </w:rPr>
              <w:t>4.0</w:t>
            </w:r>
          </w:p>
        </w:tc>
      </w:tr>
      <w:tr w:rsidR="00120717" w:rsidRPr="00B93EE1" w14:paraId="1F7BCE51"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4F4015E7" w14:textId="77777777" w:rsidR="00120717" w:rsidRPr="00B93EE1" w:rsidRDefault="00120717" w:rsidP="009C2A96">
            <w:pPr>
              <w:ind w:left="170"/>
              <w:jc w:val="left"/>
              <w:rPr>
                <w:rFonts w:cs="Arial"/>
                <w:sz w:val="14"/>
                <w:szCs w:val="14"/>
              </w:rPr>
            </w:pPr>
            <w:r w:rsidRPr="00B93EE1">
              <w:rPr>
                <w:rFonts w:cs="Arial"/>
                <w:sz w:val="14"/>
                <w:szCs w:val="14"/>
              </w:rPr>
              <w:t>Debit</w:t>
            </w:r>
          </w:p>
        </w:tc>
        <w:tc>
          <w:tcPr>
            <w:tcW w:w="940" w:type="dxa"/>
            <w:noWrap/>
          </w:tcPr>
          <w:p w14:paraId="68951F59" w14:textId="77777777" w:rsidR="00120717" w:rsidRPr="00B93EE1" w:rsidRDefault="00120717" w:rsidP="002562F5">
            <w:pPr>
              <w:ind w:left="113"/>
              <w:jc w:val="right"/>
              <w:rPr>
                <w:rFonts w:cs="Arial"/>
                <w:sz w:val="14"/>
                <w:szCs w:val="14"/>
              </w:rPr>
            </w:pPr>
            <w:r w:rsidRPr="00B93EE1">
              <w:rPr>
                <w:rFonts w:cstheme="minorHAnsi"/>
                <w:color w:val="000000"/>
                <w:sz w:val="14"/>
                <w:szCs w:val="14"/>
              </w:rPr>
              <w:t>6.7</w:t>
            </w:r>
          </w:p>
        </w:tc>
        <w:tc>
          <w:tcPr>
            <w:tcW w:w="941" w:type="dxa"/>
            <w:noWrap/>
          </w:tcPr>
          <w:p w14:paraId="3BE090C5" w14:textId="77777777" w:rsidR="00120717" w:rsidRPr="00B93EE1" w:rsidRDefault="00120717" w:rsidP="002562F5">
            <w:pPr>
              <w:ind w:left="113"/>
              <w:jc w:val="right"/>
              <w:rPr>
                <w:rFonts w:cs="Arial"/>
                <w:sz w:val="14"/>
                <w:szCs w:val="14"/>
              </w:rPr>
            </w:pPr>
            <w:r w:rsidRPr="00B93EE1">
              <w:rPr>
                <w:rFonts w:cstheme="minorHAnsi"/>
                <w:color w:val="000000"/>
                <w:sz w:val="14"/>
                <w:szCs w:val="14"/>
              </w:rPr>
              <w:t>6.8</w:t>
            </w:r>
          </w:p>
        </w:tc>
        <w:tc>
          <w:tcPr>
            <w:tcW w:w="941" w:type="dxa"/>
            <w:noWrap/>
          </w:tcPr>
          <w:p w14:paraId="311E9D93" w14:textId="77777777" w:rsidR="00120717" w:rsidRPr="00B93EE1" w:rsidRDefault="00120717" w:rsidP="002562F5">
            <w:pPr>
              <w:ind w:left="113"/>
              <w:jc w:val="right"/>
              <w:rPr>
                <w:rFonts w:cs="Arial"/>
                <w:sz w:val="14"/>
                <w:szCs w:val="14"/>
              </w:rPr>
            </w:pPr>
            <w:r w:rsidRPr="00B93EE1">
              <w:rPr>
                <w:rFonts w:cstheme="minorHAnsi"/>
                <w:color w:val="000000"/>
                <w:sz w:val="14"/>
                <w:szCs w:val="14"/>
              </w:rPr>
              <w:t>6.7</w:t>
            </w:r>
          </w:p>
        </w:tc>
        <w:tc>
          <w:tcPr>
            <w:tcW w:w="940" w:type="dxa"/>
            <w:noWrap/>
          </w:tcPr>
          <w:p w14:paraId="7E8FD93B" w14:textId="77777777" w:rsidR="00120717" w:rsidRPr="00B93EE1" w:rsidRDefault="00120717" w:rsidP="002562F5">
            <w:pPr>
              <w:ind w:left="113"/>
              <w:jc w:val="right"/>
              <w:rPr>
                <w:rFonts w:cs="Arial"/>
                <w:sz w:val="14"/>
                <w:szCs w:val="14"/>
              </w:rPr>
            </w:pPr>
            <w:r w:rsidRPr="00B93EE1">
              <w:rPr>
                <w:rFonts w:cstheme="minorHAnsi"/>
                <w:color w:val="000000"/>
                <w:sz w:val="14"/>
                <w:szCs w:val="14"/>
              </w:rPr>
              <w:t>6.8</w:t>
            </w:r>
          </w:p>
        </w:tc>
        <w:tc>
          <w:tcPr>
            <w:tcW w:w="941" w:type="dxa"/>
            <w:noWrap/>
          </w:tcPr>
          <w:p w14:paraId="6F8D9B8D" w14:textId="77777777" w:rsidR="00120717" w:rsidRPr="00B93EE1" w:rsidRDefault="00120717" w:rsidP="002562F5">
            <w:pPr>
              <w:ind w:left="113"/>
              <w:jc w:val="right"/>
              <w:rPr>
                <w:rFonts w:cs="Arial"/>
                <w:sz w:val="14"/>
                <w:szCs w:val="14"/>
              </w:rPr>
            </w:pPr>
            <w:r w:rsidRPr="00B93EE1">
              <w:rPr>
                <w:rFonts w:cstheme="minorHAnsi"/>
                <w:color w:val="000000"/>
                <w:sz w:val="14"/>
                <w:szCs w:val="14"/>
              </w:rPr>
              <w:t>7.3</w:t>
            </w:r>
          </w:p>
        </w:tc>
        <w:tc>
          <w:tcPr>
            <w:tcW w:w="941" w:type="dxa"/>
            <w:noWrap/>
          </w:tcPr>
          <w:p w14:paraId="26955873" w14:textId="77777777" w:rsidR="00120717" w:rsidRPr="00B93EE1" w:rsidRDefault="00120717" w:rsidP="002562F5">
            <w:pPr>
              <w:ind w:left="113"/>
              <w:jc w:val="right"/>
              <w:rPr>
                <w:rFonts w:cs="Arial"/>
                <w:sz w:val="14"/>
                <w:szCs w:val="14"/>
              </w:rPr>
            </w:pPr>
            <w:r w:rsidRPr="00B93EE1">
              <w:rPr>
                <w:rFonts w:cstheme="minorHAnsi"/>
                <w:color w:val="000000"/>
                <w:sz w:val="14"/>
                <w:szCs w:val="14"/>
              </w:rPr>
              <w:t>7.3</w:t>
            </w:r>
          </w:p>
        </w:tc>
        <w:tc>
          <w:tcPr>
            <w:tcW w:w="941" w:type="dxa"/>
            <w:noWrap/>
          </w:tcPr>
          <w:p w14:paraId="4A6F00BA" w14:textId="77777777" w:rsidR="00120717" w:rsidRPr="00B93EE1" w:rsidRDefault="00120717" w:rsidP="002562F5">
            <w:pPr>
              <w:ind w:left="113"/>
              <w:jc w:val="right"/>
              <w:rPr>
                <w:rFonts w:cs="Arial"/>
                <w:sz w:val="14"/>
                <w:szCs w:val="14"/>
              </w:rPr>
            </w:pPr>
            <w:r w:rsidRPr="00B93EE1">
              <w:rPr>
                <w:rFonts w:cstheme="minorHAnsi"/>
                <w:color w:val="000000"/>
                <w:sz w:val="14"/>
                <w:szCs w:val="14"/>
              </w:rPr>
              <w:t>4.9</w:t>
            </w:r>
          </w:p>
        </w:tc>
      </w:tr>
      <w:tr w:rsidR="00120717" w:rsidRPr="00B93EE1" w14:paraId="2B00FBA5" w14:textId="77777777" w:rsidTr="009C2A96">
        <w:tc>
          <w:tcPr>
            <w:tcW w:w="2431" w:type="dxa"/>
            <w:noWrap/>
            <w:hideMark/>
          </w:tcPr>
          <w:p w14:paraId="6BA6BEBB" w14:textId="77777777" w:rsidR="00120717" w:rsidRPr="00B93EE1" w:rsidRDefault="00120717" w:rsidP="009C2A96">
            <w:pPr>
              <w:jc w:val="left"/>
              <w:rPr>
                <w:rFonts w:cs="Arial"/>
                <w:sz w:val="14"/>
                <w:szCs w:val="14"/>
              </w:rPr>
            </w:pPr>
            <w:r w:rsidRPr="00B93EE1">
              <w:rPr>
                <w:rFonts w:cs="Arial"/>
                <w:sz w:val="14"/>
                <w:szCs w:val="14"/>
              </w:rPr>
              <w:t>Capital account</w:t>
            </w:r>
          </w:p>
        </w:tc>
        <w:tc>
          <w:tcPr>
            <w:tcW w:w="940" w:type="dxa"/>
            <w:noWrap/>
          </w:tcPr>
          <w:p w14:paraId="76F00CCF" w14:textId="77777777" w:rsidR="00120717" w:rsidRPr="00B93EE1" w:rsidRDefault="00120717" w:rsidP="002562F5">
            <w:pPr>
              <w:ind w:left="113"/>
              <w:jc w:val="right"/>
              <w:rPr>
                <w:rFonts w:cs="Arial"/>
                <w:sz w:val="14"/>
                <w:szCs w:val="14"/>
              </w:rPr>
            </w:pPr>
            <w:r w:rsidRPr="00B93EE1">
              <w:rPr>
                <w:rFonts w:cstheme="minorHAnsi"/>
                <w:color w:val="000000"/>
                <w:sz w:val="14"/>
                <w:szCs w:val="14"/>
              </w:rPr>
              <w:t>0.0</w:t>
            </w:r>
          </w:p>
        </w:tc>
        <w:tc>
          <w:tcPr>
            <w:tcW w:w="941" w:type="dxa"/>
            <w:noWrap/>
          </w:tcPr>
          <w:p w14:paraId="72284B38" w14:textId="77777777" w:rsidR="00120717" w:rsidRPr="00B93EE1" w:rsidRDefault="00120717" w:rsidP="002562F5">
            <w:pPr>
              <w:ind w:left="113"/>
              <w:jc w:val="right"/>
              <w:rPr>
                <w:rFonts w:cs="Arial"/>
                <w:sz w:val="14"/>
                <w:szCs w:val="14"/>
              </w:rPr>
            </w:pPr>
            <w:r w:rsidRPr="00B93EE1">
              <w:rPr>
                <w:rFonts w:cstheme="minorHAnsi"/>
                <w:color w:val="000000"/>
                <w:sz w:val="14"/>
                <w:szCs w:val="14"/>
              </w:rPr>
              <w:t>0.1</w:t>
            </w:r>
          </w:p>
        </w:tc>
        <w:tc>
          <w:tcPr>
            <w:tcW w:w="941" w:type="dxa"/>
            <w:noWrap/>
          </w:tcPr>
          <w:p w14:paraId="0EDAA473" w14:textId="77777777" w:rsidR="00120717" w:rsidRPr="00B93EE1" w:rsidRDefault="00120717" w:rsidP="002562F5">
            <w:pPr>
              <w:ind w:left="113"/>
              <w:jc w:val="right"/>
              <w:rPr>
                <w:rFonts w:cs="Arial"/>
                <w:sz w:val="14"/>
                <w:szCs w:val="14"/>
              </w:rPr>
            </w:pPr>
            <w:r w:rsidRPr="00B93EE1">
              <w:rPr>
                <w:rFonts w:cstheme="minorHAnsi"/>
                <w:color w:val="000000"/>
                <w:sz w:val="14"/>
                <w:szCs w:val="14"/>
              </w:rPr>
              <w:t>0.8</w:t>
            </w:r>
          </w:p>
        </w:tc>
        <w:tc>
          <w:tcPr>
            <w:tcW w:w="940" w:type="dxa"/>
            <w:noWrap/>
          </w:tcPr>
          <w:p w14:paraId="74E3820D" w14:textId="77777777" w:rsidR="00120717" w:rsidRPr="00B93EE1" w:rsidRDefault="00120717" w:rsidP="002562F5">
            <w:pPr>
              <w:ind w:left="113"/>
              <w:jc w:val="right"/>
              <w:rPr>
                <w:rFonts w:cs="Arial"/>
                <w:sz w:val="14"/>
                <w:szCs w:val="14"/>
              </w:rPr>
            </w:pPr>
            <w:r w:rsidRPr="00B93EE1">
              <w:rPr>
                <w:rFonts w:cstheme="minorHAnsi"/>
                <w:color w:val="000000"/>
                <w:sz w:val="14"/>
                <w:szCs w:val="14"/>
              </w:rPr>
              <w:t>0.0</w:t>
            </w:r>
          </w:p>
        </w:tc>
        <w:tc>
          <w:tcPr>
            <w:tcW w:w="941" w:type="dxa"/>
            <w:noWrap/>
          </w:tcPr>
          <w:p w14:paraId="5701285A" w14:textId="77777777" w:rsidR="00120717" w:rsidRPr="00B93EE1" w:rsidRDefault="00120717" w:rsidP="002562F5">
            <w:pPr>
              <w:ind w:left="113"/>
              <w:jc w:val="right"/>
              <w:rPr>
                <w:rFonts w:cs="Arial"/>
                <w:sz w:val="14"/>
                <w:szCs w:val="14"/>
              </w:rPr>
            </w:pPr>
            <w:r w:rsidRPr="00B93EE1">
              <w:rPr>
                <w:rFonts w:cstheme="minorHAnsi"/>
                <w:color w:val="000000"/>
                <w:sz w:val="14"/>
                <w:szCs w:val="14"/>
              </w:rPr>
              <w:t>0.0</w:t>
            </w:r>
          </w:p>
        </w:tc>
        <w:tc>
          <w:tcPr>
            <w:tcW w:w="941" w:type="dxa"/>
            <w:noWrap/>
          </w:tcPr>
          <w:p w14:paraId="6275F9CE" w14:textId="77777777" w:rsidR="00120717" w:rsidRPr="00B93EE1" w:rsidRDefault="00120717" w:rsidP="002562F5">
            <w:pPr>
              <w:ind w:left="113"/>
              <w:jc w:val="right"/>
              <w:rPr>
                <w:rFonts w:cs="Arial"/>
                <w:sz w:val="14"/>
                <w:szCs w:val="14"/>
              </w:rPr>
            </w:pPr>
            <w:r w:rsidRPr="00B93EE1">
              <w:rPr>
                <w:rFonts w:cstheme="minorHAnsi"/>
                <w:color w:val="000000"/>
                <w:sz w:val="14"/>
                <w:szCs w:val="14"/>
              </w:rPr>
              <w:t>0.0</w:t>
            </w:r>
          </w:p>
        </w:tc>
        <w:tc>
          <w:tcPr>
            <w:tcW w:w="941" w:type="dxa"/>
            <w:noWrap/>
          </w:tcPr>
          <w:p w14:paraId="62FD505D" w14:textId="77777777" w:rsidR="00120717" w:rsidRPr="00B93EE1" w:rsidRDefault="00120717" w:rsidP="002562F5">
            <w:pPr>
              <w:ind w:left="113"/>
              <w:jc w:val="right"/>
              <w:rPr>
                <w:rFonts w:cs="Arial"/>
                <w:sz w:val="14"/>
                <w:szCs w:val="14"/>
              </w:rPr>
            </w:pPr>
            <w:r w:rsidRPr="00B93EE1">
              <w:rPr>
                <w:rFonts w:cstheme="minorHAnsi"/>
                <w:color w:val="000000"/>
                <w:sz w:val="14"/>
                <w:szCs w:val="14"/>
              </w:rPr>
              <w:t>0.0</w:t>
            </w:r>
          </w:p>
        </w:tc>
      </w:tr>
      <w:tr w:rsidR="00120717" w:rsidRPr="00B93EE1" w14:paraId="786C37A2"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5FC2A615" w14:textId="77777777" w:rsidR="00120717" w:rsidRPr="00B93EE1" w:rsidRDefault="00120717" w:rsidP="009C2A96">
            <w:pPr>
              <w:jc w:val="left"/>
              <w:rPr>
                <w:rFonts w:cs="Arial"/>
                <w:sz w:val="14"/>
                <w:szCs w:val="14"/>
              </w:rPr>
            </w:pPr>
            <w:r w:rsidRPr="00B93EE1">
              <w:rPr>
                <w:rFonts w:cs="Arial"/>
                <w:sz w:val="14"/>
                <w:szCs w:val="14"/>
              </w:rPr>
              <w:t>Financial account</w:t>
            </w:r>
          </w:p>
        </w:tc>
        <w:tc>
          <w:tcPr>
            <w:tcW w:w="940" w:type="dxa"/>
            <w:noWrap/>
          </w:tcPr>
          <w:p w14:paraId="496A55DC" w14:textId="77777777" w:rsidR="00120717" w:rsidRPr="00B93EE1" w:rsidRDefault="00120717" w:rsidP="002562F5">
            <w:pPr>
              <w:ind w:left="113"/>
              <w:jc w:val="right"/>
              <w:rPr>
                <w:rFonts w:cs="Arial"/>
                <w:sz w:val="14"/>
                <w:szCs w:val="14"/>
              </w:rPr>
            </w:pPr>
            <w:r w:rsidRPr="00B93EE1">
              <w:rPr>
                <w:rFonts w:cstheme="minorHAnsi"/>
                <w:color w:val="000000"/>
                <w:sz w:val="14"/>
                <w:szCs w:val="14"/>
              </w:rPr>
              <w:t>0.5</w:t>
            </w:r>
          </w:p>
        </w:tc>
        <w:tc>
          <w:tcPr>
            <w:tcW w:w="941" w:type="dxa"/>
            <w:noWrap/>
          </w:tcPr>
          <w:p w14:paraId="0F6CB7C9" w14:textId="77777777" w:rsidR="00120717" w:rsidRPr="00B93EE1" w:rsidRDefault="00120717" w:rsidP="002562F5">
            <w:pPr>
              <w:ind w:left="113"/>
              <w:jc w:val="right"/>
              <w:rPr>
                <w:rFonts w:cs="Arial"/>
                <w:sz w:val="14"/>
                <w:szCs w:val="14"/>
              </w:rPr>
            </w:pPr>
            <w:r w:rsidRPr="00B93EE1">
              <w:rPr>
                <w:rFonts w:cstheme="minorHAnsi"/>
                <w:color w:val="000000"/>
                <w:sz w:val="14"/>
                <w:szCs w:val="14"/>
              </w:rPr>
              <w:t>1.4</w:t>
            </w:r>
          </w:p>
        </w:tc>
        <w:tc>
          <w:tcPr>
            <w:tcW w:w="941" w:type="dxa"/>
            <w:noWrap/>
          </w:tcPr>
          <w:p w14:paraId="58D34BD8" w14:textId="77777777" w:rsidR="00120717" w:rsidRPr="00B93EE1" w:rsidRDefault="00120717" w:rsidP="002562F5">
            <w:pPr>
              <w:ind w:left="113"/>
              <w:jc w:val="right"/>
              <w:rPr>
                <w:rFonts w:cs="Arial"/>
                <w:sz w:val="14"/>
                <w:szCs w:val="14"/>
              </w:rPr>
            </w:pPr>
            <w:r w:rsidRPr="00B93EE1">
              <w:rPr>
                <w:rFonts w:cstheme="minorHAnsi"/>
                <w:color w:val="000000"/>
                <w:sz w:val="14"/>
                <w:szCs w:val="14"/>
              </w:rPr>
              <w:t>2.0</w:t>
            </w:r>
          </w:p>
        </w:tc>
        <w:tc>
          <w:tcPr>
            <w:tcW w:w="940" w:type="dxa"/>
            <w:noWrap/>
          </w:tcPr>
          <w:p w14:paraId="3D1195A7" w14:textId="77777777" w:rsidR="00120717" w:rsidRPr="00B93EE1" w:rsidRDefault="00120717" w:rsidP="002562F5">
            <w:pPr>
              <w:ind w:left="113"/>
              <w:jc w:val="right"/>
              <w:rPr>
                <w:rFonts w:cs="Arial"/>
                <w:sz w:val="14"/>
                <w:szCs w:val="14"/>
              </w:rPr>
            </w:pPr>
            <w:r w:rsidRPr="00B93EE1">
              <w:rPr>
                <w:rFonts w:cstheme="minorHAnsi"/>
                <w:color w:val="000000"/>
                <w:sz w:val="14"/>
                <w:szCs w:val="14"/>
              </w:rPr>
              <w:t>1.1</w:t>
            </w:r>
          </w:p>
        </w:tc>
        <w:tc>
          <w:tcPr>
            <w:tcW w:w="941" w:type="dxa"/>
            <w:noWrap/>
          </w:tcPr>
          <w:p w14:paraId="66A70EFE" w14:textId="3A5F0EFC" w:rsidR="00120717" w:rsidRPr="00B93EE1" w:rsidRDefault="00120717" w:rsidP="002562F5">
            <w:pPr>
              <w:ind w:left="113"/>
              <w:jc w:val="right"/>
              <w:rPr>
                <w:rFonts w:cs="Arial"/>
                <w:sz w:val="14"/>
                <w:szCs w:val="14"/>
              </w:rPr>
            </w:pPr>
            <w:r w:rsidRPr="00B93EE1">
              <w:rPr>
                <w:rFonts w:cstheme="minorHAnsi"/>
                <w:color w:val="000000"/>
                <w:sz w:val="14"/>
                <w:szCs w:val="14"/>
              </w:rPr>
              <w:t>0.8</w:t>
            </w:r>
          </w:p>
        </w:tc>
        <w:tc>
          <w:tcPr>
            <w:tcW w:w="941" w:type="dxa"/>
            <w:noWrap/>
          </w:tcPr>
          <w:p w14:paraId="31F7129F" w14:textId="77777777" w:rsidR="00120717" w:rsidRPr="00B93EE1" w:rsidRDefault="00120717" w:rsidP="002562F5">
            <w:pPr>
              <w:ind w:left="113"/>
              <w:jc w:val="right"/>
              <w:rPr>
                <w:rFonts w:cs="Arial"/>
                <w:sz w:val="14"/>
                <w:szCs w:val="14"/>
              </w:rPr>
            </w:pPr>
            <w:r w:rsidRPr="00B93EE1">
              <w:rPr>
                <w:rFonts w:cstheme="minorHAnsi"/>
                <w:color w:val="000000"/>
                <w:sz w:val="14"/>
                <w:szCs w:val="14"/>
              </w:rPr>
              <w:t>-0.2</w:t>
            </w:r>
          </w:p>
        </w:tc>
        <w:tc>
          <w:tcPr>
            <w:tcW w:w="941" w:type="dxa"/>
            <w:noWrap/>
          </w:tcPr>
          <w:p w14:paraId="6E922A43" w14:textId="77777777" w:rsidR="00120717" w:rsidRPr="00B93EE1" w:rsidRDefault="00120717" w:rsidP="002562F5">
            <w:pPr>
              <w:ind w:left="113"/>
              <w:jc w:val="right"/>
              <w:rPr>
                <w:rFonts w:cs="Arial"/>
                <w:sz w:val="14"/>
                <w:szCs w:val="14"/>
              </w:rPr>
            </w:pPr>
            <w:r w:rsidRPr="00B93EE1">
              <w:rPr>
                <w:rFonts w:cstheme="minorHAnsi"/>
                <w:color w:val="000000"/>
                <w:sz w:val="14"/>
                <w:szCs w:val="14"/>
              </w:rPr>
              <w:t>4.1</w:t>
            </w:r>
          </w:p>
        </w:tc>
      </w:tr>
      <w:tr w:rsidR="00120717" w:rsidRPr="00B93EE1" w14:paraId="34FB96A5" w14:textId="77777777" w:rsidTr="009C2A96">
        <w:tc>
          <w:tcPr>
            <w:tcW w:w="2431" w:type="dxa"/>
            <w:noWrap/>
            <w:hideMark/>
          </w:tcPr>
          <w:p w14:paraId="6A9F463F" w14:textId="77777777" w:rsidR="00120717" w:rsidRPr="00B93EE1" w:rsidRDefault="00120717" w:rsidP="009C2A96">
            <w:pPr>
              <w:ind w:left="170"/>
              <w:jc w:val="left"/>
              <w:rPr>
                <w:rFonts w:cs="Arial"/>
                <w:sz w:val="14"/>
                <w:szCs w:val="14"/>
              </w:rPr>
            </w:pPr>
            <w:r w:rsidRPr="00B93EE1">
              <w:rPr>
                <w:rFonts w:cs="Arial"/>
                <w:sz w:val="14"/>
                <w:szCs w:val="14"/>
              </w:rPr>
              <w:t>Direct investment</w:t>
            </w:r>
          </w:p>
        </w:tc>
        <w:tc>
          <w:tcPr>
            <w:tcW w:w="940" w:type="dxa"/>
            <w:noWrap/>
          </w:tcPr>
          <w:p w14:paraId="7B56DD96" w14:textId="77777777" w:rsidR="00120717" w:rsidRPr="00B93EE1" w:rsidRDefault="00120717" w:rsidP="002562F5">
            <w:pPr>
              <w:ind w:left="113"/>
              <w:jc w:val="right"/>
              <w:rPr>
                <w:rFonts w:cs="Arial"/>
                <w:sz w:val="14"/>
                <w:szCs w:val="14"/>
              </w:rPr>
            </w:pPr>
            <w:r w:rsidRPr="00B93EE1">
              <w:rPr>
                <w:rFonts w:cstheme="minorHAnsi"/>
                <w:color w:val="000000"/>
                <w:sz w:val="14"/>
                <w:szCs w:val="14"/>
              </w:rPr>
              <w:t>1.1</w:t>
            </w:r>
          </w:p>
        </w:tc>
        <w:tc>
          <w:tcPr>
            <w:tcW w:w="941" w:type="dxa"/>
            <w:noWrap/>
          </w:tcPr>
          <w:p w14:paraId="4E7FC99D" w14:textId="77777777" w:rsidR="00120717" w:rsidRPr="00B93EE1" w:rsidRDefault="00120717" w:rsidP="002562F5">
            <w:pPr>
              <w:ind w:left="113"/>
              <w:jc w:val="right"/>
              <w:rPr>
                <w:rFonts w:cs="Arial"/>
                <w:sz w:val="14"/>
                <w:szCs w:val="14"/>
              </w:rPr>
            </w:pPr>
            <w:r w:rsidRPr="00B93EE1">
              <w:rPr>
                <w:rFonts w:cstheme="minorHAnsi"/>
                <w:color w:val="000000"/>
                <w:sz w:val="14"/>
                <w:szCs w:val="14"/>
              </w:rPr>
              <w:t>0.0</w:t>
            </w:r>
          </w:p>
        </w:tc>
        <w:tc>
          <w:tcPr>
            <w:tcW w:w="941" w:type="dxa"/>
            <w:noWrap/>
          </w:tcPr>
          <w:p w14:paraId="17666B46" w14:textId="77777777" w:rsidR="00120717" w:rsidRPr="00B93EE1" w:rsidRDefault="00120717" w:rsidP="002562F5">
            <w:pPr>
              <w:ind w:left="113"/>
              <w:jc w:val="right"/>
              <w:rPr>
                <w:rFonts w:cs="Arial"/>
                <w:sz w:val="14"/>
                <w:szCs w:val="14"/>
              </w:rPr>
            </w:pPr>
            <w:r w:rsidRPr="00B93EE1">
              <w:rPr>
                <w:rFonts w:cstheme="minorHAnsi"/>
                <w:color w:val="000000"/>
                <w:sz w:val="14"/>
                <w:szCs w:val="14"/>
              </w:rPr>
              <w:t>1.1</w:t>
            </w:r>
          </w:p>
        </w:tc>
        <w:tc>
          <w:tcPr>
            <w:tcW w:w="940" w:type="dxa"/>
            <w:noWrap/>
          </w:tcPr>
          <w:p w14:paraId="4F2E0ABC" w14:textId="77777777" w:rsidR="00120717" w:rsidRPr="00B93EE1" w:rsidRDefault="00120717" w:rsidP="002562F5">
            <w:pPr>
              <w:ind w:left="113"/>
              <w:jc w:val="right"/>
              <w:rPr>
                <w:rFonts w:cs="Arial"/>
                <w:sz w:val="14"/>
                <w:szCs w:val="14"/>
              </w:rPr>
            </w:pPr>
            <w:r w:rsidRPr="00B93EE1">
              <w:rPr>
                <w:rFonts w:cstheme="minorHAnsi"/>
                <w:color w:val="000000"/>
                <w:sz w:val="14"/>
                <w:szCs w:val="14"/>
              </w:rPr>
              <w:t>1.6</w:t>
            </w:r>
          </w:p>
        </w:tc>
        <w:tc>
          <w:tcPr>
            <w:tcW w:w="941" w:type="dxa"/>
            <w:noWrap/>
          </w:tcPr>
          <w:p w14:paraId="345EB1E1" w14:textId="77777777" w:rsidR="00120717" w:rsidRPr="00B93EE1" w:rsidRDefault="00120717" w:rsidP="002562F5">
            <w:pPr>
              <w:ind w:left="113"/>
              <w:jc w:val="right"/>
              <w:rPr>
                <w:rFonts w:cs="Arial"/>
                <w:sz w:val="14"/>
                <w:szCs w:val="14"/>
              </w:rPr>
            </w:pPr>
            <w:r w:rsidRPr="00B93EE1">
              <w:rPr>
                <w:rFonts w:cstheme="minorHAnsi"/>
                <w:color w:val="000000"/>
                <w:sz w:val="14"/>
                <w:szCs w:val="14"/>
              </w:rPr>
              <w:t>0.5</w:t>
            </w:r>
          </w:p>
        </w:tc>
        <w:tc>
          <w:tcPr>
            <w:tcW w:w="941" w:type="dxa"/>
            <w:noWrap/>
          </w:tcPr>
          <w:p w14:paraId="2FDAC793" w14:textId="77777777" w:rsidR="00120717" w:rsidRPr="00B93EE1" w:rsidRDefault="00120717" w:rsidP="002562F5">
            <w:pPr>
              <w:ind w:left="113"/>
              <w:jc w:val="right"/>
              <w:rPr>
                <w:rFonts w:cs="Arial"/>
                <w:sz w:val="14"/>
                <w:szCs w:val="14"/>
              </w:rPr>
            </w:pPr>
            <w:r w:rsidRPr="00B93EE1">
              <w:rPr>
                <w:rFonts w:cstheme="minorHAnsi"/>
                <w:color w:val="000000"/>
                <w:sz w:val="14"/>
                <w:szCs w:val="14"/>
              </w:rPr>
              <w:t>2.3</w:t>
            </w:r>
          </w:p>
        </w:tc>
        <w:tc>
          <w:tcPr>
            <w:tcW w:w="941" w:type="dxa"/>
            <w:noWrap/>
          </w:tcPr>
          <w:p w14:paraId="77272D23"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w:t>
            </w:r>
          </w:p>
        </w:tc>
      </w:tr>
      <w:tr w:rsidR="00120717" w:rsidRPr="00B93EE1" w14:paraId="08A541F0"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32CF0664" w14:textId="77777777" w:rsidR="00120717" w:rsidRPr="00B93EE1" w:rsidRDefault="00120717" w:rsidP="009C2A96">
            <w:pPr>
              <w:jc w:val="left"/>
              <w:rPr>
                <w:rFonts w:cs="Arial"/>
                <w:sz w:val="14"/>
                <w:szCs w:val="14"/>
              </w:rPr>
            </w:pPr>
            <w:r w:rsidRPr="00B93EE1">
              <w:rPr>
                <w:rFonts w:cs="Arial"/>
                <w:sz w:val="14"/>
                <w:szCs w:val="14"/>
              </w:rPr>
              <w:t>Balance of payments</w:t>
            </w:r>
          </w:p>
        </w:tc>
        <w:tc>
          <w:tcPr>
            <w:tcW w:w="940" w:type="dxa"/>
            <w:noWrap/>
          </w:tcPr>
          <w:p w14:paraId="4B350AFC" w14:textId="77777777" w:rsidR="00120717" w:rsidRPr="00B93EE1" w:rsidRDefault="00120717" w:rsidP="002562F5">
            <w:pPr>
              <w:ind w:left="113"/>
              <w:jc w:val="right"/>
              <w:rPr>
                <w:rFonts w:cs="Arial"/>
                <w:sz w:val="14"/>
                <w:szCs w:val="14"/>
              </w:rPr>
            </w:pPr>
            <w:r w:rsidRPr="00B93EE1">
              <w:rPr>
                <w:rFonts w:cs="Arial"/>
                <w:color w:val="000000"/>
                <w:sz w:val="14"/>
                <w:szCs w:val="14"/>
              </w:rPr>
              <w:t>-0.8</w:t>
            </w:r>
          </w:p>
        </w:tc>
        <w:tc>
          <w:tcPr>
            <w:tcW w:w="941" w:type="dxa"/>
            <w:noWrap/>
          </w:tcPr>
          <w:p w14:paraId="4CF34B86" w14:textId="77777777" w:rsidR="00120717" w:rsidRPr="00B93EE1" w:rsidRDefault="00120717" w:rsidP="002562F5">
            <w:pPr>
              <w:ind w:left="113"/>
              <w:jc w:val="right"/>
              <w:rPr>
                <w:rFonts w:cs="Arial"/>
                <w:sz w:val="14"/>
                <w:szCs w:val="14"/>
              </w:rPr>
            </w:pPr>
            <w:r w:rsidRPr="00B93EE1">
              <w:rPr>
                <w:rFonts w:cs="Arial"/>
                <w:color w:val="000000"/>
                <w:sz w:val="14"/>
                <w:szCs w:val="14"/>
              </w:rPr>
              <w:t>1.3</w:t>
            </w:r>
          </w:p>
        </w:tc>
        <w:tc>
          <w:tcPr>
            <w:tcW w:w="941" w:type="dxa"/>
            <w:noWrap/>
          </w:tcPr>
          <w:p w14:paraId="2CA535B0" w14:textId="77777777" w:rsidR="00120717" w:rsidRPr="00B93EE1" w:rsidRDefault="00120717" w:rsidP="002562F5">
            <w:pPr>
              <w:ind w:left="113"/>
              <w:jc w:val="right"/>
              <w:rPr>
                <w:rFonts w:cs="Arial"/>
                <w:sz w:val="14"/>
                <w:szCs w:val="14"/>
              </w:rPr>
            </w:pPr>
            <w:r w:rsidRPr="00B93EE1">
              <w:rPr>
                <w:rFonts w:cs="Arial"/>
                <w:color w:val="000000"/>
                <w:sz w:val="14"/>
                <w:szCs w:val="14"/>
              </w:rPr>
              <w:t>-1.1</w:t>
            </w:r>
          </w:p>
        </w:tc>
        <w:tc>
          <w:tcPr>
            <w:tcW w:w="940" w:type="dxa"/>
            <w:noWrap/>
          </w:tcPr>
          <w:p w14:paraId="59096AE4" w14:textId="77777777" w:rsidR="00120717" w:rsidRPr="00B93EE1" w:rsidRDefault="00120717" w:rsidP="002562F5">
            <w:pPr>
              <w:ind w:left="113"/>
              <w:jc w:val="right"/>
              <w:rPr>
                <w:rFonts w:cs="Arial"/>
                <w:sz w:val="14"/>
                <w:szCs w:val="14"/>
              </w:rPr>
            </w:pPr>
            <w:r w:rsidRPr="00B93EE1">
              <w:rPr>
                <w:rFonts w:cs="Arial"/>
                <w:color w:val="000000"/>
                <w:sz w:val="14"/>
                <w:szCs w:val="14"/>
              </w:rPr>
              <w:t>-0.9</w:t>
            </w:r>
          </w:p>
        </w:tc>
        <w:tc>
          <w:tcPr>
            <w:tcW w:w="941" w:type="dxa"/>
            <w:noWrap/>
          </w:tcPr>
          <w:p w14:paraId="59569161" w14:textId="77777777" w:rsidR="00120717" w:rsidRPr="00B93EE1" w:rsidRDefault="00120717" w:rsidP="002562F5">
            <w:pPr>
              <w:ind w:left="113"/>
              <w:jc w:val="right"/>
              <w:rPr>
                <w:rFonts w:cs="Arial"/>
                <w:sz w:val="14"/>
                <w:szCs w:val="14"/>
              </w:rPr>
            </w:pPr>
            <w:r w:rsidRPr="00B93EE1">
              <w:rPr>
                <w:rFonts w:cs="Arial"/>
                <w:color w:val="000000"/>
                <w:sz w:val="14"/>
                <w:szCs w:val="14"/>
              </w:rPr>
              <w:t>0.9</w:t>
            </w:r>
          </w:p>
        </w:tc>
        <w:tc>
          <w:tcPr>
            <w:tcW w:w="941" w:type="dxa"/>
            <w:noWrap/>
          </w:tcPr>
          <w:p w14:paraId="69142D4C" w14:textId="77777777" w:rsidR="00120717" w:rsidRPr="00B93EE1" w:rsidRDefault="00120717" w:rsidP="002562F5">
            <w:pPr>
              <w:ind w:left="113"/>
              <w:jc w:val="right"/>
              <w:rPr>
                <w:rFonts w:cs="Arial"/>
                <w:sz w:val="14"/>
                <w:szCs w:val="14"/>
              </w:rPr>
            </w:pPr>
            <w:r w:rsidRPr="00B93EE1">
              <w:rPr>
                <w:rFonts w:cs="Arial"/>
                <w:color w:val="000000"/>
                <w:sz w:val="14"/>
                <w:szCs w:val="14"/>
              </w:rPr>
              <w:t>-2.6</w:t>
            </w:r>
          </w:p>
        </w:tc>
        <w:tc>
          <w:tcPr>
            <w:tcW w:w="941" w:type="dxa"/>
            <w:noWrap/>
          </w:tcPr>
          <w:p w14:paraId="461AAE80" w14:textId="77777777" w:rsidR="00120717" w:rsidRPr="00B93EE1" w:rsidRDefault="00120717" w:rsidP="002562F5">
            <w:pPr>
              <w:ind w:left="113"/>
              <w:jc w:val="right"/>
              <w:rPr>
                <w:rFonts w:cs="Arial"/>
                <w:sz w:val="14"/>
                <w:szCs w:val="14"/>
              </w:rPr>
            </w:pPr>
            <w:r w:rsidRPr="00B93EE1">
              <w:rPr>
                <w:rFonts w:cs="Arial"/>
                <w:color w:val="000000"/>
                <w:sz w:val="14"/>
                <w:szCs w:val="14"/>
              </w:rPr>
              <w:t>5.5</w:t>
            </w:r>
          </w:p>
        </w:tc>
      </w:tr>
      <w:tr w:rsidR="00120717" w:rsidRPr="00B93EE1" w14:paraId="7DE70A67" w14:textId="77777777" w:rsidTr="009C2A96">
        <w:tc>
          <w:tcPr>
            <w:tcW w:w="2431" w:type="dxa"/>
            <w:noWrap/>
            <w:hideMark/>
          </w:tcPr>
          <w:p w14:paraId="46DF5B12" w14:textId="77777777" w:rsidR="00120717" w:rsidRPr="00B93EE1" w:rsidRDefault="00120717" w:rsidP="009C2A96">
            <w:pPr>
              <w:jc w:val="left"/>
              <w:rPr>
                <w:rFonts w:cs="Arial"/>
                <w:sz w:val="14"/>
                <w:szCs w:val="14"/>
              </w:rPr>
            </w:pPr>
            <w:r w:rsidRPr="00B93EE1">
              <w:rPr>
                <w:rFonts w:cs="Arial"/>
                <w:sz w:val="14"/>
                <w:szCs w:val="14"/>
              </w:rPr>
              <w:t>Terms of trade (June 2002=1,000, end period)</w:t>
            </w:r>
          </w:p>
        </w:tc>
        <w:tc>
          <w:tcPr>
            <w:tcW w:w="940" w:type="dxa"/>
            <w:noWrap/>
          </w:tcPr>
          <w:p w14:paraId="01B594F0" w14:textId="77777777" w:rsidR="00120717" w:rsidRPr="00B93EE1" w:rsidRDefault="00120717" w:rsidP="002562F5">
            <w:pPr>
              <w:ind w:left="113"/>
              <w:jc w:val="right"/>
              <w:rPr>
                <w:rFonts w:cs="Arial"/>
                <w:sz w:val="14"/>
                <w:szCs w:val="14"/>
              </w:rPr>
            </w:pPr>
            <w:r w:rsidRPr="00B93EE1">
              <w:rPr>
                <w:rFonts w:cstheme="minorHAnsi"/>
                <w:color w:val="000000"/>
                <w:sz w:val="14"/>
                <w:szCs w:val="14"/>
              </w:rPr>
              <w:t>1,335.0</w:t>
            </w:r>
          </w:p>
        </w:tc>
        <w:tc>
          <w:tcPr>
            <w:tcW w:w="941" w:type="dxa"/>
            <w:noWrap/>
          </w:tcPr>
          <w:p w14:paraId="2E1F7509" w14:textId="77777777" w:rsidR="00120717" w:rsidRPr="00B93EE1" w:rsidRDefault="00120717" w:rsidP="002562F5">
            <w:pPr>
              <w:ind w:left="113"/>
              <w:jc w:val="right"/>
              <w:rPr>
                <w:rFonts w:cs="Arial"/>
                <w:sz w:val="14"/>
                <w:szCs w:val="14"/>
              </w:rPr>
            </w:pPr>
            <w:r w:rsidRPr="00B93EE1">
              <w:rPr>
                <w:rFonts w:cstheme="minorHAnsi"/>
                <w:color w:val="000000"/>
                <w:sz w:val="14"/>
                <w:szCs w:val="14"/>
              </w:rPr>
              <w:t>1,331.6</w:t>
            </w:r>
          </w:p>
        </w:tc>
        <w:tc>
          <w:tcPr>
            <w:tcW w:w="941" w:type="dxa"/>
            <w:noWrap/>
          </w:tcPr>
          <w:p w14:paraId="07D99671" w14:textId="77777777" w:rsidR="00120717" w:rsidRPr="00B93EE1" w:rsidRDefault="00120717" w:rsidP="002562F5">
            <w:pPr>
              <w:ind w:left="113"/>
              <w:jc w:val="right"/>
              <w:rPr>
                <w:rFonts w:cs="Arial"/>
                <w:sz w:val="14"/>
                <w:szCs w:val="14"/>
              </w:rPr>
            </w:pPr>
            <w:r w:rsidRPr="00B93EE1">
              <w:rPr>
                <w:rFonts w:cstheme="minorHAnsi"/>
                <w:color w:val="000000"/>
                <w:sz w:val="14"/>
                <w:szCs w:val="14"/>
              </w:rPr>
              <w:t>1,417.8</w:t>
            </w:r>
          </w:p>
        </w:tc>
        <w:tc>
          <w:tcPr>
            <w:tcW w:w="940" w:type="dxa"/>
            <w:noWrap/>
          </w:tcPr>
          <w:p w14:paraId="416D320F" w14:textId="77777777" w:rsidR="00120717" w:rsidRPr="00B93EE1" w:rsidRDefault="00120717" w:rsidP="002562F5">
            <w:pPr>
              <w:ind w:left="113"/>
              <w:jc w:val="right"/>
              <w:rPr>
                <w:rFonts w:cs="Arial"/>
                <w:sz w:val="14"/>
                <w:szCs w:val="14"/>
              </w:rPr>
            </w:pPr>
            <w:r w:rsidRPr="00B93EE1">
              <w:rPr>
                <w:rFonts w:cstheme="minorHAnsi"/>
                <w:color w:val="000000"/>
                <w:sz w:val="14"/>
                <w:szCs w:val="14"/>
              </w:rPr>
              <w:t>1,442.5</w:t>
            </w:r>
          </w:p>
        </w:tc>
        <w:tc>
          <w:tcPr>
            <w:tcW w:w="941" w:type="dxa"/>
            <w:noWrap/>
          </w:tcPr>
          <w:p w14:paraId="15264E75" w14:textId="77777777" w:rsidR="00120717" w:rsidRPr="00B93EE1" w:rsidRDefault="00120717" w:rsidP="002562F5">
            <w:pPr>
              <w:ind w:left="113"/>
              <w:jc w:val="right"/>
              <w:rPr>
                <w:rFonts w:cs="Arial"/>
                <w:sz w:val="14"/>
                <w:szCs w:val="14"/>
              </w:rPr>
            </w:pPr>
            <w:r w:rsidRPr="00B93EE1">
              <w:rPr>
                <w:rFonts w:cstheme="minorHAnsi"/>
                <w:color w:val="000000"/>
                <w:sz w:val="14"/>
                <w:szCs w:val="14"/>
              </w:rPr>
              <w:t>1,413.8</w:t>
            </w:r>
          </w:p>
        </w:tc>
        <w:tc>
          <w:tcPr>
            <w:tcW w:w="941" w:type="dxa"/>
            <w:noWrap/>
          </w:tcPr>
          <w:p w14:paraId="799C8C48" w14:textId="77777777" w:rsidR="00120717" w:rsidRPr="00B93EE1" w:rsidRDefault="00120717" w:rsidP="002562F5">
            <w:pPr>
              <w:ind w:left="113"/>
              <w:jc w:val="right"/>
              <w:rPr>
                <w:rFonts w:cs="Arial"/>
                <w:sz w:val="14"/>
                <w:szCs w:val="14"/>
              </w:rPr>
            </w:pPr>
            <w:r w:rsidRPr="00B93EE1">
              <w:rPr>
                <w:rFonts w:cstheme="minorHAnsi"/>
                <w:color w:val="000000"/>
                <w:sz w:val="14"/>
                <w:szCs w:val="14"/>
              </w:rPr>
              <w:t>1,490.6</w:t>
            </w:r>
          </w:p>
        </w:tc>
        <w:tc>
          <w:tcPr>
            <w:tcW w:w="941" w:type="dxa"/>
            <w:noWrap/>
          </w:tcPr>
          <w:p w14:paraId="05BEA5B0" w14:textId="77777777" w:rsidR="00120717" w:rsidRPr="00B93EE1" w:rsidRDefault="00120717" w:rsidP="002562F5">
            <w:pPr>
              <w:ind w:left="113"/>
              <w:jc w:val="right"/>
              <w:rPr>
                <w:rFonts w:cs="Arial"/>
                <w:sz w:val="14"/>
                <w:szCs w:val="14"/>
              </w:rPr>
            </w:pPr>
            <w:r w:rsidRPr="00B93EE1">
              <w:rPr>
                <w:rFonts w:cstheme="minorHAnsi"/>
                <w:color w:val="000000"/>
                <w:sz w:val="14"/>
                <w:szCs w:val="14"/>
              </w:rPr>
              <w:t>1,477.4</w:t>
            </w:r>
          </w:p>
        </w:tc>
      </w:tr>
      <w:tr w:rsidR="00120717" w:rsidRPr="00B93EE1" w14:paraId="376D6C0E"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23871DD6" w14:textId="77777777" w:rsidR="00120717" w:rsidRPr="00B93EE1" w:rsidRDefault="00120717" w:rsidP="009C2A96">
            <w:pPr>
              <w:jc w:val="left"/>
              <w:rPr>
                <w:rFonts w:cs="Arial"/>
                <w:sz w:val="14"/>
                <w:szCs w:val="14"/>
              </w:rPr>
            </w:pPr>
            <w:r w:rsidRPr="00B93EE1">
              <w:rPr>
                <w:rFonts w:cs="Arial"/>
                <w:sz w:val="14"/>
                <w:szCs w:val="14"/>
              </w:rPr>
              <w:t>Merchandise exports (% change)</w:t>
            </w:r>
            <w:r w:rsidRPr="00B93EE1">
              <w:rPr>
                <w:rFonts w:cs="Arial"/>
                <w:sz w:val="14"/>
                <w:szCs w:val="14"/>
                <w:vertAlign w:val="superscript"/>
              </w:rPr>
              <w:t>c</w:t>
            </w:r>
          </w:p>
        </w:tc>
        <w:tc>
          <w:tcPr>
            <w:tcW w:w="940" w:type="dxa"/>
            <w:noWrap/>
          </w:tcPr>
          <w:p w14:paraId="11905D82" w14:textId="77777777" w:rsidR="00120717" w:rsidRPr="00B93EE1" w:rsidRDefault="00120717" w:rsidP="002562F5">
            <w:pPr>
              <w:ind w:left="113"/>
              <w:jc w:val="right"/>
              <w:rPr>
                <w:rFonts w:cs="Arial"/>
                <w:sz w:val="14"/>
                <w:szCs w:val="14"/>
              </w:rPr>
            </w:pPr>
            <w:r w:rsidRPr="00B93EE1">
              <w:rPr>
                <w:rFonts w:cstheme="minorHAnsi"/>
                <w:color w:val="000000"/>
                <w:sz w:val="14"/>
                <w:szCs w:val="14"/>
              </w:rPr>
              <w:t>-2.4</w:t>
            </w:r>
          </w:p>
        </w:tc>
        <w:tc>
          <w:tcPr>
            <w:tcW w:w="941" w:type="dxa"/>
            <w:noWrap/>
          </w:tcPr>
          <w:p w14:paraId="6A5FF1A1" w14:textId="77777777" w:rsidR="00120717" w:rsidRPr="00B93EE1" w:rsidRDefault="00120717" w:rsidP="002562F5">
            <w:pPr>
              <w:ind w:left="113"/>
              <w:jc w:val="right"/>
              <w:rPr>
                <w:rFonts w:cs="Arial"/>
                <w:sz w:val="14"/>
                <w:szCs w:val="14"/>
              </w:rPr>
            </w:pPr>
            <w:r w:rsidRPr="00B93EE1">
              <w:rPr>
                <w:rFonts w:cstheme="minorHAnsi"/>
                <w:color w:val="000000"/>
                <w:sz w:val="14"/>
                <w:szCs w:val="14"/>
              </w:rPr>
              <w:t>-0.7</w:t>
            </w:r>
          </w:p>
        </w:tc>
        <w:tc>
          <w:tcPr>
            <w:tcW w:w="941" w:type="dxa"/>
            <w:noWrap/>
          </w:tcPr>
          <w:p w14:paraId="7DC5B089" w14:textId="77777777" w:rsidR="00120717" w:rsidRPr="00B93EE1" w:rsidRDefault="00120717" w:rsidP="002562F5">
            <w:pPr>
              <w:ind w:left="113"/>
              <w:jc w:val="right"/>
              <w:rPr>
                <w:rFonts w:cs="Arial"/>
                <w:sz w:val="14"/>
                <w:szCs w:val="14"/>
              </w:rPr>
            </w:pPr>
            <w:r w:rsidRPr="00B93EE1">
              <w:rPr>
                <w:rFonts w:cstheme="minorHAnsi"/>
                <w:color w:val="000000"/>
                <w:sz w:val="14"/>
                <w:szCs w:val="14"/>
              </w:rPr>
              <w:t>0.1</w:t>
            </w:r>
          </w:p>
        </w:tc>
        <w:tc>
          <w:tcPr>
            <w:tcW w:w="940" w:type="dxa"/>
            <w:noWrap/>
          </w:tcPr>
          <w:p w14:paraId="24126C0F" w14:textId="77777777" w:rsidR="00120717" w:rsidRPr="00B93EE1" w:rsidRDefault="00120717" w:rsidP="002562F5">
            <w:pPr>
              <w:ind w:left="113"/>
              <w:jc w:val="right"/>
              <w:rPr>
                <w:rFonts w:cs="Arial"/>
                <w:sz w:val="14"/>
                <w:szCs w:val="14"/>
              </w:rPr>
            </w:pPr>
            <w:r w:rsidRPr="00B93EE1">
              <w:rPr>
                <w:rFonts w:cstheme="minorHAnsi"/>
                <w:color w:val="000000"/>
                <w:sz w:val="14"/>
                <w:szCs w:val="14"/>
              </w:rPr>
              <w:t>12.2</w:t>
            </w:r>
          </w:p>
        </w:tc>
        <w:tc>
          <w:tcPr>
            <w:tcW w:w="941" w:type="dxa"/>
            <w:noWrap/>
          </w:tcPr>
          <w:p w14:paraId="71C851B0" w14:textId="77777777" w:rsidR="00120717" w:rsidRPr="00B93EE1" w:rsidRDefault="00120717" w:rsidP="002562F5">
            <w:pPr>
              <w:ind w:left="113"/>
              <w:jc w:val="right"/>
              <w:rPr>
                <w:rFonts w:cs="Arial"/>
                <w:sz w:val="14"/>
                <w:szCs w:val="14"/>
              </w:rPr>
            </w:pPr>
            <w:r w:rsidRPr="00B93EE1">
              <w:rPr>
                <w:rFonts w:cstheme="minorHAnsi"/>
                <w:color w:val="000000"/>
                <w:sz w:val="14"/>
                <w:szCs w:val="14"/>
              </w:rPr>
              <w:t>7.2</w:t>
            </w:r>
          </w:p>
        </w:tc>
        <w:tc>
          <w:tcPr>
            <w:tcW w:w="941" w:type="dxa"/>
            <w:noWrap/>
          </w:tcPr>
          <w:p w14:paraId="2CF2CFC4" w14:textId="77777777" w:rsidR="00120717" w:rsidRPr="00B93EE1" w:rsidRDefault="00120717" w:rsidP="002562F5">
            <w:pPr>
              <w:ind w:left="113"/>
              <w:jc w:val="right"/>
              <w:rPr>
                <w:rFonts w:cs="Arial"/>
                <w:sz w:val="14"/>
                <w:szCs w:val="14"/>
              </w:rPr>
            </w:pPr>
            <w:r w:rsidRPr="00B93EE1">
              <w:rPr>
                <w:rFonts w:cstheme="minorHAnsi"/>
                <w:color w:val="000000"/>
                <w:sz w:val="14"/>
                <w:szCs w:val="14"/>
              </w:rPr>
              <w:t>3.6</w:t>
            </w:r>
          </w:p>
        </w:tc>
        <w:tc>
          <w:tcPr>
            <w:tcW w:w="941" w:type="dxa"/>
            <w:noWrap/>
          </w:tcPr>
          <w:p w14:paraId="7A194B5F" w14:textId="77777777" w:rsidR="00120717" w:rsidRPr="00B93EE1" w:rsidRDefault="00120717" w:rsidP="002562F5">
            <w:pPr>
              <w:ind w:left="113"/>
              <w:jc w:val="right"/>
              <w:rPr>
                <w:rFonts w:cs="Arial"/>
                <w:sz w:val="14"/>
                <w:szCs w:val="14"/>
              </w:rPr>
            </w:pPr>
            <w:r w:rsidRPr="00B93EE1">
              <w:rPr>
                <w:rFonts w:cstheme="minorHAnsi"/>
                <w:color w:val="000000"/>
                <w:sz w:val="14"/>
                <w:szCs w:val="14"/>
              </w:rPr>
              <w:t>-4.0</w:t>
            </w:r>
          </w:p>
        </w:tc>
      </w:tr>
      <w:tr w:rsidR="00120717" w:rsidRPr="00B93EE1" w14:paraId="7996C192" w14:textId="77777777" w:rsidTr="009C2A96">
        <w:tc>
          <w:tcPr>
            <w:tcW w:w="2431" w:type="dxa"/>
            <w:noWrap/>
            <w:hideMark/>
          </w:tcPr>
          <w:p w14:paraId="7BD72854" w14:textId="77777777" w:rsidR="00120717" w:rsidRPr="00B93EE1" w:rsidRDefault="00120717" w:rsidP="009C2A96">
            <w:pPr>
              <w:jc w:val="left"/>
              <w:rPr>
                <w:rFonts w:cs="Arial"/>
                <w:sz w:val="14"/>
                <w:szCs w:val="14"/>
              </w:rPr>
            </w:pPr>
            <w:r w:rsidRPr="00B93EE1">
              <w:rPr>
                <w:rFonts w:cs="Arial"/>
                <w:sz w:val="14"/>
                <w:szCs w:val="14"/>
              </w:rPr>
              <w:lastRenderedPageBreak/>
              <w:t>Merchandise imports (% change)</w:t>
            </w:r>
            <w:r w:rsidRPr="00B93EE1">
              <w:rPr>
                <w:rFonts w:cs="Arial"/>
                <w:sz w:val="14"/>
                <w:szCs w:val="14"/>
                <w:vertAlign w:val="superscript"/>
              </w:rPr>
              <w:t>c</w:t>
            </w:r>
          </w:p>
        </w:tc>
        <w:tc>
          <w:tcPr>
            <w:tcW w:w="940" w:type="dxa"/>
            <w:noWrap/>
          </w:tcPr>
          <w:p w14:paraId="08331727" w14:textId="77777777" w:rsidR="00120717" w:rsidRPr="00B93EE1" w:rsidRDefault="00120717" w:rsidP="002562F5">
            <w:pPr>
              <w:ind w:left="113"/>
              <w:jc w:val="right"/>
              <w:rPr>
                <w:rFonts w:cs="Arial"/>
                <w:sz w:val="14"/>
                <w:szCs w:val="14"/>
              </w:rPr>
            </w:pPr>
            <w:r w:rsidRPr="00B93EE1">
              <w:rPr>
                <w:rFonts w:cstheme="minorHAnsi"/>
                <w:color w:val="000000"/>
                <w:sz w:val="14"/>
                <w:szCs w:val="14"/>
              </w:rPr>
              <w:t>4.1</w:t>
            </w:r>
          </w:p>
        </w:tc>
        <w:tc>
          <w:tcPr>
            <w:tcW w:w="941" w:type="dxa"/>
            <w:noWrap/>
          </w:tcPr>
          <w:p w14:paraId="2B0BF7BB" w14:textId="77777777" w:rsidR="00120717" w:rsidRPr="00B93EE1" w:rsidRDefault="00120717" w:rsidP="002562F5">
            <w:pPr>
              <w:ind w:left="113"/>
              <w:jc w:val="right"/>
              <w:rPr>
                <w:rFonts w:cs="Arial"/>
                <w:sz w:val="14"/>
                <w:szCs w:val="14"/>
              </w:rPr>
            </w:pPr>
            <w:r w:rsidRPr="00B93EE1">
              <w:rPr>
                <w:rFonts w:cstheme="minorHAnsi"/>
                <w:color w:val="000000"/>
                <w:sz w:val="14"/>
                <w:szCs w:val="14"/>
              </w:rPr>
              <w:t>3.4</w:t>
            </w:r>
          </w:p>
        </w:tc>
        <w:tc>
          <w:tcPr>
            <w:tcW w:w="941" w:type="dxa"/>
            <w:noWrap/>
          </w:tcPr>
          <w:p w14:paraId="052B7C22" w14:textId="77777777" w:rsidR="00120717" w:rsidRPr="00B93EE1" w:rsidRDefault="00120717" w:rsidP="002562F5">
            <w:pPr>
              <w:ind w:left="113"/>
              <w:jc w:val="right"/>
              <w:rPr>
                <w:rFonts w:cs="Arial"/>
                <w:sz w:val="14"/>
                <w:szCs w:val="14"/>
              </w:rPr>
            </w:pPr>
            <w:r w:rsidRPr="00B93EE1">
              <w:rPr>
                <w:rFonts w:cstheme="minorHAnsi"/>
                <w:color w:val="000000"/>
                <w:sz w:val="14"/>
                <w:szCs w:val="14"/>
              </w:rPr>
              <w:t>0.9</w:t>
            </w:r>
          </w:p>
        </w:tc>
        <w:tc>
          <w:tcPr>
            <w:tcW w:w="940" w:type="dxa"/>
            <w:noWrap/>
          </w:tcPr>
          <w:p w14:paraId="7045C47E" w14:textId="77777777" w:rsidR="00120717" w:rsidRPr="00B93EE1" w:rsidRDefault="00120717" w:rsidP="002562F5">
            <w:pPr>
              <w:ind w:left="113"/>
              <w:jc w:val="right"/>
              <w:rPr>
                <w:rFonts w:cs="Arial"/>
                <w:sz w:val="14"/>
                <w:szCs w:val="14"/>
              </w:rPr>
            </w:pPr>
            <w:r w:rsidRPr="00B93EE1">
              <w:rPr>
                <w:rFonts w:cstheme="minorHAnsi"/>
                <w:color w:val="000000"/>
                <w:sz w:val="14"/>
                <w:szCs w:val="14"/>
              </w:rPr>
              <w:t>11.2</w:t>
            </w:r>
          </w:p>
        </w:tc>
        <w:tc>
          <w:tcPr>
            <w:tcW w:w="941" w:type="dxa"/>
            <w:noWrap/>
          </w:tcPr>
          <w:p w14:paraId="3F90130E" w14:textId="77777777" w:rsidR="00120717" w:rsidRPr="00B93EE1" w:rsidRDefault="00120717" w:rsidP="002562F5">
            <w:pPr>
              <w:ind w:left="113"/>
              <w:jc w:val="right"/>
              <w:rPr>
                <w:rFonts w:cs="Arial"/>
                <w:sz w:val="14"/>
                <w:szCs w:val="14"/>
              </w:rPr>
            </w:pPr>
            <w:r w:rsidRPr="00B93EE1">
              <w:rPr>
                <w:rFonts w:cstheme="minorHAnsi"/>
                <w:color w:val="000000"/>
                <w:sz w:val="14"/>
                <w:szCs w:val="14"/>
              </w:rPr>
              <w:t>9.7</w:t>
            </w:r>
          </w:p>
        </w:tc>
        <w:tc>
          <w:tcPr>
            <w:tcW w:w="941" w:type="dxa"/>
            <w:noWrap/>
          </w:tcPr>
          <w:p w14:paraId="1537CE8A" w14:textId="77777777" w:rsidR="00120717" w:rsidRPr="00B93EE1" w:rsidRDefault="00120717" w:rsidP="002562F5">
            <w:pPr>
              <w:ind w:left="113"/>
              <w:jc w:val="right"/>
              <w:rPr>
                <w:rFonts w:cs="Arial"/>
                <w:sz w:val="14"/>
                <w:szCs w:val="14"/>
              </w:rPr>
            </w:pPr>
            <w:r w:rsidRPr="00B93EE1">
              <w:rPr>
                <w:rFonts w:cstheme="minorHAnsi"/>
                <w:color w:val="000000"/>
                <w:sz w:val="14"/>
                <w:szCs w:val="14"/>
              </w:rPr>
              <w:t>1</w:t>
            </w:r>
          </w:p>
        </w:tc>
        <w:tc>
          <w:tcPr>
            <w:tcW w:w="941" w:type="dxa"/>
            <w:noWrap/>
          </w:tcPr>
          <w:p w14:paraId="18FB3E6E" w14:textId="77777777" w:rsidR="00120717" w:rsidRPr="00B93EE1" w:rsidRDefault="00120717" w:rsidP="002562F5">
            <w:pPr>
              <w:ind w:left="113"/>
              <w:jc w:val="right"/>
              <w:rPr>
                <w:rFonts w:cs="Arial"/>
                <w:sz w:val="14"/>
                <w:szCs w:val="14"/>
              </w:rPr>
            </w:pPr>
            <w:r w:rsidRPr="00B93EE1">
              <w:rPr>
                <w:rFonts w:cstheme="minorHAnsi"/>
                <w:color w:val="000000"/>
                <w:sz w:val="14"/>
                <w:szCs w:val="14"/>
              </w:rPr>
              <w:t>-11.1</w:t>
            </w:r>
          </w:p>
        </w:tc>
      </w:tr>
      <w:tr w:rsidR="00120717" w:rsidRPr="00B93EE1" w14:paraId="0956D175"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278D0669" w14:textId="77777777" w:rsidR="00120717" w:rsidRPr="00B93EE1" w:rsidRDefault="00120717" w:rsidP="009C2A96">
            <w:pPr>
              <w:jc w:val="left"/>
              <w:rPr>
                <w:rFonts w:cs="Arial"/>
                <w:sz w:val="14"/>
                <w:szCs w:val="14"/>
              </w:rPr>
            </w:pPr>
            <w:r w:rsidRPr="00B93EE1">
              <w:rPr>
                <w:rFonts w:cs="Arial"/>
                <w:sz w:val="14"/>
                <w:szCs w:val="14"/>
              </w:rPr>
              <w:t>Service exports (% change)</w:t>
            </w:r>
            <w:r w:rsidRPr="00B93EE1">
              <w:rPr>
                <w:rFonts w:cs="Arial"/>
                <w:sz w:val="14"/>
                <w:szCs w:val="14"/>
                <w:vertAlign w:val="superscript"/>
              </w:rPr>
              <w:t>c</w:t>
            </w:r>
          </w:p>
        </w:tc>
        <w:tc>
          <w:tcPr>
            <w:tcW w:w="940" w:type="dxa"/>
            <w:noWrap/>
          </w:tcPr>
          <w:p w14:paraId="683BB419" w14:textId="77777777" w:rsidR="00120717" w:rsidRPr="00B93EE1" w:rsidRDefault="00120717" w:rsidP="002562F5">
            <w:pPr>
              <w:ind w:left="113"/>
              <w:jc w:val="right"/>
              <w:rPr>
                <w:rFonts w:cs="Arial"/>
                <w:sz w:val="14"/>
                <w:szCs w:val="14"/>
              </w:rPr>
            </w:pPr>
            <w:r w:rsidRPr="00B93EE1">
              <w:rPr>
                <w:rFonts w:cstheme="minorHAnsi"/>
                <w:color w:val="000000"/>
                <w:sz w:val="14"/>
                <w:szCs w:val="14"/>
              </w:rPr>
              <w:t>12.2</w:t>
            </w:r>
          </w:p>
        </w:tc>
        <w:tc>
          <w:tcPr>
            <w:tcW w:w="941" w:type="dxa"/>
            <w:noWrap/>
          </w:tcPr>
          <w:p w14:paraId="557907A3" w14:textId="77777777" w:rsidR="00120717" w:rsidRPr="00B93EE1" w:rsidRDefault="00120717" w:rsidP="002562F5">
            <w:pPr>
              <w:ind w:left="113"/>
              <w:jc w:val="right"/>
              <w:rPr>
                <w:rFonts w:cs="Arial"/>
                <w:sz w:val="14"/>
                <w:szCs w:val="14"/>
              </w:rPr>
            </w:pPr>
            <w:r w:rsidRPr="00B93EE1">
              <w:rPr>
                <w:rFonts w:cstheme="minorHAnsi"/>
                <w:color w:val="000000"/>
                <w:sz w:val="14"/>
                <w:szCs w:val="14"/>
              </w:rPr>
              <w:t>19.8</w:t>
            </w:r>
          </w:p>
        </w:tc>
        <w:tc>
          <w:tcPr>
            <w:tcW w:w="941" w:type="dxa"/>
            <w:noWrap/>
          </w:tcPr>
          <w:p w14:paraId="1F26C8EA" w14:textId="77777777" w:rsidR="00120717" w:rsidRPr="00B93EE1" w:rsidRDefault="00120717" w:rsidP="002562F5">
            <w:pPr>
              <w:ind w:left="113"/>
              <w:jc w:val="right"/>
              <w:rPr>
                <w:rFonts w:cs="Arial"/>
                <w:sz w:val="14"/>
                <w:szCs w:val="14"/>
              </w:rPr>
            </w:pPr>
            <w:r w:rsidRPr="00B93EE1">
              <w:rPr>
                <w:rFonts w:cstheme="minorHAnsi"/>
                <w:color w:val="000000"/>
                <w:sz w:val="14"/>
                <w:szCs w:val="14"/>
              </w:rPr>
              <w:t>4.1</w:t>
            </w:r>
          </w:p>
        </w:tc>
        <w:tc>
          <w:tcPr>
            <w:tcW w:w="940" w:type="dxa"/>
            <w:noWrap/>
          </w:tcPr>
          <w:p w14:paraId="2DF68489" w14:textId="77777777" w:rsidR="00120717" w:rsidRPr="00B93EE1" w:rsidRDefault="00120717" w:rsidP="002562F5">
            <w:pPr>
              <w:ind w:left="113"/>
              <w:jc w:val="right"/>
              <w:rPr>
                <w:rFonts w:cs="Arial"/>
                <w:sz w:val="14"/>
                <w:szCs w:val="14"/>
              </w:rPr>
            </w:pPr>
            <w:r w:rsidRPr="00B93EE1">
              <w:rPr>
                <w:rFonts w:cstheme="minorHAnsi"/>
                <w:color w:val="000000"/>
                <w:sz w:val="14"/>
                <w:szCs w:val="14"/>
              </w:rPr>
              <w:t>8.4</w:t>
            </w:r>
          </w:p>
        </w:tc>
        <w:tc>
          <w:tcPr>
            <w:tcW w:w="941" w:type="dxa"/>
            <w:noWrap/>
          </w:tcPr>
          <w:p w14:paraId="65475934" w14:textId="77777777" w:rsidR="00120717" w:rsidRPr="00B93EE1" w:rsidRDefault="00120717" w:rsidP="002562F5">
            <w:pPr>
              <w:ind w:left="113"/>
              <w:jc w:val="right"/>
              <w:rPr>
                <w:rFonts w:cs="Arial"/>
                <w:sz w:val="14"/>
                <w:szCs w:val="14"/>
              </w:rPr>
            </w:pPr>
            <w:r w:rsidRPr="00B93EE1">
              <w:rPr>
                <w:rFonts w:cstheme="minorHAnsi"/>
                <w:color w:val="000000"/>
                <w:sz w:val="14"/>
                <w:szCs w:val="14"/>
              </w:rPr>
              <w:t>5.1</w:t>
            </w:r>
          </w:p>
        </w:tc>
        <w:tc>
          <w:tcPr>
            <w:tcW w:w="941" w:type="dxa"/>
            <w:noWrap/>
          </w:tcPr>
          <w:p w14:paraId="7D360D22" w14:textId="77777777" w:rsidR="00120717" w:rsidRPr="00B93EE1" w:rsidRDefault="00120717" w:rsidP="002562F5">
            <w:pPr>
              <w:ind w:left="113"/>
              <w:jc w:val="right"/>
              <w:rPr>
                <w:rFonts w:cs="Arial"/>
                <w:sz w:val="14"/>
                <w:szCs w:val="14"/>
              </w:rPr>
            </w:pPr>
            <w:r w:rsidRPr="00B93EE1">
              <w:rPr>
                <w:rFonts w:cstheme="minorHAnsi"/>
                <w:color w:val="000000"/>
                <w:sz w:val="14"/>
                <w:szCs w:val="14"/>
              </w:rPr>
              <w:t>3.9</w:t>
            </w:r>
          </w:p>
        </w:tc>
        <w:tc>
          <w:tcPr>
            <w:tcW w:w="941" w:type="dxa"/>
            <w:noWrap/>
          </w:tcPr>
          <w:p w14:paraId="1DA2CB1D" w14:textId="77777777" w:rsidR="00120717" w:rsidRPr="00B93EE1" w:rsidRDefault="00120717" w:rsidP="002562F5">
            <w:pPr>
              <w:ind w:left="113"/>
              <w:jc w:val="right"/>
              <w:rPr>
                <w:rFonts w:cs="Arial"/>
                <w:sz w:val="14"/>
                <w:szCs w:val="14"/>
              </w:rPr>
            </w:pPr>
            <w:r w:rsidRPr="00B93EE1">
              <w:rPr>
                <w:rFonts w:cstheme="minorHAnsi"/>
                <w:color w:val="000000"/>
                <w:sz w:val="14"/>
                <w:szCs w:val="14"/>
              </w:rPr>
              <w:t>-52.7</w:t>
            </w:r>
          </w:p>
        </w:tc>
      </w:tr>
      <w:tr w:rsidR="00120717" w:rsidRPr="00B93EE1" w14:paraId="7840EE06" w14:textId="77777777" w:rsidTr="009C2A96">
        <w:tc>
          <w:tcPr>
            <w:tcW w:w="2431" w:type="dxa"/>
            <w:noWrap/>
            <w:hideMark/>
          </w:tcPr>
          <w:p w14:paraId="62AE38A3" w14:textId="77777777" w:rsidR="00120717" w:rsidRPr="00B93EE1" w:rsidRDefault="00120717" w:rsidP="009C2A96">
            <w:pPr>
              <w:jc w:val="left"/>
              <w:rPr>
                <w:rFonts w:cs="Arial"/>
                <w:sz w:val="14"/>
                <w:szCs w:val="14"/>
              </w:rPr>
            </w:pPr>
            <w:r w:rsidRPr="00B93EE1">
              <w:rPr>
                <w:rFonts w:cs="Arial"/>
                <w:sz w:val="14"/>
                <w:szCs w:val="14"/>
              </w:rPr>
              <w:t>Service imports (% change)</w:t>
            </w:r>
            <w:r w:rsidRPr="00B93EE1">
              <w:rPr>
                <w:rFonts w:cs="Arial"/>
                <w:sz w:val="14"/>
                <w:szCs w:val="14"/>
                <w:vertAlign w:val="superscript"/>
              </w:rPr>
              <w:t>c</w:t>
            </w:r>
          </w:p>
        </w:tc>
        <w:tc>
          <w:tcPr>
            <w:tcW w:w="940" w:type="dxa"/>
            <w:noWrap/>
          </w:tcPr>
          <w:p w14:paraId="50BFBBD3" w14:textId="77777777" w:rsidR="00120717" w:rsidRPr="00B93EE1" w:rsidRDefault="00120717" w:rsidP="002562F5">
            <w:pPr>
              <w:ind w:left="113"/>
              <w:jc w:val="right"/>
              <w:rPr>
                <w:rFonts w:cs="Arial"/>
                <w:sz w:val="14"/>
                <w:szCs w:val="14"/>
              </w:rPr>
            </w:pPr>
            <w:r w:rsidRPr="00B93EE1">
              <w:rPr>
                <w:rFonts w:cstheme="minorHAnsi"/>
                <w:color w:val="000000"/>
                <w:sz w:val="14"/>
                <w:szCs w:val="14"/>
              </w:rPr>
              <w:t>4.5</w:t>
            </w:r>
          </w:p>
        </w:tc>
        <w:tc>
          <w:tcPr>
            <w:tcW w:w="941" w:type="dxa"/>
            <w:noWrap/>
          </w:tcPr>
          <w:p w14:paraId="66957C18" w14:textId="77777777" w:rsidR="00120717" w:rsidRPr="00B93EE1" w:rsidRDefault="00120717" w:rsidP="002562F5">
            <w:pPr>
              <w:ind w:left="113"/>
              <w:jc w:val="right"/>
              <w:rPr>
                <w:rFonts w:cs="Arial"/>
                <w:sz w:val="14"/>
                <w:szCs w:val="14"/>
              </w:rPr>
            </w:pPr>
            <w:r w:rsidRPr="00B93EE1">
              <w:rPr>
                <w:rFonts w:cstheme="minorHAnsi"/>
                <w:color w:val="000000"/>
                <w:sz w:val="14"/>
                <w:szCs w:val="14"/>
              </w:rPr>
              <w:t>7.2</w:t>
            </w:r>
          </w:p>
        </w:tc>
        <w:tc>
          <w:tcPr>
            <w:tcW w:w="941" w:type="dxa"/>
            <w:noWrap/>
          </w:tcPr>
          <w:p w14:paraId="0FC69AE2" w14:textId="77777777" w:rsidR="00120717" w:rsidRPr="00B93EE1" w:rsidRDefault="00120717" w:rsidP="002562F5">
            <w:pPr>
              <w:ind w:left="113"/>
              <w:jc w:val="right"/>
              <w:rPr>
                <w:rFonts w:cs="Arial"/>
                <w:sz w:val="14"/>
                <w:szCs w:val="14"/>
              </w:rPr>
            </w:pPr>
            <w:r w:rsidRPr="00B93EE1">
              <w:rPr>
                <w:rFonts w:cstheme="minorHAnsi"/>
                <w:color w:val="000000"/>
                <w:sz w:val="14"/>
                <w:szCs w:val="14"/>
              </w:rPr>
              <w:t>4.7</w:t>
            </w:r>
          </w:p>
        </w:tc>
        <w:tc>
          <w:tcPr>
            <w:tcW w:w="940" w:type="dxa"/>
            <w:noWrap/>
          </w:tcPr>
          <w:p w14:paraId="513094BC" w14:textId="77777777" w:rsidR="00120717" w:rsidRPr="00B93EE1" w:rsidRDefault="00120717" w:rsidP="002562F5">
            <w:pPr>
              <w:ind w:left="113"/>
              <w:jc w:val="right"/>
              <w:rPr>
                <w:rFonts w:cs="Arial"/>
                <w:sz w:val="14"/>
                <w:szCs w:val="14"/>
              </w:rPr>
            </w:pPr>
            <w:r w:rsidRPr="00B93EE1">
              <w:rPr>
                <w:rFonts w:cstheme="minorHAnsi"/>
                <w:color w:val="000000"/>
                <w:sz w:val="14"/>
                <w:szCs w:val="14"/>
              </w:rPr>
              <w:t>7.9</w:t>
            </w:r>
          </w:p>
        </w:tc>
        <w:tc>
          <w:tcPr>
            <w:tcW w:w="941" w:type="dxa"/>
            <w:noWrap/>
          </w:tcPr>
          <w:p w14:paraId="4FC6D8D2" w14:textId="77777777" w:rsidR="00120717" w:rsidRPr="00B93EE1" w:rsidRDefault="00120717" w:rsidP="002562F5">
            <w:pPr>
              <w:ind w:left="113"/>
              <w:jc w:val="right"/>
              <w:rPr>
                <w:rFonts w:cs="Arial"/>
                <w:sz w:val="14"/>
                <w:szCs w:val="14"/>
              </w:rPr>
            </w:pPr>
            <w:r w:rsidRPr="00B93EE1">
              <w:rPr>
                <w:rFonts w:cstheme="minorHAnsi"/>
                <w:color w:val="000000"/>
                <w:sz w:val="14"/>
                <w:szCs w:val="14"/>
              </w:rPr>
              <w:t>12.6</w:t>
            </w:r>
          </w:p>
        </w:tc>
        <w:tc>
          <w:tcPr>
            <w:tcW w:w="941" w:type="dxa"/>
            <w:noWrap/>
          </w:tcPr>
          <w:p w14:paraId="1A78D90B" w14:textId="77777777" w:rsidR="00120717" w:rsidRPr="00B93EE1" w:rsidRDefault="00120717" w:rsidP="002562F5">
            <w:pPr>
              <w:ind w:left="113"/>
              <w:jc w:val="right"/>
              <w:rPr>
                <w:rFonts w:cs="Arial"/>
                <w:sz w:val="14"/>
                <w:szCs w:val="14"/>
              </w:rPr>
            </w:pPr>
            <w:r w:rsidRPr="00B93EE1">
              <w:rPr>
                <w:rFonts w:cstheme="minorHAnsi"/>
                <w:color w:val="000000"/>
                <w:sz w:val="14"/>
                <w:szCs w:val="14"/>
              </w:rPr>
              <w:t>6.3</w:t>
            </w:r>
          </w:p>
        </w:tc>
        <w:tc>
          <w:tcPr>
            <w:tcW w:w="941" w:type="dxa"/>
            <w:noWrap/>
          </w:tcPr>
          <w:p w14:paraId="292B2BED" w14:textId="77777777" w:rsidR="00120717" w:rsidRPr="00B93EE1" w:rsidRDefault="00120717" w:rsidP="002562F5">
            <w:pPr>
              <w:ind w:left="113"/>
              <w:jc w:val="right"/>
              <w:rPr>
                <w:rFonts w:cs="Arial"/>
                <w:sz w:val="14"/>
                <w:szCs w:val="14"/>
              </w:rPr>
            </w:pPr>
            <w:r w:rsidRPr="00B93EE1">
              <w:rPr>
                <w:rFonts w:cstheme="minorHAnsi"/>
                <w:color w:val="000000"/>
                <w:sz w:val="14"/>
                <w:szCs w:val="14"/>
              </w:rPr>
              <w:t>-32.1</w:t>
            </w:r>
          </w:p>
        </w:tc>
      </w:tr>
      <w:tr w:rsidR="00120717" w:rsidRPr="00B93EE1" w14:paraId="64A0D055"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6DF84E98" w14:textId="77777777" w:rsidR="00120717" w:rsidRPr="00B93EE1" w:rsidRDefault="00120717" w:rsidP="009C2A96">
            <w:pPr>
              <w:jc w:val="left"/>
              <w:rPr>
                <w:rFonts w:cs="Arial"/>
                <w:sz w:val="14"/>
                <w:szCs w:val="14"/>
              </w:rPr>
            </w:pPr>
            <w:r w:rsidRPr="00B93EE1">
              <w:rPr>
                <w:rFonts w:cs="Arial"/>
                <w:sz w:val="14"/>
                <w:szCs w:val="14"/>
              </w:rPr>
              <w:t>Net foreign liabilities (%, end</w:t>
            </w:r>
            <w:r w:rsidRPr="00B93EE1">
              <w:rPr>
                <w:rFonts w:cs="Arial"/>
                <w:sz w:val="14"/>
                <w:szCs w:val="14"/>
              </w:rPr>
              <w:noBreakHyphen/>
              <w:t>March)</w:t>
            </w:r>
          </w:p>
        </w:tc>
        <w:tc>
          <w:tcPr>
            <w:tcW w:w="940" w:type="dxa"/>
            <w:noWrap/>
          </w:tcPr>
          <w:p w14:paraId="69EC0524" w14:textId="77777777" w:rsidR="00120717" w:rsidRPr="00B93EE1" w:rsidRDefault="00120717" w:rsidP="002562F5">
            <w:pPr>
              <w:ind w:left="113"/>
              <w:jc w:val="right"/>
              <w:rPr>
                <w:rFonts w:cs="Arial"/>
                <w:sz w:val="14"/>
                <w:szCs w:val="14"/>
              </w:rPr>
            </w:pPr>
            <w:r w:rsidRPr="00B93EE1">
              <w:rPr>
                <w:rFonts w:cstheme="minorHAnsi"/>
                <w:color w:val="000000"/>
                <w:sz w:val="14"/>
                <w:szCs w:val="14"/>
              </w:rPr>
              <w:t>-62.0</w:t>
            </w:r>
          </w:p>
        </w:tc>
        <w:tc>
          <w:tcPr>
            <w:tcW w:w="941" w:type="dxa"/>
            <w:noWrap/>
          </w:tcPr>
          <w:p w14:paraId="1E8E33E3" w14:textId="77777777" w:rsidR="00120717" w:rsidRPr="00B93EE1" w:rsidRDefault="00120717" w:rsidP="002562F5">
            <w:pPr>
              <w:ind w:left="113"/>
              <w:jc w:val="right"/>
              <w:rPr>
                <w:rFonts w:cs="Arial"/>
                <w:sz w:val="14"/>
                <w:szCs w:val="14"/>
              </w:rPr>
            </w:pPr>
            <w:r w:rsidRPr="00B93EE1">
              <w:rPr>
                <w:rFonts w:cstheme="minorHAnsi"/>
                <w:color w:val="000000"/>
                <w:sz w:val="14"/>
                <w:szCs w:val="14"/>
              </w:rPr>
              <w:t>-60.8</w:t>
            </w:r>
          </w:p>
        </w:tc>
        <w:tc>
          <w:tcPr>
            <w:tcW w:w="941" w:type="dxa"/>
            <w:noWrap/>
          </w:tcPr>
          <w:p w14:paraId="50693DF7" w14:textId="77777777" w:rsidR="00120717" w:rsidRPr="00B93EE1" w:rsidRDefault="00120717" w:rsidP="002562F5">
            <w:pPr>
              <w:ind w:left="113"/>
              <w:jc w:val="right"/>
              <w:rPr>
                <w:rFonts w:cs="Arial"/>
                <w:sz w:val="14"/>
                <w:szCs w:val="14"/>
              </w:rPr>
            </w:pPr>
            <w:r w:rsidRPr="00B93EE1">
              <w:rPr>
                <w:rFonts w:cstheme="minorHAnsi"/>
                <w:color w:val="000000"/>
                <w:sz w:val="14"/>
                <w:szCs w:val="14"/>
              </w:rPr>
              <w:t>-54.6</w:t>
            </w:r>
          </w:p>
        </w:tc>
        <w:tc>
          <w:tcPr>
            <w:tcW w:w="940" w:type="dxa"/>
            <w:noWrap/>
          </w:tcPr>
          <w:p w14:paraId="707B16E7" w14:textId="77777777" w:rsidR="00120717" w:rsidRPr="00B93EE1" w:rsidRDefault="00120717" w:rsidP="002562F5">
            <w:pPr>
              <w:ind w:left="113"/>
              <w:jc w:val="right"/>
              <w:rPr>
                <w:rFonts w:cs="Arial"/>
                <w:sz w:val="14"/>
                <w:szCs w:val="14"/>
              </w:rPr>
            </w:pPr>
            <w:r w:rsidRPr="00B93EE1">
              <w:rPr>
                <w:rFonts w:cstheme="minorHAnsi"/>
                <w:color w:val="000000"/>
                <w:sz w:val="14"/>
                <w:szCs w:val="14"/>
              </w:rPr>
              <w:t>-51.6</w:t>
            </w:r>
          </w:p>
        </w:tc>
        <w:tc>
          <w:tcPr>
            <w:tcW w:w="941" w:type="dxa"/>
            <w:noWrap/>
          </w:tcPr>
          <w:p w14:paraId="3D2A8485" w14:textId="77777777" w:rsidR="00120717" w:rsidRPr="00B93EE1" w:rsidRDefault="00120717" w:rsidP="002562F5">
            <w:pPr>
              <w:ind w:left="113"/>
              <w:jc w:val="right"/>
              <w:rPr>
                <w:rFonts w:cs="Arial"/>
                <w:sz w:val="14"/>
                <w:szCs w:val="14"/>
              </w:rPr>
            </w:pPr>
            <w:r w:rsidRPr="00B93EE1">
              <w:rPr>
                <w:rFonts w:cstheme="minorHAnsi"/>
                <w:color w:val="000000"/>
                <w:sz w:val="14"/>
                <w:szCs w:val="14"/>
              </w:rPr>
              <w:t>-53.9</w:t>
            </w:r>
          </w:p>
        </w:tc>
        <w:tc>
          <w:tcPr>
            <w:tcW w:w="941" w:type="dxa"/>
            <w:noWrap/>
          </w:tcPr>
          <w:p w14:paraId="232AABAC" w14:textId="77777777" w:rsidR="00120717" w:rsidRPr="00B93EE1" w:rsidRDefault="00120717" w:rsidP="002562F5">
            <w:pPr>
              <w:ind w:left="113"/>
              <w:jc w:val="right"/>
              <w:rPr>
                <w:rFonts w:cs="Arial"/>
                <w:sz w:val="14"/>
                <w:szCs w:val="14"/>
              </w:rPr>
            </w:pPr>
            <w:r w:rsidRPr="00B93EE1">
              <w:rPr>
                <w:rFonts w:cstheme="minorHAnsi"/>
                <w:color w:val="000000"/>
                <w:sz w:val="14"/>
                <w:szCs w:val="14"/>
              </w:rPr>
              <w:t>-55.5</w:t>
            </w:r>
          </w:p>
        </w:tc>
        <w:tc>
          <w:tcPr>
            <w:tcW w:w="941" w:type="dxa"/>
            <w:noWrap/>
          </w:tcPr>
          <w:p w14:paraId="3708B8A8" w14:textId="77777777" w:rsidR="00120717" w:rsidRPr="00B93EE1" w:rsidRDefault="00120717" w:rsidP="002562F5">
            <w:pPr>
              <w:ind w:left="113"/>
              <w:jc w:val="right"/>
              <w:rPr>
                <w:rFonts w:cs="Arial"/>
                <w:sz w:val="14"/>
                <w:szCs w:val="14"/>
              </w:rPr>
            </w:pPr>
            <w:r w:rsidRPr="00B93EE1">
              <w:rPr>
                <w:rFonts w:cstheme="minorHAnsi"/>
                <w:color w:val="000000"/>
                <w:sz w:val="14"/>
                <w:szCs w:val="14"/>
              </w:rPr>
              <w:t>-50.5</w:t>
            </w:r>
          </w:p>
        </w:tc>
      </w:tr>
      <w:tr w:rsidR="00120717" w:rsidRPr="00B93EE1" w14:paraId="0A495B14" w14:textId="77777777" w:rsidTr="009C2A96">
        <w:tc>
          <w:tcPr>
            <w:tcW w:w="2431" w:type="dxa"/>
            <w:noWrap/>
            <w:hideMark/>
          </w:tcPr>
          <w:p w14:paraId="08653BC7" w14:textId="77777777" w:rsidR="00120717" w:rsidRPr="00B93EE1" w:rsidRDefault="00120717" w:rsidP="009C2A96">
            <w:pPr>
              <w:jc w:val="left"/>
              <w:rPr>
                <w:rFonts w:cs="Arial"/>
                <w:sz w:val="14"/>
                <w:szCs w:val="14"/>
              </w:rPr>
            </w:pPr>
            <w:r w:rsidRPr="00B93EE1">
              <w:rPr>
                <w:rFonts w:cs="Arial"/>
                <w:sz w:val="14"/>
                <w:szCs w:val="14"/>
              </w:rPr>
              <w:t>Official reserve assets (NZD billion, end-March)</w:t>
            </w:r>
          </w:p>
        </w:tc>
        <w:tc>
          <w:tcPr>
            <w:tcW w:w="940" w:type="dxa"/>
            <w:noWrap/>
          </w:tcPr>
          <w:p w14:paraId="2EB2EE2D" w14:textId="77777777" w:rsidR="00120717" w:rsidRPr="00B93EE1" w:rsidRDefault="00120717" w:rsidP="002562F5">
            <w:pPr>
              <w:ind w:left="113"/>
              <w:jc w:val="right"/>
              <w:rPr>
                <w:rFonts w:cs="Arial"/>
                <w:sz w:val="14"/>
                <w:szCs w:val="14"/>
              </w:rPr>
            </w:pPr>
            <w:r w:rsidRPr="00B93EE1">
              <w:rPr>
                <w:rFonts w:cstheme="minorHAnsi"/>
                <w:color w:val="000000"/>
                <w:sz w:val="14"/>
                <w:szCs w:val="14"/>
              </w:rPr>
              <w:t>24.7</w:t>
            </w:r>
          </w:p>
        </w:tc>
        <w:tc>
          <w:tcPr>
            <w:tcW w:w="941" w:type="dxa"/>
            <w:noWrap/>
          </w:tcPr>
          <w:p w14:paraId="2168069F" w14:textId="77777777" w:rsidR="00120717" w:rsidRPr="00B93EE1" w:rsidRDefault="00120717" w:rsidP="002562F5">
            <w:pPr>
              <w:ind w:left="113"/>
              <w:jc w:val="right"/>
              <w:rPr>
                <w:rFonts w:cs="Arial"/>
                <w:sz w:val="14"/>
                <w:szCs w:val="14"/>
              </w:rPr>
            </w:pPr>
            <w:r w:rsidRPr="00B93EE1">
              <w:rPr>
                <w:rFonts w:cstheme="minorHAnsi"/>
                <w:color w:val="000000"/>
                <w:sz w:val="14"/>
                <w:szCs w:val="14"/>
              </w:rPr>
              <w:t>24.3</w:t>
            </w:r>
          </w:p>
        </w:tc>
        <w:tc>
          <w:tcPr>
            <w:tcW w:w="941" w:type="dxa"/>
            <w:noWrap/>
          </w:tcPr>
          <w:p w14:paraId="2ED2C62C" w14:textId="77777777" w:rsidR="00120717" w:rsidRPr="00B93EE1" w:rsidRDefault="00120717" w:rsidP="002562F5">
            <w:pPr>
              <w:ind w:left="113"/>
              <w:jc w:val="right"/>
              <w:rPr>
                <w:rFonts w:cs="Arial"/>
                <w:sz w:val="14"/>
                <w:szCs w:val="14"/>
              </w:rPr>
            </w:pPr>
            <w:r w:rsidRPr="00B93EE1">
              <w:rPr>
                <w:rFonts w:cstheme="minorHAnsi"/>
                <w:color w:val="000000"/>
                <w:sz w:val="14"/>
                <w:szCs w:val="14"/>
              </w:rPr>
              <w:t>26.6</w:t>
            </w:r>
          </w:p>
        </w:tc>
        <w:tc>
          <w:tcPr>
            <w:tcW w:w="940" w:type="dxa"/>
            <w:noWrap/>
          </w:tcPr>
          <w:p w14:paraId="6709599A" w14:textId="77777777" w:rsidR="00120717" w:rsidRPr="00B93EE1" w:rsidRDefault="00120717" w:rsidP="002562F5">
            <w:pPr>
              <w:ind w:left="113"/>
              <w:jc w:val="right"/>
              <w:rPr>
                <w:rFonts w:cs="Arial"/>
                <w:sz w:val="14"/>
                <w:szCs w:val="14"/>
              </w:rPr>
            </w:pPr>
            <w:r w:rsidRPr="00B93EE1">
              <w:rPr>
                <w:rFonts w:cstheme="minorHAnsi"/>
                <w:color w:val="000000"/>
                <w:sz w:val="14"/>
                <w:szCs w:val="14"/>
              </w:rPr>
              <w:t>30.1</w:t>
            </w:r>
          </w:p>
        </w:tc>
        <w:tc>
          <w:tcPr>
            <w:tcW w:w="941" w:type="dxa"/>
            <w:noWrap/>
          </w:tcPr>
          <w:p w14:paraId="6CBF5E0E" w14:textId="77777777" w:rsidR="00120717" w:rsidRPr="00B93EE1" w:rsidRDefault="00120717" w:rsidP="002562F5">
            <w:pPr>
              <w:ind w:left="113"/>
              <w:jc w:val="right"/>
              <w:rPr>
                <w:rFonts w:cs="Arial"/>
                <w:sz w:val="14"/>
                <w:szCs w:val="14"/>
              </w:rPr>
            </w:pPr>
            <w:r w:rsidRPr="00B93EE1">
              <w:rPr>
                <w:rFonts w:cstheme="minorHAnsi"/>
                <w:color w:val="000000"/>
                <w:sz w:val="14"/>
                <w:szCs w:val="14"/>
              </w:rPr>
              <w:t>27.7</w:t>
            </w:r>
          </w:p>
        </w:tc>
        <w:tc>
          <w:tcPr>
            <w:tcW w:w="941" w:type="dxa"/>
            <w:noWrap/>
          </w:tcPr>
          <w:p w14:paraId="04883B9F" w14:textId="77777777" w:rsidR="00120717" w:rsidRPr="00B93EE1" w:rsidRDefault="00120717" w:rsidP="002562F5">
            <w:pPr>
              <w:ind w:left="113"/>
              <w:jc w:val="right"/>
              <w:rPr>
                <w:rFonts w:cs="Arial"/>
                <w:sz w:val="14"/>
                <w:szCs w:val="14"/>
              </w:rPr>
            </w:pPr>
            <w:r w:rsidRPr="00B93EE1">
              <w:rPr>
                <w:rFonts w:cstheme="minorHAnsi"/>
                <w:color w:val="000000"/>
                <w:sz w:val="14"/>
                <w:szCs w:val="14"/>
              </w:rPr>
              <w:t>39.2</w:t>
            </w:r>
          </w:p>
        </w:tc>
        <w:tc>
          <w:tcPr>
            <w:tcW w:w="941" w:type="dxa"/>
            <w:noWrap/>
          </w:tcPr>
          <w:p w14:paraId="7963F20A" w14:textId="77777777" w:rsidR="00120717" w:rsidRPr="00B93EE1" w:rsidRDefault="00120717" w:rsidP="002562F5">
            <w:pPr>
              <w:ind w:left="113"/>
              <w:jc w:val="right"/>
              <w:rPr>
                <w:rFonts w:cs="Arial"/>
                <w:sz w:val="14"/>
                <w:szCs w:val="14"/>
              </w:rPr>
            </w:pPr>
            <w:r w:rsidRPr="00B93EE1">
              <w:rPr>
                <w:rFonts w:cstheme="minorHAnsi"/>
                <w:color w:val="000000"/>
                <w:sz w:val="14"/>
                <w:szCs w:val="14"/>
              </w:rPr>
              <w:t>18.5</w:t>
            </w:r>
          </w:p>
        </w:tc>
      </w:tr>
      <w:tr w:rsidR="00120717" w:rsidRPr="00B93EE1" w14:paraId="7615841B"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3B37C20B" w14:textId="77777777" w:rsidR="00120717" w:rsidRPr="00B93EE1" w:rsidRDefault="00120717" w:rsidP="009C2A96">
            <w:pPr>
              <w:ind w:left="170"/>
              <w:jc w:val="left"/>
              <w:rPr>
                <w:rFonts w:cs="Arial"/>
                <w:sz w:val="14"/>
                <w:szCs w:val="14"/>
              </w:rPr>
            </w:pPr>
            <w:r w:rsidRPr="00B93EE1">
              <w:rPr>
                <w:rFonts w:cs="Arial"/>
                <w:sz w:val="14"/>
                <w:szCs w:val="14"/>
              </w:rPr>
              <w:t>% of GDP</w:t>
            </w:r>
          </w:p>
        </w:tc>
        <w:tc>
          <w:tcPr>
            <w:tcW w:w="940" w:type="dxa"/>
            <w:noWrap/>
          </w:tcPr>
          <w:p w14:paraId="651BE72D" w14:textId="77777777" w:rsidR="00120717" w:rsidRPr="00B93EE1" w:rsidRDefault="00120717" w:rsidP="002562F5">
            <w:pPr>
              <w:ind w:left="113"/>
              <w:jc w:val="right"/>
              <w:rPr>
                <w:rFonts w:cs="Arial"/>
                <w:sz w:val="14"/>
                <w:szCs w:val="14"/>
              </w:rPr>
            </w:pPr>
            <w:r w:rsidRPr="00B93EE1">
              <w:rPr>
                <w:rFonts w:cstheme="minorHAnsi"/>
                <w:color w:val="000000"/>
                <w:sz w:val="14"/>
                <w:szCs w:val="14"/>
              </w:rPr>
              <w:t>10.2</w:t>
            </w:r>
          </w:p>
        </w:tc>
        <w:tc>
          <w:tcPr>
            <w:tcW w:w="941" w:type="dxa"/>
            <w:noWrap/>
          </w:tcPr>
          <w:p w14:paraId="7A80989D" w14:textId="77777777" w:rsidR="00120717" w:rsidRPr="00B93EE1" w:rsidRDefault="00120717" w:rsidP="002562F5">
            <w:pPr>
              <w:ind w:left="113"/>
              <w:jc w:val="right"/>
              <w:rPr>
                <w:rFonts w:cs="Arial"/>
                <w:sz w:val="14"/>
                <w:szCs w:val="14"/>
              </w:rPr>
            </w:pPr>
            <w:r w:rsidRPr="00B93EE1">
              <w:rPr>
                <w:rFonts w:cstheme="minorHAnsi"/>
                <w:color w:val="000000"/>
                <w:sz w:val="14"/>
                <w:szCs w:val="14"/>
              </w:rPr>
              <w:t>9.5</w:t>
            </w:r>
          </w:p>
        </w:tc>
        <w:tc>
          <w:tcPr>
            <w:tcW w:w="941" w:type="dxa"/>
            <w:noWrap/>
          </w:tcPr>
          <w:p w14:paraId="326BB520" w14:textId="77777777" w:rsidR="00120717" w:rsidRPr="00B93EE1" w:rsidRDefault="00120717" w:rsidP="002562F5">
            <w:pPr>
              <w:ind w:left="113"/>
              <w:jc w:val="right"/>
              <w:rPr>
                <w:rFonts w:cs="Arial"/>
                <w:sz w:val="14"/>
                <w:szCs w:val="14"/>
              </w:rPr>
            </w:pPr>
            <w:r w:rsidRPr="00B93EE1">
              <w:rPr>
                <w:rFonts w:cstheme="minorHAnsi"/>
                <w:color w:val="000000"/>
                <w:sz w:val="14"/>
                <w:szCs w:val="14"/>
              </w:rPr>
              <w:t>9.8</w:t>
            </w:r>
          </w:p>
        </w:tc>
        <w:tc>
          <w:tcPr>
            <w:tcW w:w="940" w:type="dxa"/>
            <w:noWrap/>
          </w:tcPr>
          <w:p w14:paraId="69104A4A" w14:textId="77777777" w:rsidR="00120717" w:rsidRPr="00B93EE1" w:rsidRDefault="00120717" w:rsidP="002562F5">
            <w:pPr>
              <w:ind w:left="113"/>
              <w:jc w:val="right"/>
              <w:rPr>
                <w:rFonts w:cs="Arial"/>
                <w:sz w:val="14"/>
                <w:szCs w:val="14"/>
              </w:rPr>
            </w:pPr>
            <w:r w:rsidRPr="00B93EE1">
              <w:rPr>
                <w:rFonts w:cstheme="minorHAnsi"/>
                <w:color w:val="000000"/>
                <w:sz w:val="14"/>
                <w:szCs w:val="14"/>
              </w:rPr>
              <w:t>10.3</w:t>
            </w:r>
          </w:p>
        </w:tc>
        <w:tc>
          <w:tcPr>
            <w:tcW w:w="941" w:type="dxa"/>
            <w:noWrap/>
          </w:tcPr>
          <w:p w14:paraId="30FEE588" w14:textId="77777777" w:rsidR="00120717" w:rsidRPr="00B93EE1" w:rsidRDefault="00120717" w:rsidP="002562F5">
            <w:pPr>
              <w:ind w:left="113"/>
              <w:jc w:val="right"/>
              <w:rPr>
                <w:rFonts w:cs="Arial"/>
                <w:sz w:val="14"/>
                <w:szCs w:val="14"/>
              </w:rPr>
            </w:pPr>
            <w:r w:rsidRPr="00B93EE1">
              <w:rPr>
                <w:rFonts w:cstheme="minorHAnsi"/>
                <w:color w:val="000000"/>
                <w:sz w:val="14"/>
                <w:szCs w:val="14"/>
              </w:rPr>
              <w:t>9.0</w:t>
            </w:r>
          </w:p>
        </w:tc>
        <w:tc>
          <w:tcPr>
            <w:tcW w:w="941" w:type="dxa"/>
            <w:noWrap/>
          </w:tcPr>
          <w:p w14:paraId="3DB8546B" w14:textId="77777777" w:rsidR="00120717" w:rsidRPr="00B93EE1" w:rsidRDefault="00120717" w:rsidP="002562F5">
            <w:pPr>
              <w:ind w:left="113"/>
              <w:jc w:val="right"/>
              <w:rPr>
                <w:rFonts w:cs="Arial"/>
                <w:sz w:val="14"/>
                <w:szCs w:val="14"/>
              </w:rPr>
            </w:pPr>
            <w:r w:rsidRPr="00B93EE1">
              <w:rPr>
                <w:rFonts w:cstheme="minorHAnsi"/>
                <w:color w:val="000000"/>
                <w:sz w:val="14"/>
                <w:szCs w:val="14"/>
              </w:rPr>
              <w:t>12.1</w:t>
            </w:r>
          </w:p>
        </w:tc>
        <w:tc>
          <w:tcPr>
            <w:tcW w:w="941" w:type="dxa"/>
            <w:noWrap/>
          </w:tcPr>
          <w:p w14:paraId="638B67AF" w14:textId="77777777" w:rsidR="00120717" w:rsidRPr="00B93EE1" w:rsidRDefault="00120717" w:rsidP="002562F5">
            <w:pPr>
              <w:ind w:left="113"/>
              <w:jc w:val="right"/>
              <w:rPr>
                <w:rFonts w:cs="Arial"/>
                <w:sz w:val="14"/>
                <w:szCs w:val="14"/>
              </w:rPr>
            </w:pPr>
            <w:r w:rsidRPr="00B93EE1">
              <w:rPr>
                <w:rFonts w:cstheme="minorHAnsi"/>
                <w:color w:val="000000"/>
                <w:sz w:val="14"/>
                <w:szCs w:val="14"/>
              </w:rPr>
              <w:t>5.7</w:t>
            </w:r>
          </w:p>
        </w:tc>
      </w:tr>
      <w:tr w:rsidR="00120717" w:rsidRPr="00B93EE1" w14:paraId="2D1A0C6A" w14:textId="77777777" w:rsidTr="009C2A96">
        <w:tc>
          <w:tcPr>
            <w:tcW w:w="2431" w:type="dxa"/>
            <w:noWrap/>
            <w:hideMark/>
          </w:tcPr>
          <w:p w14:paraId="3279F05A" w14:textId="77777777" w:rsidR="00120717" w:rsidRPr="00B93EE1" w:rsidRDefault="00120717" w:rsidP="009C2A96">
            <w:pPr>
              <w:jc w:val="left"/>
              <w:rPr>
                <w:rFonts w:cs="Arial"/>
                <w:sz w:val="14"/>
                <w:szCs w:val="14"/>
              </w:rPr>
            </w:pPr>
            <w:r w:rsidRPr="00B93EE1">
              <w:rPr>
                <w:rFonts w:cs="Arial"/>
                <w:sz w:val="14"/>
                <w:szCs w:val="14"/>
              </w:rPr>
              <w:t>Total external debt (NZD billion, end-March)</w:t>
            </w:r>
          </w:p>
        </w:tc>
        <w:tc>
          <w:tcPr>
            <w:tcW w:w="940" w:type="dxa"/>
            <w:noWrap/>
          </w:tcPr>
          <w:p w14:paraId="0B067FF2" w14:textId="77777777" w:rsidR="00120717" w:rsidRPr="00B93EE1" w:rsidRDefault="00120717" w:rsidP="002562F5">
            <w:pPr>
              <w:ind w:left="113"/>
              <w:jc w:val="right"/>
              <w:rPr>
                <w:rFonts w:cs="Arial"/>
                <w:sz w:val="14"/>
                <w:szCs w:val="14"/>
              </w:rPr>
            </w:pPr>
            <w:r w:rsidRPr="00B93EE1">
              <w:rPr>
                <w:rFonts w:cstheme="minorHAnsi"/>
                <w:color w:val="000000"/>
                <w:sz w:val="14"/>
                <w:szCs w:val="14"/>
              </w:rPr>
              <w:t>248.9</w:t>
            </w:r>
          </w:p>
        </w:tc>
        <w:tc>
          <w:tcPr>
            <w:tcW w:w="941" w:type="dxa"/>
            <w:noWrap/>
          </w:tcPr>
          <w:p w14:paraId="136712D3" w14:textId="77777777" w:rsidR="00120717" w:rsidRPr="00B93EE1" w:rsidRDefault="00120717" w:rsidP="002562F5">
            <w:pPr>
              <w:ind w:left="113"/>
              <w:jc w:val="right"/>
              <w:rPr>
                <w:rFonts w:cs="Arial"/>
                <w:sz w:val="14"/>
                <w:szCs w:val="14"/>
              </w:rPr>
            </w:pPr>
            <w:r w:rsidRPr="00B93EE1">
              <w:rPr>
                <w:rFonts w:cstheme="minorHAnsi"/>
                <w:color w:val="000000"/>
                <w:sz w:val="14"/>
                <w:szCs w:val="14"/>
              </w:rPr>
              <w:t>258.4</w:t>
            </w:r>
          </w:p>
        </w:tc>
        <w:tc>
          <w:tcPr>
            <w:tcW w:w="941" w:type="dxa"/>
            <w:noWrap/>
          </w:tcPr>
          <w:p w14:paraId="7449ED0F" w14:textId="77777777" w:rsidR="00120717" w:rsidRPr="00B93EE1" w:rsidRDefault="00120717" w:rsidP="002562F5">
            <w:pPr>
              <w:ind w:left="113"/>
              <w:jc w:val="right"/>
              <w:rPr>
                <w:rFonts w:cs="Arial"/>
                <w:sz w:val="14"/>
                <w:szCs w:val="14"/>
              </w:rPr>
            </w:pPr>
            <w:r w:rsidRPr="00B93EE1">
              <w:rPr>
                <w:rFonts w:cstheme="minorHAnsi"/>
                <w:color w:val="000000"/>
                <w:sz w:val="14"/>
                <w:szCs w:val="14"/>
              </w:rPr>
              <w:t>265.9</w:t>
            </w:r>
          </w:p>
        </w:tc>
        <w:tc>
          <w:tcPr>
            <w:tcW w:w="940" w:type="dxa"/>
            <w:noWrap/>
          </w:tcPr>
          <w:p w14:paraId="5318526E" w14:textId="77777777" w:rsidR="00120717" w:rsidRPr="00B93EE1" w:rsidRDefault="00120717" w:rsidP="002562F5">
            <w:pPr>
              <w:ind w:left="113"/>
              <w:jc w:val="right"/>
              <w:rPr>
                <w:rFonts w:cs="Arial"/>
                <w:sz w:val="14"/>
                <w:szCs w:val="14"/>
              </w:rPr>
            </w:pPr>
            <w:r w:rsidRPr="00B93EE1">
              <w:rPr>
                <w:rFonts w:cstheme="minorHAnsi"/>
                <w:color w:val="000000"/>
                <w:sz w:val="14"/>
                <w:szCs w:val="14"/>
              </w:rPr>
              <w:t>275.5</w:t>
            </w:r>
          </w:p>
        </w:tc>
        <w:tc>
          <w:tcPr>
            <w:tcW w:w="941" w:type="dxa"/>
            <w:noWrap/>
          </w:tcPr>
          <w:p w14:paraId="671F3B12" w14:textId="77777777" w:rsidR="00120717" w:rsidRPr="00B93EE1" w:rsidRDefault="00120717" w:rsidP="002562F5">
            <w:pPr>
              <w:ind w:left="113"/>
              <w:jc w:val="right"/>
              <w:rPr>
                <w:rFonts w:cs="Arial"/>
                <w:sz w:val="14"/>
                <w:szCs w:val="14"/>
              </w:rPr>
            </w:pPr>
            <w:r w:rsidRPr="00B93EE1">
              <w:rPr>
                <w:rFonts w:cstheme="minorHAnsi"/>
                <w:color w:val="000000"/>
                <w:sz w:val="14"/>
                <w:szCs w:val="14"/>
              </w:rPr>
              <w:t>284.3</w:t>
            </w:r>
          </w:p>
        </w:tc>
        <w:tc>
          <w:tcPr>
            <w:tcW w:w="941" w:type="dxa"/>
            <w:noWrap/>
          </w:tcPr>
          <w:p w14:paraId="342A1E12" w14:textId="77777777" w:rsidR="00120717" w:rsidRPr="00B93EE1" w:rsidRDefault="00120717" w:rsidP="002562F5">
            <w:pPr>
              <w:ind w:left="113"/>
              <w:jc w:val="right"/>
              <w:rPr>
                <w:rFonts w:cs="Arial"/>
                <w:sz w:val="14"/>
                <w:szCs w:val="14"/>
              </w:rPr>
            </w:pPr>
            <w:r w:rsidRPr="00B93EE1">
              <w:rPr>
                <w:rFonts w:cstheme="minorHAnsi"/>
                <w:color w:val="000000"/>
                <w:sz w:val="14"/>
                <w:szCs w:val="14"/>
              </w:rPr>
              <w:t>306.5</w:t>
            </w:r>
          </w:p>
        </w:tc>
        <w:tc>
          <w:tcPr>
            <w:tcW w:w="941" w:type="dxa"/>
            <w:noWrap/>
          </w:tcPr>
          <w:p w14:paraId="4ED06E08" w14:textId="77777777" w:rsidR="00120717" w:rsidRPr="00B93EE1" w:rsidRDefault="00120717" w:rsidP="002562F5">
            <w:pPr>
              <w:ind w:left="113"/>
              <w:jc w:val="right"/>
              <w:rPr>
                <w:rFonts w:cs="Arial"/>
                <w:sz w:val="14"/>
                <w:szCs w:val="14"/>
              </w:rPr>
            </w:pPr>
            <w:r w:rsidRPr="00B93EE1">
              <w:rPr>
                <w:rFonts w:cstheme="minorHAnsi"/>
                <w:color w:val="000000"/>
                <w:sz w:val="14"/>
                <w:szCs w:val="14"/>
              </w:rPr>
              <w:t>289.3</w:t>
            </w:r>
          </w:p>
        </w:tc>
      </w:tr>
      <w:tr w:rsidR="00120717" w:rsidRPr="00B93EE1" w14:paraId="6BAA1D43" w14:textId="77777777" w:rsidTr="009C2A96">
        <w:trPr>
          <w:cnfStyle w:val="000000010000" w:firstRow="0" w:lastRow="0" w:firstColumn="0" w:lastColumn="0" w:oddVBand="0" w:evenVBand="0" w:oddHBand="0" w:evenHBand="1" w:firstRowFirstColumn="0" w:firstRowLastColumn="0" w:lastRowFirstColumn="0" w:lastRowLastColumn="0"/>
        </w:trPr>
        <w:tc>
          <w:tcPr>
            <w:tcW w:w="2431" w:type="dxa"/>
            <w:noWrap/>
            <w:hideMark/>
          </w:tcPr>
          <w:p w14:paraId="5B5AFA60" w14:textId="77777777" w:rsidR="00120717" w:rsidRPr="00B93EE1" w:rsidRDefault="00120717" w:rsidP="009C2A96">
            <w:pPr>
              <w:ind w:left="170"/>
              <w:jc w:val="left"/>
              <w:rPr>
                <w:rFonts w:cs="Arial"/>
                <w:sz w:val="14"/>
                <w:szCs w:val="14"/>
              </w:rPr>
            </w:pPr>
            <w:r w:rsidRPr="00B93EE1">
              <w:rPr>
                <w:rFonts w:cs="Arial"/>
                <w:sz w:val="14"/>
                <w:szCs w:val="14"/>
              </w:rPr>
              <w:t>% of GDP</w:t>
            </w:r>
          </w:p>
        </w:tc>
        <w:tc>
          <w:tcPr>
            <w:tcW w:w="940" w:type="dxa"/>
            <w:noWrap/>
          </w:tcPr>
          <w:p w14:paraId="4C4413BC" w14:textId="77777777" w:rsidR="00120717" w:rsidRPr="00B93EE1" w:rsidRDefault="00120717" w:rsidP="002562F5">
            <w:pPr>
              <w:ind w:left="113"/>
              <w:jc w:val="right"/>
              <w:rPr>
                <w:rFonts w:cs="Arial"/>
                <w:sz w:val="14"/>
                <w:szCs w:val="14"/>
              </w:rPr>
            </w:pPr>
            <w:r w:rsidRPr="00B93EE1">
              <w:rPr>
                <w:rFonts w:cstheme="minorHAnsi"/>
                <w:color w:val="000000"/>
                <w:sz w:val="14"/>
                <w:szCs w:val="14"/>
              </w:rPr>
              <w:t>102.6</w:t>
            </w:r>
          </w:p>
        </w:tc>
        <w:tc>
          <w:tcPr>
            <w:tcW w:w="941" w:type="dxa"/>
            <w:noWrap/>
          </w:tcPr>
          <w:p w14:paraId="6AB5EB7C" w14:textId="77777777" w:rsidR="00120717" w:rsidRPr="00B93EE1" w:rsidRDefault="00120717" w:rsidP="002562F5">
            <w:pPr>
              <w:ind w:left="113"/>
              <w:jc w:val="right"/>
              <w:rPr>
                <w:rFonts w:cs="Arial"/>
                <w:sz w:val="14"/>
                <w:szCs w:val="14"/>
              </w:rPr>
            </w:pPr>
            <w:r w:rsidRPr="00B93EE1">
              <w:rPr>
                <w:rFonts w:cstheme="minorHAnsi"/>
                <w:color w:val="000000"/>
                <w:sz w:val="14"/>
                <w:szCs w:val="14"/>
              </w:rPr>
              <w:t>101.2</w:t>
            </w:r>
          </w:p>
        </w:tc>
        <w:tc>
          <w:tcPr>
            <w:tcW w:w="941" w:type="dxa"/>
            <w:noWrap/>
          </w:tcPr>
          <w:p w14:paraId="6017EC3B" w14:textId="77777777" w:rsidR="00120717" w:rsidRPr="00B93EE1" w:rsidRDefault="00120717" w:rsidP="002562F5">
            <w:pPr>
              <w:ind w:left="113"/>
              <w:jc w:val="right"/>
              <w:rPr>
                <w:rFonts w:cs="Arial"/>
                <w:sz w:val="14"/>
                <w:szCs w:val="14"/>
              </w:rPr>
            </w:pPr>
            <w:r w:rsidRPr="00B93EE1">
              <w:rPr>
                <w:rFonts w:cstheme="minorHAnsi"/>
                <w:color w:val="000000"/>
                <w:sz w:val="14"/>
                <w:szCs w:val="14"/>
              </w:rPr>
              <w:t>98.0</w:t>
            </w:r>
          </w:p>
        </w:tc>
        <w:tc>
          <w:tcPr>
            <w:tcW w:w="940" w:type="dxa"/>
            <w:noWrap/>
          </w:tcPr>
          <w:p w14:paraId="10CE7AC3" w14:textId="77777777" w:rsidR="00120717" w:rsidRPr="00B93EE1" w:rsidRDefault="00120717" w:rsidP="002562F5">
            <w:pPr>
              <w:ind w:left="113"/>
              <w:jc w:val="right"/>
              <w:rPr>
                <w:rFonts w:cs="Arial"/>
                <w:sz w:val="14"/>
                <w:szCs w:val="14"/>
              </w:rPr>
            </w:pPr>
            <w:r w:rsidRPr="00B93EE1">
              <w:rPr>
                <w:rFonts w:cstheme="minorHAnsi"/>
                <w:color w:val="000000"/>
                <w:sz w:val="14"/>
                <w:szCs w:val="14"/>
              </w:rPr>
              <w:t>94.6</w:t>
            </w:r>
          </w:p>
        </w:tc>
        <w:tc>
          <w:tcPr>
            <w:tcW w:w="941" w:type="dxa"/>
            <w:noWrap/>
          </w:tcPr>
          <w:p w14:paraId="5C4850D2" w14:textId="77777777" w:rsidR="00120717" w:rsidRPr="00B93EE1" w:rsidRDefault="00120717" w:rsidP="002562F5">
            <w:pPr>
              <w:ind w:left="113"/>
              <w:jc w:val="right"/>
              <w:rPr>
                <w:rFonts w:cs="Arial"/>
                <w:sz w:val="14"/>
                <w:szCs w:val="14"/>
              </w:rPr>
            </w:pPr>
            <w:r w:rsidRPr="00B93EE1">
              <w:rPr>
                <w:rFonts w:cstheme="minorHAnsi"/>
                <w:color w:val="000000"/>
                <w:sz w:val="14"/>
                <w:szCs w:val="14"/>
              </w:rPr>
              <w:t>92.7</w:t>
            </w:r>
          </w:p>
        </w:tc>
        <w:tc>
          <w:tcPr>
            <w:tcW w:w="941" w:type="dxa"/>
            <w:noWrap/>
          </w:tcPr>
          <w:p w14:paraId="5D517B27" w14:textId="77777777" w:rsidR="00120717" w:rsidRPr="00B93EE1" w:rsidRDefault="00120717" w:rsidP="002562F5">
            <w:pPr>
              <w:ind w:left="113"/>
              <w:jc w:val="right"/>
              <w:rPr>
                <w:rFonts w:cs="Arial"/>
                <w:sz w:val="14"/>
                <w:szCs w:val="14"/>
              </w:rPr>
            </w:pPr>
            <w:r w:rsidRPr="00B93EE1">
              <w:rPr>
                <w:rFonts w:cstheme="minorHAnsi"/>
                <w:color w:val="000000"/>
                <w:sz w:val="14"/>
                <w:szCs w:val="14"/>
              </w:rPr>
              <w:t>95.1</w:t>
            </w:r>
          </w:p>
        </w:tc>
        <w:tc>
          <w:tcPr>
            <w:tcW w:w="941" w:type="dxa"/>
            <w:noWrap/>
          </w:tcPr>
          <w:p w14:paraId="19EE7278" w14:textId="77777777" w:rsidR="00120717" w:rsidRPr="00B93EE1" w:rsidRDefault="00120717" w:rsidP="002562F5">
            <w:pPr>
              <w:ind w:left="113"/>
              <w:jc w:val="right"/>
              <w:rPr>
                <w:rFonts w:cs="Arial"/>
                <w:sz w:val="14"/>
                <w:szCs w:val="14"/>
              </w:rPr>
            </w:pPr>
            <w:r w:rsidRPr="00B93EE1">
              <w:rPr>
                <w:rFonts w:cstheme="minorHAnsi"/>
                <w:color w:val="000000"/>
                <w:sz w:val="14"/>
                <w:szCs w:val="14"/>
              </w:rPr>
              <w:t>88.9</w:t>
            </w:r>
          </w:p>
        </w:tc>
      </w:tr>
    </w:tbl>
    <w:p w14:paraId="783191F7" w14:textId="77777777" w:rsidR="00120717" w:rsidRPr="00B93EE1" w:rsidRDefault="00120717" w:rsidP="003C53A8">
      <w:pPr>
        <w:pStyle w:val="NoteText"/>
        <w:spacing w:before="120"/>
        <w:rPr>
          <w:color w:val="000000"/>
        </w:rPr>
      </w:pPr>
      <w:r w:rsidRPr="00B93EE1">
        <w:rPr>
          <w:color w:val="000000"/>
        </w:rPr>
        <w:t>a</w:t>
      </w:r>
      <w:r w:rsidRPr="00B93EE1">
        <w:rPr>
          <w:color w:val="000000"/>
        </w:rPr>
        <w:tab/>
        <w:t>Gross debt is defined as gross sovereign-issued debt excluding Reserve Bank of New Zealand (</w:t>
      </w:r>
      <w:proofErr w:type="spellStart"/>
      <w:r w:rsidRPr="00B93EE1">
        <w:rPr>
          <w:color w:val="000000"/>
        </w:rPr>
        <w:t>RBNZ</w:t>
      </w:r>
      <w:proofErr w:type="spellEnd"/>
      <w:r w:rsidRPr="00B93EE1">
        <w:rPr>
          <w:color w:val="000000"/>
        </w:rPr>
        <w:t xml:space="preserve">) settlement cash and </w:t>
      </w:r>
      <w:proofErr w:type="spellStart"/>
      <w:r w:rsidRPr="00B93EE1">
        <w:rPr>
          <w:color w:val="000000"/>
        </w:rPr>
        <w:t>RBNZ</w:t>
      </w:r>
      <w:proofErr w:type="spellEnd"/>
      <w:r w:rsidRPr="00B93EE1">
        <w:rPr>
          <w:color w:val="000000"/>
        </w:rPr>
        <w:t xml:space="preserve"> bills.</w:t>
      </w:r>
    </w:p>
    <w:p w14:paraId="20B9B009" w14:textId="77777777" w:rsidR="00120717" w:rsidRPr="00B93EE1" w:rsidRDefault="00120717" w:rsidP="00227738">
      <w:pPr>
        <w:pStyle w:val="NoteText"/>
        <w:rPr>
          <w:color w:val="000000"/>
        </w:rPr>
      </w:pPr>
      <w:r w:rsidRPr="00B93EE1">
        <w:rPr>
          <w:color w:val="000000"/>
        </w:rPr>
        <w:t>b</w:t>
      </w:r>
      <w:r w:rsidRPr="00B93EE1">
        <w:rPr>
          <w:color w:val="000000"/>
        </w:rPr>
        <w:tab/>
        <w:t>Net debt is defined as core Crown net debt excluding the New Zealand Super Fund and advances.</w:t>
      </w:r>
    </w:p>
    <w:p w14:paraId="0EA31420" w14:textId="77777777" w:rsidR="00120717" w:rsidRPr="00B93EE1" w:rsidRDefault="00120717" w:rsidP="00227738">
      <w:pPr>
        <w:pStyle w:val="NoteText"/>
        <w:rPr>
          <w:color w:val="000000"/>
        </w:rPr>
      </w:pPr>
      <w:r w:rsidRPr="00B93EE1">
        <w:rPr>
          <w:color w:val="000000"/>
        </w:rPr>
        <w:t>c</w:t>
      </w:r>
      <w:r w:rsidRPr="00B93EE1">
        <w:rPr>
          <w:color w:val="000000"/>
        </w:rPr>
        <w:tab/>
        <w:t>Growth rates based on trade figures taken from the Balance of Payment in NZD.</w:t>
      </w:r>
    </w:p>
    <w:p w14:paraId="2147D4B6" w14:textId="77777777" w:rsidR="00120717" w:rsidRPr="00B93EE1" w:rsidRDefault="00120717" w:rsidP="003C53A8">
      <w:pPr>
        <w:pStyle w:val="NoteText"/>
        <w:spacing w:before="120" w:after="240"/>
      </w:pPr>
      <w:r w:rsidRPr="00B93EE1">
        <w:rPr>
          <w:color w:val="000000"/>
        </w:rPr>
        <w:t xml:space="preserve">Source: </w:t>
      </w:r>
      <w:r w:rsidRPr="00B93EE1">
        <w:rPr>
          <w:color w:val="000000"/>
        </w:rPr>
        <w:tab/>
        <w:t xml:space="preserve">Statistics New Zealand. Viewed at: </w:t>
      </w:r>
      <w:hyperlink r:id="rId16" w:history="1">
        <w:r w:rsidRPr="00B93EE1">
          <w:rPr>
            <w:rStyle w:val="Hyperlink"/>
            <w:rFonts w:cs="Arial"/>
            <w:szCs w:val="16"/>
          </w:rPr>
          <w:t>https://www.stats.govt.nz/</w:t>
        </w:r>
      </w:hyperlink>
      <w:r w:rsidRPr="00B93EE1">
        <w:rPr>
          <w:color w:val="000000"/>
        </w:rPr>
        <w:t xml:space="preserve">; </w:t>
      </w:r>
      <w:proofErr w:type="spellStart"/>
      <w:r w:rsidRPr="00B93EE1">
        <w:rPr>
          <w:color w:val="000000"/>
        </w:rPr>
        <w:t>RBNZ</w:t>
      </w:r>
      <w:proofErr w:type="spellEnd"/>
      <w:r w:rsidRPr="00B93EE1">
        <w:rPr>
          <w:color w:val="000000"/>
        </w:rPr>
        <w:t xml:space="preserve">. Viewed at: </w:t>
      </w:r>
      <w:hyperlink r:id="rId17" w:history="1">
        <w:r w:rsidRPr="00B93EE1">
          <w:rPr>
            <w:rStyle w:val="Hyperlink"/>
            <w:rFonts w:cs="Arial"/>
            <w:szCs w:val="16"/>
          </w:rPr>
          <w:t>https://www.rbnz.govt.nz/</w:t>
        </w:r>
      </w:hyperlink>
      <w:r w:rsidRPr="00B93EE1">
        <w:rPr>
          <w:color w:val="000000"/>
        </w:rPr>
        <w:t xml:space="preserve">; The Treasury. Viewed at: </w:t>
      </w:r>
      <w:hyperlink r:id="rId18" w:history="1">
        <w:r w:rsidRPr="00B93EE1">
          <w:rPr>
            <w:rStyle w:val="Hyperlink"/>
            <w:rFonts w:cs="Arial"/>
            <w:szCs w:val="16"/>
          </w:rPr>
          <w:t>https://www.treasury.govt.nz/</w:t>
        </w:r>
      </w:hyperlink>
      <w:r w:rsidRPr="00B93EE1">
        <w:rPr>
          <w:color w:val="000000"/>
        </w:rPr>
        <w:t xml:space="preserve">; and </w:t>
      </w:r>
      <w:r w:rsidRPr="00B93EE1">
        <w:t xml:space="preserve">IMF, International Financial Statistics. Viewed at: </w:t>
      </w:r>
      <w:hyperlink r:id="rId19" w:history="1">
        <w:r w:rsidRPr="00B93EE1">
          <w:rPr>
            <w:rStyle w:val="Hyperlink"/>
            <w:rFonts w:cs="Arial"/>
            <w:szCs w:val="16"/>
          </w:rPr>
          <w:t>https://www.imf.org/en/Data</w:t>
        </w:r>
      </w:hyperlink>
      <w:r w:rsidRPr="00B93EE1">
        <w:t>.</w:t>
      </w:r>
    </w:p>
    <w:p w14:paraId="5BB80FB9" w14:textId="77777777" w:rsidR="00120717" w:rsidRPr="00F64A35" w:rsidRDefault="00120717" w:rsidP="00E962FF">
      <w:pPr>
        <w:pStyle w:val="Heading3"/>
        <w:numPr>
          <w:ilvl w:val="2"/>
          <w:numId w:val="19"/>
        </w:numPr>
      </w:pPr>
      <w:bookmarkStart w:id="23" w:name="_Toc415735839"/>
      <w:bookmarkStart w:id="24" w:name="_Toc97800115"/>
      <w:r w:rsidRPr="00B93EE1">
        <w:t xml:space="preserve">Monetary and </w:t>
      </w:r>
      <w:bookmarkEnd w:id="23"/>
      <w:r w:rsidRPr="00B93EE1">
        <w:t>exchange rate policies</w:t>
      </w:r>
      <w:bookmarkEnd w:id="24"/>
    </w:p>
    <w:p w14:paraId="3F402298" w14:textId="77777777" w:rsidR="00120717" w:rsidRPr="00F64A35" w:rsidRDefault="00120717" w:rsidP="00DD5FD9">
      <w:pPr>
        <w:pStyle w:val="BodyText"/>
      </w:pPr>
      <w:r w:rsidRPr="00B93EE1">
        <w:rPr>
          <w:rFonts w:eastAsia="Calibri"/>
        </w:rPr>
        <w:t>The Reserve Bank of New Zealand (</w:t>
      </w:r>
      <w:proofErr w:type="spellStart"/>
      <w:r w:rsidRPr="00B93EE1">
        <w:rPr>
          <w:rFonts w:eastAsia="Calibri"/>
        </w:rPr>
        <w:t>RBNZ</w:t>
      </w:r>
      <w:proofErr w:type="spellEnd"/>
      <w:r w:rsidRPr="00B93EE1">
        <w:rPr>
          <w:rFonts w:eastAsia="Calibri"/>
        </w:rPr>
        <w:t>) is responsible for conducting monetary policy</w:t>
      </w:r>
      <w:r w:rsidRPr="00B93EE1">
        <w:rPr>
          <w:lang w:eastAsia="en-GB"/>
        </w:rPr>
        <w:t>. The Reserve Bank of New Zealand Act 1989 states that the economic objectives of monetary policy are to achieve and maintain stability in the general level of prices over the medium term and support maximum sustainable employment. In this regard, monetary policy helps to promote the prosperity and well-being of New Zealanders and contribute to a sustainable and productive economy. Amendments to New Zealand's monetary policy framework came into effect on 1 April 2019.</w:t>
      </w:r>
      <w:r w:rsidRPr="00B93EE1">
        <w:rPr>
          <w:rStyle w:val="FootnoteReference"/>
          <w:lang w:eastAsia="en-GB"/>
        </w:rPr>
        <w:footnoteReference w:id="19"/>
      </w:r>
      <w:r w:rsidRPr="00B93EE1">
        <w:rPr>
          <w:lang w:eastAsia="en-GB"/>
        </w:rPr>
        <w:t xml:space="preserve"> The remit, charter, and code of conduct are key components of the new framework.</w:t>
      </w:r>
      <w:r w:rsidRPr="00B93EE1">
        <w:rPr>
          <w:rStyle w:val="FootnoteReference"/>
          <w:rFonts w:cs="Arial"/>
          <w:color w:val="333333"/>
          <w:szCs w:val="18"/>
          <w:lang w:eastAsia="en-GB"/>
        </w:rPr>
        <w:footnoteReference w:id="20"/>
      </w:r>
      <w:r w:rsidRPr="00B93EE1">
        <w:rPr>
          <w:lang w:eastAsia="en-GB"/>
        </w:rPr>
        <w:t xml:space="preserve"> The remit was revised in February 2021 by the Minister of Finance to state that in pursuit of its inflation and employment objectives, the Monetary Policy Committee (</w:t>
      </w:r>
      <w:proofErr w:type="spellStart"/>
      <w:r w:rsidRPr="00B93EE1">
        <w:rPr>
          <w:lang w:eastAsia="en-GB"/>
        </w:rPr>
        <w:t>MPC</w:t>
      </w:r>
      <w:proofErr w:type="spellEnd"/>
      <w:r w:rsidRPr="00B93EE1">
        <w:rPr>
          <w:lang w:eastAsia="en-GB"/>
        </w:rPr>
        <w:t>) is to assess the effect of its decisions on the Government's policy to support more sustainable housing prices, including by dampening investor demand for existing housing stock, which would improve affordability for first-home buyers.</w:t>
      </w:r>
      <w:r w:rsidRPr="00B93EE1">
        <w:rPr>
          <w:rStyle w:val="FootnoteReference"/>
          <w:lang w:eastAsia="en-GB"/>
        </w:rPr>
        <w:footnoteReference w:id="21"/>
      </w:r>
    </w:p>
    <w:p w14:paraId="1A7BFAC3" w14:textId="5647DEB1" w:rsidR="00120717" w:rsidRPr="00F64A35" w:rsidRDefault="00120717" w:rsidP="00DD5FD9">
      <w:pPr>
        <w:pStyle w:val="BodyText"/>
      </w:pPr>
      <w:r w:rsidRPr="00B93EE1">
        <w:rPr>
          <w:lang w:eastAsia="en-GB"/>
        </w:rPr>
        <w:t xml:space="preserve">Prior to 2019, the Reserve Bank Act 1989 required that the then single target of price stability be defined in a specific and public contract, negotiated between the Government and the </w:t>
      </w:r>
      <w:proofErr w:type="spellStart"/>
      <w:r w:rsidRPr="00B93EE1">
        <w:rPr>
          <w:lang w:eastAsia="en-GB"/>
        </w:rPr>
        <w:t>RBNZ</w:t>
      </w:r>
      <w:proofErr w:type="spellEnd"/>
      <w:r w:rsidRPr="00B93EE1">
        <w:rPr>
          <w:lang w:eastAsia="en-GB"/>
        </w:rPr>
        <w:t xml:space="preserve">. </w:t>
      </w:r>
      <w:r w:rsidRPr="00B93EE1">
        <w:t>This was called the</w:t>
      </w:r>
      <w:r w:rsidR="00814711">
        <w:t xml:space="preserve"> Policy Targets Agreement (PTA).</w:t>
      </w:r>
      <w:r w:rsidRPr="00814711">
        <w:rPr>
          <w:color w:val="000000" w:themeColor="text1"/>
        </w:rPr>
        <w:t xml:space="preserve"> </w:t>
      </w:r>
      <w:r w:rsidRPr="00B93EE1">
        <w:t>The PTA changed over time, with the final agreement in March 2018, defining price stability as annual increases in the Consumer Price Index (CPI) of between 1% and 3% on average over the medium term, with a focus on keeping future average inflation near the 2% target midpoint. The final PTA also included, for the first time, a second objective of supporting maximum sustainable employment.</w:t>
      </w:r>
      <w:r w:rsidRPr="00B93EE1">
        <w:rPr>
          <w:rStyle w:val="FootnoteReference"/>
          <w:rFonts w:cs="Arial"/>
          <w:color w:val="333333"/>
          <w:szCs w:val="18"/>
          <w:lang w:eastAsia="en-GB"/>
        </w:rPr>
        <w:footnoteReference w:id="22"/>
      </w:r>
    </w:p>
    <w:p w14:paraId="214FC0A4" w14:textId="77777777" w:rsidR="00120717" w:rsidRPr="00F64A35" w:rsidRDefault="00120717" w:rsidP="00DD5FD9">
      <w:pPr>
        <w:pStyle w:val="BodyText"/>
      </w:pPr>
      <w:r w:rsidRPr="00B93EE1">
        <w:rPr>
          <w:lang w:eastAsia="en-GB"/>
        </w:rPr>
        <w:t xml:space="preserve">The </w:t>
      </w:r>
      <w:proofErr w:type="spellStart"/>
      <w:r w:rsidRPr="00B93EE1">
        <w:rPr>
          <w:lang w:eastAsia="en-GB"/>
        </w:rPr>
        <w:t>MPC</w:t>
      </w:r>
      <w:proofErr w:type="spellEnd"/>
      <w:r w:rsidRPr="00B93EE1">
        <w:rPr>
          <w:lang w:eastAsia="en-GB"/>
        </w:rPr>
        <w:t xml:space="preserve"> sets monetary policy to achieve its inflation and employment objectives, as defined in its remit. The </w:t>
      </w:r>
      <w:proofErr w:type="spellStart"/>
      <w:r w:rsidRPr="00B93EE1">
        <w:rPr>
          <w:lang w:eastAsia="en-GB"/>
        </w:rPr>
        <w:t>MPC</w:t>
      </w:r>
      <w:proofErr w:type="spellEnd"/>
      <w:r w:rsidRPr="00B93EE1">
        <w:rPr>
          <w:lang w:eastAsia="en-GB"/>
        </w:rPr>
        <w:t xml:space="preserve"> reviews policy at least seven times a year, and typically adjusts policy by setting the Official Cash Rate (OCR).</w:t>
      </w:r>
      <w:r w:rsidRPr="00B93EE1">
        <w:rPr>
          <w:rStyle w:val="FootnoteReference"/>
          <w:rFonts w:cs="Arial"/>
          <w:color w:val="333333"/>
          <w:szCs w:val="18"/>
          <w:lang w:eastAsia="en-GB"/>
        </w:rPr>
        <w:footnoteReference w:id="23"/>
      </w:r>
      <w:r w:rsidRPr="00B93EE1">
        <w:rPr>
          <w:rFonts w:eastAsia="Calibri"/>
        </w:rPr>
        <w:t xml:space="preserve"> During the review period, monetary policy maintained an accommodative stance in order to support economic recovery and maintain price stability. </w:t>
      </w:r>
      <w:r w:rsidRPr="00B93EE1">
        <w:t xml:space="preserve">The </w:t>
      </w:r>
      <w:proofErr w:type="spellStart"/>
      <w:r w:rsidRPr="00B93EE1">
        <w:t>MPC</w:t>
      </w:r>
      <w:proofErr w:type="spellEnd"/>
      <w:r w:rsidRPr="00B93EE1">
        <w:t xml:space="preserve"> gradually reduced the OCR rate from 3.5% in 2015 to 1.0% until February 2020.</w:t>
      </w:r>
      <w:r w:rsidRPr="00B93EE1">
        <w:rPr>
          <w:rStyle w:val="FootnoteReference"/>
          <w:rFonts w:cs="Arial"/>
          <w:color w:val="333333"/>
          <w:szCs w:val="18"/>
          <w:lang w:eastAsia="en-GB"/>
        </w:rPr>
        <w:footnoteReference w:id="24"/>
      </w:r>
    </w:p>
    <w:p w14:paraId="0B9E1718" w14:textId="77777777" w:rsidR="00120717" w:rsidRPr="00F64A35" w:rsidRDefault="00120717" w:rsidP="00DD5FD9">
      <w:pPr>
        <w:pStyle w:val="BodyText"/>
      </w:pPr>
      <w:r w:rsidRPr="00B93EE1">
        <w:lastRenderedPageBreak/>
        <w:t xml:space="preserve">Due to the COVID-19 pandemic, the OCR rate was cut by 0.75 points to 0.25% in March 2020, responding to the weaker growth and inflation outlook. To keep interest rates faced by households and businesses low, the </w:t>
      </w:r>
      <w:proofErr w:type="spellStart"/>
      <w:r w:rsidRPr="00B93EE1">
        <w:t>MPC</w:t>
      </w:r>
      <w:proofErr w:type="spellEnd"/>
      <w:r w:rsidRPr="00B93EE1">
        <w:t xml:space="preserve"> also utilized additional tools during this period. These included large</w:t>
      </w:r>
      <w:r w:rsidRPr="00B93EE1">
        <w:noBreakHyphen/>
        <w:t xml:space="preserve">scale purchases of government and Local Government Funding Agency bonds, and the Funding-for-Lending programme. On 6 October 2021, </w:t>
      </w:r>
      <w:r w:rsidRPr="00B93EE1">
        <w:rPr>
          <w:color w:val="000000"/>
        </w:rPr>
        <w:t>t</w:t>
      </w:r>
      <w:r w:rsidRPr="00B93EE1">
        <w:rPr>
          <w:rFonts w:eastAsia="Times New Roman"/>
          <w:color w:val="000000"/>
          <w:lang w:eastAsia="en-GB"/>
        </w:rPr>
        <w:t xml:space="preserve">he </w:t>
      </w:r>
      <w:proofErr w:type="spellStart"/>
      <w:r w:rsidRPr="00B93EE1">
        <w:rPr>
          <w:rFonts w:eastAsia="Times New Roman"/>
          <w:color w:val="000000"/>
          <w:lang w:eastAsia="en-GB"/>
        </w:rPr>
        <w:t>MPC</w:t>
      </w:r>
      <w:proofErr w:type="spellEnd"/>
      <w:r w:rsidRPr="00B93EE1">
        <w:rPr>
          <w:rFonts w:eastAsia="Times New Roman"/>
          <w:color w:val="000000"/>
          <w:lang w:eastAsia="en-GB"/>
        </w:rPr>
        <w:t xml:space="preserve"> increased the OCR for the first time in seven years to 0.50% so as to keep low inflation and support maximum sustainable employment. On 24 November 2021, the </w:t>
      </w:r>
      <w:proofErr w:type="spellStart"/>
      <w:r w:rsidRPr="00B93EE1">
        <w:rPr>
          <w:rFonts w:eastAsia="Times New Roman"/>
          <w:color w:val="000000"/>
          <w:lang w:eastAsia="en-GB"/>
        </w:rPr>
        <w:t>MPC</w:t>
      </w:r>
      <w:proofErr w:type="spellEnd"/>
      <w:r w:rsidRPr="00B93EE1">
        <w:rPr>
          <w:rFonts w:eastAsia="Times New Roman"/>
          <w:color w:val="000000"/>
          <w:lang w:eastAsia="en-GB"/>
        </w:rPr>
        <w:t xml:space="preserve"> further raised the OCR to 0.75%.</w:t>
      </w:r>
      <w:r w:rsidRPr="00B93EE1">
        <w:rPr>
          <w:rStyle w:val="FootnoteReference"/>
          <w:rFonts w:cs="Arial"/>
          <w:color w:val="333333"/>
          <w:szCs w:val="18"/>
          <w:lang w:eastAsia="en-GB"/>
        </w:rPr>
        <w:footnoteReference w:id="25"/>
      </w:r>
    </w:p>
    <w:p w14:paraId="4AE89A15" w14:textId="77777777" w:rsidR="00120717" w:rsidRPr="00F64A35" w:rsidRDefault="00120717" w:rsidP="00DD5FD9">
      <w:pPr>
        <w:pStyle w:val="BodyText"/>
      </w:pPr>
      <w:r w:rsidRPr="00B93EE1">
        <w:t>According to the IMF, annual CPI inflation averaged 1.3% during 2015</w:t>
      </w:r>
      <w:r w:rsidRPr="00B93EE1">
        <w:noBreakHyphen/>
        <w:t>20, compared with 2.6% over 2003-12. The average annual rate of inflation in a given year ranged from 0.3% in 2015 to 1.9% in 2017; it was 1.7% in 2020. For 2021, the IMF estimates an average inflation rate of 3.0%, driven by higher commodity prices and temporary increases in shipping costs</w:t>
      </w:r>
      <w:r w:rsidRPr="00B93EE1">
        <w:rPr>
          <w:rFonts w:cs="SegoeUI"/>
        </w:rPr>
        <w:t>.</w:t>
      </w:r>
      <w:r w:rsidRPr="00B93EE1">
        <w:rPr>
          <w:rStyle w:val="FootnoteReference"/>
        </w:rPr>
        <w:footnoteReference w:id="26"/>
      </w:r>
    </w:p>
    <w:p w14:paraId="586BF177" w14:textId="77777777" w:rsidR="00120717" w:rsidRPr="00F64A35" w:rsidRDefault="00120717" w:rsidP="00DD5FD9">
      <w:pPr>
        <w:pStyle w:val="BodyText"/>
      </w:pPr>
      <w:r w:rsidRPr="00B93EE1">
        <w:t xml:space="preserve">The </w:t>
      </w:r>
      <w:proofErr w:type="spellStart"/>
      <w:r w:rsidRPr="00B93EE1">
        <w:t>MPC</w:t>
      </w:r>
      <w:proofErr w:type="spellEnd"/>
      <w:r w:rsidRPr="00B93EE1">
        <w:t xml:space="preserve"> assesses the inflation and employment outlook on an ongoing basis, with a current view to continue to reduce the level of monetary stimulus over time so as to best meet its policy remit.</w:t>
      </w:r>
      <w:r w:rsidRPr="00B93EE1">
        <w:rPr>
          <w:rStyle w:val="FootnoteReference"/>
        </w:rPr>
        <w:footnoteReference w:id="27"/>
      </w:r>
      <w:r w:rsidRPr="00B93EE1">
        <w:t xml:space="preserve"> In the November 2021 </w:t>
      </w:r>
      <w:r w:rsidRPr="00B93EE1">
        <w:rPr>
          <w:iCs/>
        </w:rPr>
        <w:t>Monetary Policy Statement</w:t>
      </w:r>
      <w:r w:rsidRPr="00B93EE1">
        <w:t xml:space="preserve">, the </w:t>
      </w:r>
      <w:proofErr w:type="spellStart"/>
      <w:r w:rsidRPr="00B93EE1">
        <w:t>RBNZ's</w:t>
      </w:r>
      <w:proofErr w:type="spellEnd"/>
      <w:r w:rsidRPr="00B93EE1">
        <w:t xml:space="preserve"> economic outlook suggests that stimulus will need to be removed over the next 18 months in order for inflation to return to the 2% midpoint of the </w:t>
      </w:r>
      <w:proofErr w:type="spellStart"/>
      <w:r w:rsidRPr="00B93EE1">
        <w:t>MPC's</w:t>
      </w:r>
      <w:proofErr w:type="spellEnd"/>
      <w:r w:rsidRPr="00B93EE1">
        <w:t xml:space="preserve"> target over the next three years. According to the IMF, inflation is expected to durably reach the 2% midpoint of the </w:t>
      </w:r>
      <w:proofErr w:type="spellStart"/>
      <w:r w:rsidRPr="00B93EE1">
        <w:t>RBNZ's</w:t>
      </w:r>
      <w:proofErr w:type="spellEnd"/>
      <w:r w:rsidRPr="00B93EE1">
        <w:t xml:space="preserve"> target only from 2024. The IMF suggests that monetary policy should remain accommodative for an extended period.</w:t>
      </w:r>
      <w:r w:rsidRPr="00B93EE1">
        <w:rPr>
          <w:rStyle w:val="FootnoteReference"/>
        </w:rPr>
        <w:footnoteReference w:id="28"/>
      </w:r>
    </w:p>
    <w:p w14:paraId="401B5A44" w14:textId="77777777" w:rsidR="00120717" w:rsidRPr="00F64A35" w:rsidRDefault="00120717" w:rsidP="00DD5FD9">
      <w:pPr>
        <w:pStyle w:val="BodyText"/>
      </w:pPr>
      <w:r w:rsidRPr="00B93EE1">
        <w:t>The evolution of the NZ dollar exchange rate since January 2015 is shown in Chart 1.2.</w:t>
      </w:r>
      <w:r w:rsidRPr="00B93EE1">
        <w:rPr>
          <w:rStyle w:val="FootnoteReference"/>
          <w:rFonts w:eastAsia="Calibri"/>
        </w:rPr>
        <w:footnoteReference w:id="29"/>
      </w:r>
      <w:r w:rsidRPr="00B93EE1">
        <w:t xml:space="preserve"> It depreciated sharply in 2015 mainly due to lower export prices and heightened uncertainty about the global economic outlook; it appreciated during 2016 and the beginning of 2017, putting pressure on export earnings. The real effective exchange rate depreciated from 2017 until mid-2020, mirroring the declining interest differential, which turned negative in 2018, and also likely reflected the slowing economic activity in 2019. Since the third quarter of 2020, both the real and nominal exchange rate appreciated somewhat, partially reversing some of the depreciation since 2017 with the fast economic recovery and resilient commodity prices. According to the IMF, New Zealand's external position, including its nominal and real exchange rates, is broadly in line with fundamentals and desired policy settings.</w:t>
      </w:r>
      <w:r w:rsidRPr="00B93EE1">
        <w:rPr>
          <w:rStyle w:val="FootnoteReference"/>
        </w:rPr>
        <w:footnoteReference w:id="30"/>
      </w:r>
    </w:p>
    <w:p w14:paraId="7462BC17" w14:textId="6247B717" w:rsidR="00120717" w:rsidRPr="00B93EE1" w:rsidRDefault="00133D67" w:rsidP="00133D67">
      <w:pPr>
        <w:pStyle w:val="Caption"/>
      </w:pPr>
      <w:bookmarkStart w:id="25" w:name="_Toc415735933"/>
      <w:bookmarkStart w:id="26" w:name="_Toc97792507"/>
      <w:r>
        <w:lastRenderedPageBreak/>
        <w:t xml:space="preserve">Chart </w:t>
      </w:r>
      <w:r w:rsidR="0012793B">
        <w:fldChar w:fldCharType="begin"/>
      </w:r>
      <w:r w:rsidR="0012793B">
        <w:instrText xml:space="preserve"> STYLEREF 1 \s </w:instrText>
      </w:r>
      <w:r w:rsidR="0012793B">
        <w:fldChar w:fldCharType="separate"/>
      </w:r>
      <w:r>
        <w:rPr>
          <w:noProof/>
        </w:rPr>
        <w:t>1</w:t>
      </w:r>
      <w:r w:rsidR="0012793B">
        <w:rPr>
          <w:noProof/>
        </w:rPr>
        <w:fldChar w:fldCharType="end"/>
      </w:r>
      <w:r>
        <w:t>.</w:t>
      </w:r>
      <w:r w:rsidR="0012793B">
        <w:fldChar w:fldCharType="begin"/>
      </w:r>
      <w:r w:rsidR="0012793B">
        <w:instrText xml:space="preserve"> SEQ Chart \* ARABIC \s 1 </w:instrText>
      </w:r>
      <w:r w:rsidR="0012793B">
        <w:fldChar w:fldCharType="separate"/>
      </w:r>
      <w:r>
        <w:rPr>
          <w:noProof/>
        </w:rPr>
        <w:t>2</w:t>
      </w:r>
      <w:r w:rsidR="0012793B">
        <w:rPr>
          <w:noProof/>
        </w:rPr>
        <w:fldChar w:fldCharType="end"/>
      </w:r>
      <w:r w:rsidR="00120717" w:rsidRPr="00B93EE1">
        <w:t xml:space="preserve"> </w:t>
      </w:r>
      <w:bookmarkStart w:id="27" w:name="_Hlk84860605"/>
      <w:r w:rsidR="00120717" w:rsidRPr="00B93EE1">
        <w:t>Exchange rates, January 2015-December 2021</w:t>
      </w:r>
      <w:bookmarkEnd w:id="25"/>
      <w:bookmarkEnd w:id="26"/>
      <w:bookmarkEnd w:id="27"/>
    </w:p>
    <w:p w14:paraId="0AD6B2F3" w14:textId="77777777" w:rsidR="00120717" w:rsidRPr="00B93EE1" w:rsidRDefault="00120717" w:rsidP="00D82298">
      <w:r w:rsidRPr="00B93EE1">
        <w:rPr>
          <w:noProof/>
        </w:rPr>
        <w:drawing>
          <wp:inline distT="0" distB="0" distL="0" distR="0" wp14:anchorId="4D5FD937" wp14:editId="711CEC71">
            <wp:extent cx="5629275" cy="3028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23" t="11394" r="1812" b="13120"/>
                    <a:stretch/>
                  </pic:blipFill>
                  <pic:spPr bwMode="auto">
                    <a:xfrm>
                      <a:off x="0" y="0"/>
                      <a:ext cx="5629275" cy="3028950"/>
                    </a:xfrm>
                    <a:prstGeom prst="rect">
                      <a:avLst/>
                    </a:prstGeom>
                    <a:noFill/>
                    <a:ln>
                      <a:noFill/>
                    </a:ln>
                    <a:extLst>
                      <a:ext uri="{53640926-AAD7-44D8-BBD7-CCE9431645EC}">
                        <a14:shadowObscured xmlns:a14="http://schemas.microsoft.com/office/drawing/2010/main"/>
                      </a:ext>
                    </a:extLst>
                  </pic:spPr>
                </pic:pic>
              </a:graphicData>
            </a:graphic>
          </wp:inline>
        </w:drawing>
      </w:r>
    </w:p>
    <w:p w14:paraId="699BB9AA" w14:textId="77777777" w:rsidR="00120717" w:rsidRPr="00B93EE1" w:rsidRDefault="00120717" w:rsidP="003C53A8">
      <w:pPr>
        <w:pStyle w:val="NoteText"/>
        <w:spacing w:before="120" w:after="240"/>
      </w:pPr>
      <w:r w:rsidRPr="00B93EE1">
        <w:t>Source:</w:t>
      </w:r>
      <w:r w:rsidRPr="00B93EE1">
        <w:tab/>
        <w:t>IMF, International Financial Statistics.</w:t>
      </w:r>
    </w:p>
    <w:p w14:paraId="162EA11A" w14:textId="77777777" w:rsidR="00120717" w:rsidRPr="00F64A35" w:rsidRDefault="00120717" w:rsidP="00B945A5">
      <w:pPr>
        <w:pStyle w:val="Heading3"/>
      </w:pPr>
      <w:bookmarkStart w:id="28" w:name="_Toc415735840"/>
      <w:bookmarkStart w:id="29" w:name="_Toc97800116"/>
      <w:r w:rsidRPr="00B93EE1">
        <w:t xml:space="preserve">Fiscal </w:t>
      </w:r>
      <w:bookmarkEnd w:id="28"/>
      <w:r w:rsidRPr="00B93EE1">
        <w:t>policy</w:t>
      </w:r>
      <w:bookmarkEnd w:id="29"/>
    </w:p>
    <w:p w14:paraId="15E71CF8" w14:textId="1F17A57E" w:rsidR="00120717" w:rsidRPr="00F64A35" w:rsidRDefault="00120717" w:rsidP="00DD5FD9">
      <w:pPr>
        <w:pStyle w:val="BodyText"/>
      </w:pPr>
      <w:r w:rsidRPr="00B93EE1">
        <w:t>According to the IMF, New Zealand's fiscal and monetary mix has been appropriately accommodative in recent years.</w:t>
      </w:r>
      <w:r w:rsidRPr="00B93EE1">
        <w:rPr>
          <w:rStyle w:val="FootnoteReference"/>
        </w:rPr>
        <w:footnoteReference w:id="31"/>
      </w:r>
      <w:r w:rsidRPr="00B93EE1">
        <w:t xml:space="preserve"> The Government's operating balance (before gains and losses), as share of GDP, registered surpluses that went from 0.2% in 2014/15 to 2.4% in 2018/19, mainly on account of spending restraint. Indeed, total Crown expenditure, as a share of GDP, declined from 37.9% of GDP to 35.9%, while total Crown revenue increased slightly from 38.2% to 38.4% over that period.</w:t>
      </w:r>
      <w:r w:rsidR="001A2CCA">
        <w:rPr>
          <w:rStyle w:val="FootnoteReference"/>
        </w:rPr>
        <w:footnoteReference w:id="32"/>
      </w:r>
      <w:r w:rsidRPr="00B93EE1">
        <w:t xml:space="preserve"> Nonetheless, fiscal deficits of 7.3% of GDP and 1.3% of GDP were registered in 2019/20 and 2020/21, respectively (Table 1.1), mainly on account of the sizeable economic policy support in response to the pandemic.</w:t>
      </w:r>
    </w:p>
    <w:p w14:paraId="5E4F0440" w14:textId="77777777" w:rsidR="00120717" w:rsidRPr="00F64A35" w:rsidRDefault="00120717" w:rsidP="00DD5FD9">
      <w:pPr>
        <w:pStyle w:val="BodyText"/>
      </w:pPr>
      <w:r w:rsidRPr="00B93EE1">
        <w:t>As a result of the evolution of the fiscal deficit, net public debt rose to 30.1% of GDP in 2020/21, from 24.7% in 2014/15. Nonetheless, according to the IMF, New Zealand's public debt has remained low compared to that of advanced economy peers, with net government debt projected to peak at 40.1% of GDP in 2023/24. The IMF supports the suspension of the authorities' debt target, which provides additional flexibility to respond to the economic impact pf the pandemic. Once the pandemic-related uncertainties subside, the authorities intend to stabilize net debt as percentage of GDP.</w:t>
      </w:r>
      <w:r w:rsidRPr="00B93EE1">
        <w:rPr>
          <w:rStyle w:val="FootnoteReference"/>
          <w:rFonts w:eastAsia="Calibri"/>
        </w:rPr>
        <w:footnoteReference w:id="33"/>
      </w:r>
    </w:p>
    <w:p w14:paraId="1862E0E5" w14:textId="63612FCC" w:rsidR="00120717" w:rsidRPr="00F64A35" w:rsidRDefault="00120717" w:rsidP="00DD5FD9">
      <w:pPr>
        <w:pStyle w:val="BodyText"/>
      </w:pPr>
      <w:r w:rsidRPr="00B93EE1">
        <w:t>The size and scope of economic policy support in response to the pandemic have been unprecedented. Making use of the substantial fiscal space, the authorities put in place large-scale fiscal measures (expenditure and revenue forgone) amounting to NZD 69.1 billion, or 21.1% of GDP through FY2024/25, including wage subsidies, infrastructure investment, and tax measures to support businesses and investment. In addition, other measures (e.g. Business Finance Guarantee Scheme, Small Business Cashflow Scheme, Convertible Debt Agreement with Air New Zealand, and R&amp;D Loan Scheme) are being implemented. The large-scale fiscal support measures have helped avert a much larger decline in economic activity and employment.</w:t>
      </w:r>
      <w:r w:rsidRPr="00B93EE1">
        <w:rPr>
          <w:rStyle w:val="FootnoteReference"/>
        </w:rPr>
        <w:footnoteReference w:id="34"/>
      </w:r>
    </w:p>
    <w:p w14:paraId="245A7C46" w14:textId="77777777" w:rsidR="00120717" w:rsidRPr="00F64A35" w:rsidRDefault="00120717" w:rsidP="00DD5FD9">
      <w:pPr>
        <w:pStyle w:val="BodyText"/>
      </w:pPr>
      <w:r w:rsidRPr="00B93EE1">
        <w:t xml:space="preserve">The authorities emphasize that maintaining adequate flexibility is particularly important to address downside risks as shown by the emergence of the Delta and Omicron variants that will most </w:t>
      </w:r>
      <w:r w:rsidRPr="00B93EE1">
        <w:lastRenderedPageBreak/>
        <w:t>likely result in a decline in the structural fiscal balance in 2021/22. The unallocated portion of the COVID-19 Response and Recovery Fund (around NZD 4.3 billion) could play a central role in mitigating economic effects of any further pandemic-related shocks. At the same time, New Zealand's rapidly ageing population poses a challenge to fiscal sustainability although less so than in other developed countries.</w:t>
      </w:r>
      <w:r w:rsidRPr="00B93EE1">
        <w:rPr>
          <w:rStyle w:val="FootnoteReference"/>
          <w:rFonts w:eastAsia="Calibri"/>
        </w:rPr>
        <w:footnoteReference w:id="35"/>
      </w:r>
    </w:p>
    <w:p w14:paraId="3E5E3D0E" w14:textId="77777777" w:rsidR="00120717" w:rsidRPr="00F64A35" w:rsidRDefault="00120717" w:rsidP="00B945A5">
      <w:pPr>
        <w:pStyle w:val="Heading3"/>
      </w:pPr>
      <w:bookmarkStart w:id="30" w:name="_Toc415735841"/>
      <w:bookmarkStart w:id="31" w:name="_Toc97800117"/>
      <w:r w:rsidRPr="00B93EE1">
        <w:t xml:space="preserve">Balance of </w:t>
      </w:r>
      <w:bookmarkEnd w:id="30"/>
      <w:r w:rsidRPr="00B93EE1">
        <w:t>payments</w:t>
      </w:r>
      <w:bookmarkEnd w:id="31"/>
    </w:p>
    <w:p w14:paraId="405921B2" w14:textId="77777777" w:rsidR="00120717" w:rsidRPr="00F64A35" w:rsidRDefault="00120717" w:rsidP="00DD5FD9">
      <w:pPr>
        <w:pStyle w:val="BodyText"/>
      </w:pPr>
      <w:r w:rsidRPr="00B93EE1">
        <w:t>Traditionally, New Zealand has run a current account deficit, averaging close to 4.0% of GDP over the past few decades. These deficits reflect a long-standing structural savings-investment imbalance financed by overseas borrowing. During the review period, the current account deficit was mainly driven by a large trade deficit, which could not be offset by a generally positive financial account balance (Table 1.2).</w:t>
      </w:r>
    </w:p>
    <w:p w14:paraId="366E7AD0" w14:textId="43716D8A" w:rsidR="00120717" w:rsidRPr="00B93EE1" w:rsidRDefault="00E724E6" w:rsidP="00E724E6">
      <w:pPr>
        <w:pStyle w:val="Caption"/>
        <w:rPr>
          <w:sz w:val="16"/>
          <w:szCs w:val="16"/>
        </w:rPr>
      </w:pPr>
      <w:bookmarkStart w:id="32" w:name="_Toc418783230"/>
      <w:bookmarkStart w:id="33" w:name="_Toc97793382"/>
      <w:r>
        <w:t xml:space="preserve">Table </w:t>
      </w:r>
      <w:r w:rsidR="0012793B">
        <w:fldChar w:fldCharType="begin"/>
      </w:r>
      <w:r w:rsidR="0012793B">
        <w:instrText xml:space="preserve"> STYLEREF 1 \s </w:instrText>
      </w:r>
      <w:r w:rsidR="0012793B">
        <w:fldChar w:fldCharType="separate"/>
      </w:r>
      <w:r w:rsidR="00D37A97">
        <w:rPr>
          <w:noProof/>
        </w:rPr>
        <w:t>1</w:t>
      </w:r>
      <w:r w:rsidR="0012793B">
        <w:rPr>
          <w:noProof/>
        </w:rPr>
        <w:fldChar w:fldCharType="end"/>
      </w:r>
      <w:r w:rsidR="00D37A97">
        <w:t>.</w:t>
      </w:r>
      <w:r w:rsidR="0012793B">
        <w:fldChar w:fldCharType="begin"/>
      </w:r>
      <w:r w:rsidR="0012793B">
        <w:instrText xml:space="preserve"> SEQ Table \* ARABIC \s 1 </w:instrText>
      </w:r>
      <w:r w:rsidR="0012793B">
        <w:fldChar w:fldCharType="separate"/>
      </w:r>
      <w:r w:rsidR="00D37A97">
        <w:rPr>
          <w:noProof/>
        </w:rPr>
        <w:t>2</w:t>
      </w:r>
      <w:r w:rsidR="0012793B">
        <w:rPr>
          <w:noProof/>
        </w:rPr>
        <w:fldChar w:fldCharType="end"/>
      </w:r>
      <w:r>
        <w:t xml:space="preserve"> </w:t>
      </w:r>
      <w:r w:rsidR="00120717" w:rsidRPr="00B93EE1">
        <w:t>Balance of payments, 2014/15-2020/21</w:t>
      </w:r>
      <w:bookmarkEnd w:id="32"/>
      <w:bookmarkEnd w:id="33"/>
    </w:p>
    <w:p w14:paraId="476A4C89" w14:textId="77777777" w:rsidR="00120717" w:rsidRPr="00B93EE1" w:rsidRDefault="00120717" w:rsidP="00486ADA">
      <w:pPr>
        <w:tabs>
          <w:tab w:val="left" w:pos="851"/>
        </w:tabs>
        <w:ind w:left="851" w:hanging="851"/>
        <w:jc w:val="left"/>
        <w:rPr>
          <w:rFonts w:eastAsia="Calibri"/>
          <w:sz w:val="16"/>
        </w:rPr>
      </w:pPr>
      <w:r w:rsidRPr="00B93EE1">
        <w:rPr>
          <w:rFonts w:eastAsia="Calibri"/>
          <w:sz w:val="16"/>
        </w:rPr>
        <w:t>(NZD million, year-end: March)</w:t>
      </w:r>
    </w:p>
    <w:tbl>
      <w:tblPr>
        <w:tblStyle w:val="WTOTable1"/>
        <w:tblW w:w="0" w:type="auto"/>
        <w:tblLayout w:type="fixed"/>
        <w:tblLook w:val="04A0" w:firstRow="1" w:lastRow="0" w:firstColumn="1" w:lastColumn="0" w:noHBand="0" w:noVBand="1"/>
      </w:tblPr>
      <w:tblGrid>
        <w:gridCol w:w="2263"/>
        <w:gridCol w:w="964"/>
        <w:gridCol w:w="965"/>
        <w:gridCol w:w="965"/>
        <w:gridCol w:w="964"/>
        <w:gridCol w:w="965"/>
        <w:gridCol w:w="965"/>
        <w:gridCol w:w="965"/>
      </w:tblGrid>
      <w:tr w:rsidR="00120717" w:rsidRPr="00B93EE1" w14:paraId="1F1E5909" w14:textId="77777777" w:rsidTr="0034623E">
        <w:trPr>
          <w:cnfStyle w:val="100000000000" w:firstRow="1" w:lastRow="0" w:firstColumn="0" w:lastColumn="0" w:oddVBand="0" w:evenVBand="0" w:oddHBand="0" w:evenHBand="0" w:firstRowFirstColumn="0" w:firstRowLastColumn="0" w:lastRowFirstColumn="0" w:lastRowLastColumn="0"/>
          <w:tblHeader/>
        </w:trPr>
        <w:tc>
          <w:tcPr>
            <w:tcW w:w="2263" w:type="dxa"/>
            <w:noWrap/>
            <w:hideMark/>
          </w:tcPr>
          <w:p w14:paraId="54070ED7" w14:textId="77777777" w:rsidR="00120717" w:rsidRPr="00B93EE1" w:rsidRDefault="00120717" w:rsidP="00712D42">
            <w:pPr>
              <w:jc w:val="left"/>
              <w:rPr>
                <w:b w:val="0"/>
                <w:color w:val="FFFFFF" w:themeColor="background1"/>
                <w:sz w:val="15"/>
                <w:szCs w:val="15"/>
              </w:rPr>
            </w:pPr>
          </w:p>
        </w:tc>
        <w:tc>
          <w:tcPr>
            <w:tcW w:w="964" w:type="dxa"/>
            <w:noWrap/>
            <w:hideMark/>
          </w:tcPr>
          <w:p w14:paraId="2DD13D9A" w14:textId="77777777" w:rsidR="00120717" w:rsidRPr="00B93EE1" w:rsidRDefault="00120717" w:rsidP="00712D42">
            <w:pPr>
              <w:jc w:val="center"/>
              <w:rPr>
                <w:color w:val="FFFFFF" w:themeColor="background1"/>
                <w:sz w:val="15"/>
                <w:szCs w:val="15"/>
              </w:rPr>
            </w:pPr>
            <w:r w:rsidRPr="00B93EE1">
              <w:rPr>
                <w:color w:val="FFFFFF" w:themeColor="background1"/>
                <w:sz w:val="15"/>
                <w:szCs w:val="15"/>
              </w:rPr>
              <w:t>2014/15</w:t>
            </w:r>
          </w:p>
        </w:tc>
        <w:tc>
          <w:tcPr>
            <w:tcW w:w="965" w:type="dxa"/>
            <w:noWrap/>
            <w:hideMark/>
          </w:tcPr>
          <w:p w14:paraId="4F34FB36" w14:textId="77777777" w:rsidR="00120717" w:rsidRPr="00B93EE1" w:rsidRDefault="00120717" w:rsidP="00712D42">
            <w:pPr>
              <w:jc w:val="center"/>
              <w:rPr>
                <w:color w:val="FFFFFF" w:themeColor="background1"/>
                <w:sz w:val="15"/>
                <w:szCs w:val="15"/>
              </w:rPr>
            </w:pPr>
            <w:r w:rsidRPr="00B93EE1">
              <w:rPr>
                <w:color w:val="FFFFFF" w:themeColor="background1"/>
                <w:sz w:val="15"/>
                <w:szCs w:val="15"/>
              </w:rPr>
              <w:t>2015/16</w:t>
            </w:r>
          </w:p>
        </w:tc>
        <w:tc>
          <w:tcPr>
            <w:tcW w:w="965" w:type="dxa"/>
            <w:noWrap/>
            <w:hideMark/>
          </w:tcPr>
          <w:p w14:paraId="3E961E49" w14:textId="77777777" w:rsidR="00120717" w:rsidRPr="00B93EE1" w:rsidRDefault="00120717" w:rsidP="00712D42">
            <w:pPr>
              <w:jc w:val="center"/>
              <w:rPr>
                <w:color w:val="FFFFFF" w:themeColor="background1"/>
                <w:sz w:val="15"/>
                <w:szCs w:val="15"/>
              </w:rPr>
            </w:pPr>
            <w:r w:rsidRPr="00B93EE1">
              <w:rPr>
                <w:color w:val="FFFFFF" w:themeColor="background1"/>
                <w:sz w:val="15"/>
                <w:szCs w:val="15"/>
              </w:rPr>
              <w:t>2016/17</w:t>
            </w:r>
          </w:p>
        </w:tc>
        <w:tc>
          <w:tcPr>
            <w:tcW w:w="964" w:type="dxa"/>
            <w:noWrap/>
            <w:hideMark/>
          </w:tcPr>
          <w:p w14:paraId="20149DEE" w14:textId="77777777" w:rsidR="00120717" w:rsidRPr="00B93EE1" w:rsidRDefault="00120717" w:rsidP="00712D42">
            <w:pPr>
              <w:jc w:val="center"/>
              <w:rPr>
                <w:color w:val="FFFFFF" w:themeColor="background1"/>
                <w:sz w:val="15"/>
                <w:szCs w:val="15"/>
              </w:rPr>
            </w:pPr>
            <w:r w:rsidRPr="00B93EE1">
              <w:rPr>
                <w:color w:val="FFFFFF" w:themeColor="background1"/>
                <w:sz w:val="15"/>
                <w:szCs w:val="15"/>
              </w:rPr>
              <w:t>2017/18</w:t>
            </w:r>
          </w:p>
        </w:tc>
        <w:tc>
          <w:tcPr>
            <w:tcW w:w="965" w:type="dxa"/>
            <w:noWrap/>
            <w:hideMark/>
          </w:tcPr>
          <w:p w14:paraId="51FB6AE8" w14:textId="77777777" w:rsidR="00120717" w:rsidRPr="00B93EE1" w:rsidRDefault="00120717" w:rsidP="00712D42">
            <w:pPr>
              <w:jc w:val="center"/>
              <w:rPr>
                <w:color w:val="FFFFFF" w:themeColor="background1"/>
                <w:sz w:val="15"/>
                <w:szCs w:val="15"/>
              </w:rPr>
            </w:pPr>
            <w:r w:rsidRPr="00B93EE1">
              <w:rPr>
                <w:color w:val="FFFFFF" w:themeColor="background1"/>
                <w:sz w:val="15"/>
                <w:szCs w:val="15"/>
              </w:rPr>
              <w:t>2018/19</w:t>
            </w:r>
          </w:p>
        </w:tc>
        <w:tc>
          <w:tcPr>
            <w:tcW w:w="965" w:type="dxa"/>
            <w:noWrap/>
            <w:hideMark/>
          </w:tcPr>
          <w:p w14:paraId="35413002" w14:textId="77777777" w:rsidR="00120717" w:rsidRPr="00B93EE1" w:rsidRDefault="00120717" w:rsidP="00712D42">
            <w:pPr>
              <w:jc w:val="right"/>
              <w:rPr>
                <w:color w:val="FFFFFF" w:themeColor="background1"/>
                <w:sz w:val="15"/>
                <w:szCs w:val="15"/>
              </w:rPr>
            </w:pPr>
            <w:r w:rsidRPr="00B93EE1">
              <w:rPr>
                <w:color w:val="FFFFFF" w:themeColor="background1"/>
                <w:sz w:val="15"/>
                <w:szCs w:val="15"/>
              </w:rPr>
              <w:t>2019/20</w:t>
            </w:r>
          </w:p>
        </w:tc>
        <w:tc>
          <w:tcPr>
            <w:tcW w:w="965" w:type="dxa"/>
            <w:noWrap/>
            <w:hideMark/>
          </w:tcPr>
          <w:p w14:paraId="20DB7B85" w14:textId="77777777" w:rsidR="00120717" w:rsidRPr="00B93EE1" w:rsidRDefault="00120717" w:rsidP="00712D42">
            <w:pPr>
              <w:jc w:val="right"/>
              <w:rPr>
                <w:color w:val="FFFFFF" w:themeColor="background1"/>
                <w:sz w:val="15"/>
                <w:szCs w:val="15"/>
              </w:rPr>
            </w:pPr>
            <w:r w:rsidRPr="00B93EE1">
              <w:rPr>
                <w:color w:val="FFFFFF" w:themeColor="background1"/>
                <w:sz w:val="15"/>
                <w:szCs w:val="15"/>
              </w:rPr>
              <w:t>2020/21</w:t>
            </w:r>
          </w:p>
        </w:tc>
      </w:tr>
      <w:tr w:rsidR="00120717" w:rsidRPr="00B93EE1" w14:paraId="0E09D841" w14:textId="77777777" w:rsidTr="00712D42">
        <w:tc>
          <w:tcPr>
            <w:tcW w:w="2263" w:type="dxa"/>
            <w:noWrap/>
            <w:hideMark/>
          </w:tcPr>
          <w:p w14:paraId="6A4A7F31" w14:textId="77777777" w:rsidR="00120717" w:rsidRPr="00B93EE1" w:rsidRDefault="00120717" w:rsidP="00712D42">
            <w:pPr>
              <w:jc w:val="left"/>
              <w:rPr>
                <w:b/>
                <w:bCs/>
                <w:sz w:val="15"/>
                <w:szCs w:val="15"/>
              </w:rPr>
            </w:pPr>
            <w:r w:rsidRPr="00B93EE1">
              <w:rPr>
                <w:b/>
                <w:bCs/>
                <w:sz w:val="15"/>
                <w:szCs w:val="15"/>
              </w:rPr>
              <w:t>Current account</w:t>
            </w:r>
          </w:p>
        </w:tc>
        <w:tc>
          <w:tcPr>
            <w:tcW w:w="964" w:type="dxa"/>
            <w:noWrap/>
            <w:hideMark/>
          </w:tcPr>
          <w:p w14:paraId="46FE5B3C" w14:textId="77777777" w:rsidR="00120717" w:rsidRPr="00B93EE1" w:rsidRDefault="00120717" w:rsidP="00712D42">
            <w:pPr>
              <w:ind w:right="113"/>
              <w:jc w:val="right"/>
              <w:rPr>
                <w:sz w:val="15"/>
                <w:szCs w:val="15"/>
              </w:rPr>
            </w:pPr>
            <w:r w:rsidRPr="00B93EE1">
              <w:rPr>
                <w:sz w:val="15"/>
                <w:szCs w:val="15"/>
              </w:rPr>
              <w:t>-8,168</w:t>
            </w:r>
          </w:p>
        </w:tc>
        <w:tc>
          <w:tcPr>
            <w:tcW w:w="965" w:type="dxa"/>
            <w:noWrap/>
            <w:hideMark/>
          </w:tcPr>
          <w:p w14:paraId="26FEDDDF" w14:textId="77777777" w:rsidR="00120717" w:rsidRPr="00B93EE1" w:rsidRDefault="00120717" w:rsidP="00712D42">
            <w:pPr>
              <w:ind w:right="113"/>
              <w:jc w:val="right"/>
              <w:rPr>
                <w:sz w:val="15"/>
                <w:szCs w:val="15"/>
              </w:rPr>
            </w:pPr>
            <w:r w:rsidRPr="00B93EE1">
              <w:rPr>
                <w:sz w:val="15"/>
                <w:szCs w:val="15"/>
              </w:rPr>
              <w:t>-6,305</w:t>
            </w:r>
          </w:p>
        </w:tc>
        <w:tc>
          <w:tcPr>
            <w:tcW w:w="965" w:type="dxa"/>
            <w:noWrap/>
            <w:hideMark/>
          </w:tcPr>
          <w:p w14:paraId="1A927C05" w14:textId="77777777" w:rsidR="00120717" w:rsidRPr="00B93EE1" w:rsidRDefault="00120717" w:rsidP="00712D42">
            <w:pPr>
              <w:ind w:right="113"/>
              <w:jc w:val="right"/>
              <w:rPr>
                <w:sz w:val="15"/>
                <w:szCs w:val="15"/>
              </w:rPr>
            </w:pPr>
            <w:r w:rsidRPr="00B93EE1">
              <w:rPr>
                <w:sz w:val="15"/>
                <w:szCs w:val="15"/>
              </w:rPr>
              <w:t>-6,841</w:t>
            </w:r>
          </w:p>
        </w:tc>
        <w:tc>
          <w:tcPr>
            <w:tcW w:w="964" w:type="dxa"/>
            <w:noWrap/>
            <w:hideMark/>
          </w:tcPr>
          <w:p w14:paraId="00AC94A7" w14:textId="77777777" w:rsidR="00120717" w:rsidRPr="00B93EE1" w:rsidRDefault="00120717" w:rsidP="00712D42">
            <w:pPr>
              <w:ind w:right="113"/>
              <w:jc w:val="right"/>
              <w:rPr>
                <w:sz w:val="15"/>
                <w:szCs w:val="15"/>
              </w:rPr>
            </w:pPr>
            <w:r w:rsidRPr="00B93EE1">
              <w:rPr>
                <w:sz w:val="15"/>
                <w:szCs w:val="15"/>
              </w:rPr>
              <w:t>-8,537</w:t>
            </w:r>
          </w:p>
        </w:tc>
        <w:tc>
          <w:tcPr>
            <w:tcW w:w="965" w:type="dxa"/>
            <w:noWrap/>
            <w:hideMark/>
          </w:tcPr>
          <w:p w14:paraId="77CF6D0F" w14:textId="77777777" w:rsidR="00120717" w:rsidRPr="00B93EE1" w:rsidRDefault="00120717" w:rsidP="00712D42">
            <w:pPr>
              <w:ind w:right="113"/>
              <w:jc w:val="right"/>
              <w:rPr>
                <w:sz w:val="15"/>
                <w:szCs w:val="15"/>
              </w:rPr>
            </w:pPr>
            <w:r w:rsidRPr="00B93EE1">
              <w:rPr>
                <w:sz w:val="15"/>
                <w:szCs w:val="15"/>
              </w:rPr>
              <w:t>-11,445</w:t>
            </w:r>
          </w:p>
        </w:tc>
        <w:tc>
          <w:tcPr>
            <w:tcW w:w="965" w:type="dxa"/>
            <w:noWrap/>
            <w:hideMark/>
          </w:tcPr>
          <w:p w14:paraId="6B97C099" w14:textId="77777777" w:rsidR="00120717" w:rsidRPr="00B93EE1" w:rsidRDefault="00120717" w:rsidP="00712D42">
            <w:pPr>
              <w:ind w:right="113"/>
              <w:jc w:val="right"/>
              <w:rPr>
                <w:sz w:val="15"/>
                <w:szCs w:val="15"/>
              </w:rPr>
            </w:pPr>
            <w:r w:rsidRPr="00B93EE1">
              <w:rPr>
                <w:sz w:val="15"/>
                <w:szCs w:val="15"/>
              </w:rPr>
              <w:t>-7,605</w:t>
            </w:r>
          </w:p>
        </w:tc>
        <w:tc>
          <w:tcPr>
            <w:tcW w:w="965" w:type="dxa"/>
            <w:noWrap/>
            <w:hideMark/>
          </w:tcPr>
          <w:p w14:paraId="37C4A565" w14:textId="77777777" w:rsidR="00120717" w:rsidRPr="00B93EE1" w:rsidRDefault="00120717" w:rsidP="00712D42">
            <w:pPr>
              <w:ind w:right="113"/>
              <w:jc w:val="right"/>
              <w:rPr>
                <w:sz w:val="15"/>
                <w:szCs w:val="15"/>
              </w:rPr>
            </w:pPr>
            <w:r w:rsidRPr="00B93EE1">
              <w:rPr>
                <w:sz w:val="15"/>
                <w:szCs w:val="15"/>
              </w:rPr>
              <w:t>-8,176</w:t>
            </w:r>
          </w:p>
        </w:tc>
      </w:tr>
      <w:tr w:rsidR="00120717" w:rsidRPr="00B93EE1" w14:paraId="4F99D978"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2AB9F0CF" w14:textId="77777777" w:rsidR="00120717" w:rsidRPr="00B93EE1" w:rsidRDefault="00120717" w:rsidP="00712D42">
            <w:pPr>
              <w:jc w:val="left"/>
              <w:rPr>
                <w:sz w:val="15"/>
                <w:szCs w:val="15"/>
              </w:rPr>
            </w:pPr>
            <w:r w:rsidRPr="00B93EE1">
              <w:rPr>
                <w:sz w:val="15"/>
                <w:szCs w:val="15"/>
              </w:rPr>
              <w:t>Goods and services balance</w:t>
            </w:r>
          </w:p>
        </w:tc>
        <w:tc>
          <w:tcPr>
            <w:tcW w:w="964" w:type="dxa"/>
            <w:noWrap/>
            <w:hideMark/>
          </w:tcPr>
          <w:p w14:paraId="3A57FBB5" w14:textId="77777777" w:rsidR="00120717" w:rsidRPr="00B93EE1" w:rsidRDefault="00120717" w:rsidP="00712D42">
            <w:pPr>
              <w:ind w:right="113"/>
              <w:jc w:val="right"/>
              <w:rPr>
                <w:sz w:val="15"/>
                <w:szCs w:val="15"/>
              </w:rPr>
            </w:pPr>
            <w:r w:rsidRPr="00B93EE1">
              <w:rPr>
                <w:sz w:val="15"/>
                <w:szCs w:val="15"/>
              </w:rPr>
              <w:t>1,944</w:t>
            </w:r>
          </w:p>
        </w:tc>
        <w:tc>
          <w:tcPr>
            <w:tcW w:w="965" w:type="dxa"/>
            <w:noWrap/>
            <w:hideMark/>
          </w:tcPr>
          <w:p w14:paraId="5C6025AB" w14:textId="77777777" w:rsidR="00120717" w:rsidRPr="00B93EE1" w:rsidRDefault="00120717" w:rsidP="00712D42">
            <w:pPr>
              <w:ind w:right="113"/>
              <w:jc w:val="right"/>
              <w:rPr>
                <w:sz w:val="15"/>
                <w:szCs w:val="15"/>
              </w:rPr>
            </w:pPr>
            <w:r w:rsidRPr="00B93EE1">
              <w:rPr>
                <w:sz w:val="15"/>
                <w:szCs w:val="15"/>
              </w:rPr>
              <w:t>2,431</w:t>
            </w:r>
          </w:p>
        </w:tc>
        <w:tc>
          <w:tcPr>
            <w:tcW w:w="965" w:type="dxa"/>
            <w:noWrap/>
            <w:hideMark/>
          </w:tcPr>
          <w:p w14:paraId="6F9205EF" w14:textId="77777777" w:rsidR="00120717" w:rsidRPr="00B93EE1" w:rsidRDefault="00120717" w:rsidP="00712D42">
            <w:pPr>
              <w:ind w:right="113"/>
              <w:jc w:val="right"/>
              <w:rPr>
                <w:sz w:val="15"/>
                <w:szCs w:val="15"/>
              </w:rPr>
            </w:pPr>
            <w:r w:rsidRPr="00B93EE1">
              <w:rPr>
                <w:sz w:val="15"/>
                <w:szCs w:val="15"/>
              </w:rPr>
              <w:t>2,089</w:t>
            </w:r>
          </w:p>
        </w:tc>
        <w:tc>
          <w:tcPr>
            <w:tcW w:w="964" w:type="dxa"/>
            <w:noWrap/>
            <w:hideMark/>
          </w:tcPr>
          <w:p w14:paraId="4FFA827B" w14:textId="77777777" w:rsidR="00120717" w:rsidRPr="00B93EE1" w:rsidRDefault="00120717" w:rsidP="00712D42">
            <w:pPr>
              <w:ind w:right="113"/>
              <w:jc w:val="right"/>
              <w:rPr>
                <w:sz w:val="15"/>
                <w:szCs w:val="15"/>
              </w:rPr>
            </w:pPr>
            <w:r w:rsidRPr="00B93EE1">
              <w:rPr>
                <w:sz w:val="15"/>
                <w:szCs w:val="15"/>
              </w:rPr>
              <w:t>2,752</w:t>
            </w:r>
          </w:p>
        </w:tc>
        <w:tc>
          <w:tcPr>
            <w:tcW w:w="965" w:type="dxa"/>
            <w:noWrap/>
            <w:hideMark/>
          </w:tcPr>
          <w:p w14:paraId="586C8ECF" w14:textId="77777777" w:rsidR="00120717" w:rsidRPr="00B93EE1" w:rsidRDefault="00120717" w:rsidP="00712D42">
            <w:pPr>
              <w:ind w:right="113"/>
              <w:jc w:val="right"/>
              <w:rPr>
                <w:sz w:val="15"/>
                <w:szCs w:val="15"/>
              </w:rPr>
            </w:pPr>
            <w:r w:rsidRPr="00B93EE1">
              <w:rPr>
                <w:sz w:val="15"/>
                <w:szCs w:val="15"/>
              </w:rPr>
              <w:t>-138</w:t>
            </w:r>
          </w:p>
        </w:tc>
        <w:tc>
          <w:tcPr>
            <w:tcW w:w="965" w:type="dxa"/>
            <w:noWrap/>
            <w:hideMark/>
          </w:tcPr>
          <w:p w14:paraId="57AF8B24" w14:textId="77777777" w:rsidR="00120717" w:rsidRPr="00B93EE1" w:rsidRDefault="00120717" w:rsidP="00712D42">
            <w:pPr>
              <w:ind w:right="113"/>
              <w:jc w:val="right"/>
              <w:rPr>
                <w:sz w:val="15"/>
                <w:szCs w:val="15"/>
              </w:rPr>
            </w:pPr>
            <w:r w:rsidRPr="00B93EE1">
              <w:rPr>
                <w:sz w:val="15"/>
                <w:szCs w:val="15"/>
              </w:rPr>
              <w:t>968</w:t>
            </w:r>
          </w:p>
        </w:tc>
        <w:tc>
          <w:tcPr>
            <w:tcW w:w="965" w:type="dxa"/>
            <w:noWrap/>
            <w:hideMark/>
          </w:tcPr>
          <w:p w14:paraId="0479CC28" w14:textId="77777777" w:rsidR="00120717" w:rsidRPr="00B93EE1" w:rsidRDefault="00120717" w:rsidP="00712D42">
            <w:pPr>
              <w:ind w:right="113"/>
              <w:jc w:val="right"/>
              <w:rPr>
                <w:sz w:val="15"/>
                <w:szCs w:val="15"/>
              </w:rPr>
            </w:pPr>
            <w:r w:rsidRPr="00B93EE1">
              <w:rPr>
                <w:sz w:val="15"/>
                <w:szCs w:val="15"/>
              </w:rPr>
              <w:t>-1,270</w:t>
            </w:r>
          </w:p>
        </w:tc>
      </w:tr>
      <w:tr w:rsidR="00120717" w:rsidRPr="00B93EE1" w14:paraId="1A7C5065" w14:textId="77777777" w:rsidTr="00712D42">
        <w:tc>
          <w:tcPr>
            <w:tcW w:w="2263" w:type="dxa"/>
            <w:noWrap/>
            <w:hideMark/>
          </w:tcPr>
          <w:p w14:paraId="5C38C09C" w14:textId="77777777" w:rsidR="00120717" w:rsidRPr="00B93EE1" w:rsidRDefault="00120717" w:rsidP="00712D42">
            <w:pPr>
              <w:ind w:left="170"/>
              <w:jc w:val="left"/>
              <w:rPr>
                <w:sz w:val="15"/>
                <w:szCs w:val="15"/>
              </w:rPr>
            </w:pPr>
            <w:r w:rsidRPr="00B93EE1">
              <w:rPr>
                <w:sz w:val="15"/>
                <w:szCs w:val="15"/>
              </w:rPr>
              <w:t>Trade balance</w:t>
            </w:r>
          </w:p>
        </w:tc>
        <w:tc>
          <w:tcPr>
            <w:tcW w:w="964" w:type="dxa"/>
            <w:noWrap/>
            <w:hideMark/>
          </w:tcPr>
          <w:p w14:paraId="08420FB8" w14:textId="77777777" w:rsidR="00120717" w:rsidRPr="00B93EE1" w:rsidRDefault="00120717" w:rsidP="00712D42">
            <w:pPr>
              <w:ind w:right="113"/>
              <w:jc w:val="right"/>
              <w:rPr>
                <w:sz w:val="15"/>
                <w:szCs w:val="15"/>
              </w:rPr>
            </w:pPr>
            <w:r w:rsidRPr="00B93EE1">
              <w:rPr>
                <w:sz w:val="15"/>
                <w:szCs w:val="15"/>
              </w:rPr>
              <w:t>-453</w:t>
            </w:r>
          </w:p>
        </w:tc>
        <w:tc>
          <w:tcPr>
            <w:tcW w:w="965" w:type="dxa"/>
            <w:noWrap/>
            <w:hideMark/>
          </w:tcPr>
          <w:p w14:paraId="6961C0A9" w14:textId="77777777" w:rsidR="00120717" w:rsidRPr="00B93EE1" w:rsidRDefault="00120717" w:rsidP="00712D42">
            <w:pPr>
              <w:ind w:right="113"/>
              <w:jc w:val="right"/>
              <w:rPr>
                <w:sz w:val="15"/>
                <w:szCs w:val="15"/>
              </w:rPr>
            </w:pPr>
            <w:r w:rsidRPr="00B93EE1">
              <w:rPr>
                <w:sz w:val="15"/>
                <w:szCs w:val="15"/>
              </w:rPr>
              <w:t>-2,500</w:t>
            </w:r>
          </w:p>
        </w:tc>
        <w:tc>
          <w:tcPr>
            <w:tcW w:w="965" w:type="dxa"/>
            <w:noWrap/>
            <w:hideMark/>
          </w:tcPr>
          <w:p w14:paraId="662903C9" w14:textId="77777777" w:rsidR="00120717" w:rsidRPr="00B93EE1" w:rsidRDefault="00120717" w:rsidP="00712D42">
            <w:pPr>
              <w:ind w:right="113"/>
              <w:jc w:val="right"/>
              <w:rPr>
                <w:sz w:val="15"/>
                <w:szCs w:val="15"/>
              </w:rPr>
            </w:pPr>
            <w:r w:rsidRPr="00B93EE1">
              <w:rPr>
                <w:sz w:val="15"/>
                <w:szCs w:val="15"/>
              </w:rPr>
              <w:t>-2,929</w:t>
            </w:r>
          </w:p>
        </w:tc>
        <w:tc>
          <w:tcPr>
            <w:tcW w:w="964" w:type="dxa"/>
            <w:noWrap/>
            <w:hideMark/>
          </w:tcPr>
          <w:p w14:paraId="4E83218B" w14:textId="77777777" w:rsidR="00120717" w:rsidRPr="00B93EE1" w:rsidRDefault="00120717" w:rsidP="00712D42">
            <w:pPr>
              <w:ind w:right="113"/>
              <w:jc w:val="right"/>
              <w:rPr>
                <w:sz w:val="15"/>
                <w:szCs w:val="15"/>
              </w:rPr>
            </w:pPr>
            <w:r w:rsidRPr="00B93EE1">
              <w:rPr>
                <w:sz w:val="15"/>
                <w:szCs w:val="15"/>
              </w:rPr>
              <w:t>-2,776</w:t>
            </w:r>
          </w:p>
        </w:tc>
        <w:tc>
          <w:tcPr>
            <w:tcW w:w="965" w:type="dxa"/>
            <w:noWrap/>
            <w:hideMark/>
          </w:tcPr>
          <w:p w14:paraId="17AA9E13" w14:textId="77777777" w:rsidR="00120717" w:rsidRPr="00B93EE1" w:rsidRDefault="00120717" w:rsidP="00712D42">
            <w:pPr>
              <w:ind w:right="113"/>
              <w:jc w:val="right"/>
              <w:rPr>
                <w:sz w:val="15"/>
                <w:szCs w:val="15"/>
              </w:rPr>
            </w:pPr>
            <w:r w:rsidRPr="00B93EE1">
              <w:rPr>
                <w:sz w:val="15"/>
                <w:szCs w:val="15"/>
              </w:rPr>
              <w:t>-4,471</w:t>
            </w:r>
          </w:p>
        </w:tc>
        <w:tc>
          <w:tcPr>
            <w:tcW w:w="965" w:type="dxa"/>
            <w:noWrap/>
            <w:hideMark/>
          </w:tcPr>
          <w:p w14:paraId="077F0ACF" w14:textId="77777777" w:rsidR="00120717" w:rsidRPr="00B93EE1" w:rsidRDefault="00120717" w:rsidP="00712D42">
            <w:pPr>
              <w:ind w:right="113"/>
              <w:jc w:val="right"/>
              <w:rPr>
                <w:sz w:val="15"/>
                <w:szCs w:val="15"/>
              </w:rPr>
            </w:pPr>
            <w:r w:rsidRPr="00B93EE1">
              <w:rPr>
                <w:sz w:val="15"/>
                <w:szCs w:val="15"/>
              </w:rPr>
              <w:t>-3,006</w:t>
            </w:r>
          </w:p>
        </w:tc>
        <w:tc>
          <w:tcPr>
            <w:tcW w:w="965" w:type="dxa"/>
            <w:noWrap/>
            <w:hideMark/>
          </w:tcPr>
          <w:p w14:paraId="2FCE5AC0" w14:textId="77777777" w:rsidR="00120717" w:rsidRPr="00B93EE1" w:rsidRDefault="00120717" w:rsidP="00712D42">
            <w:pPr>
              <w:ind w:right="113"/>
              <w:jc w:val="right"/>
              <w:rPr>
                <w:sz w:val="15"/>
                <w:szCs w:val="15"/>
              </w:rPr>
            </w:pPr>
            <w:r w:rsidRPr="00B93EE1">
              <w:rPr>
                <w:sz w:val="15"/>
                <w:szCs w:val="15"/>
              </w:rPr>
              <w:t>1,708</w:t>
            </w:r>
          </w:p>
        </w:tc>
      </w:tr>
      <w:tr w:rsidR="00120717" w:rsidRPr="00B93EE1" w14:paraId="45E628DA"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2E24E199" w14:textId="77777777" w:rsidR="00120717" w:rsidRPr="00B93EE1" w:rsidRDefault="00120717" w:rsidP="00712D42">
            <w:pPr>
              <w:ind w:left="340"/>
              <w:jc w:val="left"/>
              <w:rPr>
                <w:sz w:val="15"/>
                <w:szCs w:val="15"/>
              </w:rPr>
            </w:pPr>
            <w:r w:rsidRPr="00B93EE1">
              <w:rPr>
                <w:sz w:val="15"/>
                <w:szCs w:val="15"/>
              </w:rPr>
              <w:t>Exports</w:t>
            </w:r>
          </w:p>
        </w:tc>
        <w:tc>
          <w:tcPr>
            <w:tcW w:w="964" w:type="dxa"/>
            <w:noWrap/>
            <w:hideMark/>
          </w:tcPr>
          <w:p w14:paraId="57EF792E" w14:textId="77777777" w:rsidR="00120717" w:rsidRPr="00B93EE1" w:rsidRDefault="00120717" w:rsidP="00712D42">
            <w:pPr>
              <w:ind w:right="113"/>
              <w:jc w:val="right"/>
              <w:rPr>
                <w:sz w:val="15"/>
                <w:szCs w:val="15"/>
              </w:rPr>
            </w:pPr>
            <w:r w:rsidRPr="00B93EE1">
              <w:rPr>
                <w:sz w:val="15"/>
                <w:szCs w:val="15"/>
              </w:rPr>
              <w:t>49,212</w:t>
            </w:r>
          </w:p>
        </w:tc>
        <w:tc>
          <w:tcPr>
            <w:tcW w:w="965" w:type="dxa"/>
            <w:noWrap/>
            <w:hideMark/>
          </w:tcPr>
          <w:p w14:paraId="1908C84F" w14:textId="77777777" w:rsidR="00120717" w:rsidRPr="00B93EE1" w:rsidRDefault="00120717" w:rsidP="00712D42">
            <w:pPr>
              <w:ind w:right="113"/>
              <w:jc w:val="right"/>
              <w:rPr>
                <w:sz w:val="15"/>
                <w:szCs w:val="15"/>
              </w:rPr>
            </w:pPr>
            <w:r w:rsidRPr="00B93EE1">
              <w:rPr>
                <w:sz w:val="15"/>
                <w:szCs w:val="15"/>
              </w:rPr>
              <w:t>48,877</w:t>
            </w:r>
          </w:p>
        </w:tc>
        <w:tc>
          <w:tcPr>
            <w:tcW w:w="965" w:type="dxa"/>
            <w:noWrap/>
            <w:hideMark/>
          </w:tcPr>
          <w:p w14:paraId="00F93613" w14:textId="77777777" w:rsidR="00120717" w:rsidRPr="00B93EE1" w:rsidRDefault="00120717" w:rsidP="00712D42">
            <w:pPr>
              <w:ind w:right="113"/>
              <w:jc w:val="right"/>
              <w:rPr>
                <w:sz w:val="15"/>
                <w:szCs w:val="15"/>
              </w:rPr>
            </w:pPr>
            <w:r w:rsidRPr="00B93EE1">
              <w:rPr>
                <w:sz w:val="15"/>
                <w:szCs w:val="15"/>
              </w:rPr>
              <w:t>48,930</w:t>
            </w:r>
          </w:p>
        </w:tc>
        <w:tc>
          <w:tcPr>
            <w:tcW w:w="964" w:type="dxa"/>
            <w:noWrap/>
            <w:hideMark/>
          </w:tcPr>
          <w:p w14:paraId="739C334B" w14:textId="77777777" w:rsidR="00120717" w:rsidRPr="00B93EE1" w:rsidRDefault="00120717" w:rsidP="00712D42">
            <w:pPr>
              <w:ind w:right="113"/>
              <w:jc w:val="right"/>
              <w:rPr>
                <w:sz w:val="15"/>
                <w:szCs w:val="15"/>
              </w:rPr>
            </w:pPr>
            <w:r w:rsidRPr="00B93EE1">
              <w:rPr>
                <w:sz w:val="15"/>
                <w:szCs w:val="15"/>
              </w:rPr>
              <w:t>54,895</w:t>
            </w:r>
          </w:p>
        </w:tc>
        <w:tc>
          <w:tcPr>
            <w:tcW w:w="965" w:type="dxa"/>
            <w:noWrap/>
            <w:hideMark/>
          </w:tcPr>
          <w:p w14:paraId="4A68AD85" w14:textId="77777777" w:rsidR="00120717" w:rsidRPr="00B93EE1" w:rsidRDefault="00120717" w:rsidP="00712D42">
            <w:pPr>
              <w:ind w:right="113"/>
              <w:jc w:val="right"/>
              <w:rPr>
                <w:sz w:val="15"/>
                <w:szCs w:val="15"/>
              </w:rPr>
            </w:pPr>
            <w:r w:rsidRPr="00B93EE1">
              <w:rPr>
                <w:sz w:val="15"/>
                <w:szCs w:val="15"/>
              </w:rPr>
              <w:t>58,822</w:t>
            </w:r>
          </w:p>
        </w:tc>
        <w:tc>
          <w:tcPr>
            <w:tcW w:w="965" w:type="dxa"/>
            <w:noWrap/>
            <w:hideMark/>
          </w:tcPr>
          <w:p w14:paraId="2CD5B4A3" w14:textId="77777777" w:rsidR="00120717" w:rsidRPr="00B93EE1" w:rsidRDefault="00120717" w:rsidP="00712D42">
            <w:pPr>
              <w:ind w:right="113"/>
              <w:jc w:val="right"/>
              <w:rPr>
                <w:sz w:val="15"/>
                <w:szCs w:val="15"/>
              </w:rPr>
            </w:pPr>
            <w:r w:rsidRPr="00B93EE1">
              <w:rPr>
                <w:sz w:val="15"/>
                <w:szCs w:val="15"/>
              </w:rPr>
              <w:t>60,916</w:t>
            </w:r>
          </w:p>
        </w:tc>
        <w:tc>
          <w:tcPr>
            <w:tcW w:w="965" w:type="dxa"/>
            <w:noWrap/>
            <w:hideMark/>
          </w:tcPr>
          <w:p w14:paraId="1D7FAB95" w14:textId="77777777" w:rsidR="00120717" w:rsidRPr="00B93EE1" w:rsidRDefault="00120717" w:rsidP="00712D42">
            <w:pPr>
              <w:ind w:right="113"/>
              <w:jc w:val="right"/>
              <w:rPr>
                <w:sz w:val="15"/>
                <w:szCs w:val="15"/>
              </w:rPr>
            </w:pPr>
            <w:r w:rsidRPr="00B93EE1">
              <w:rPr>
                <w:sz w:val="15"/>
                <w:szCs w:val="15"/>
              </w:rPr>
              <w:t>58,505</w:t>
            </w:r>
          </w:p>
        </w:tc>
      </w:tr>
      <w:tr w:rsidR="00120717" w:rsidRPr="00B93EE1" w14:paraId="50B9E3F0" w14:textId="77777777" w:rsidTr="00712D42">
        <w:tc>
          <w:tcPr>
            <w:tcW w:w="2263" w:type="dxa"/>
            <w:noWrap/>
            <w:hideMark/>
          </w:tcPr>
          <w:p w14:paraId="29BA161A" w14:textId="77777777" w:rsidR="00120717" w:rsidRPr="00B93EE1" w:rsidRDefault="00120717" w:rsidP="00712D42">
            <w:pPr>
              <w:ind w:left="340"/>
              <w:jc w:val="left"/>
              <w:rPr>
                <w:sz w:val="15"/>
                <w:szCs w:val="15"/>
              </w:rPr>
            </w:pPr>
            <w:r w:rsidRPr="00B93EE1">
              <w:rPr>
                <w:sz w:val="15"/>
                <w:szCs w:val="15"/>
              </w:rPr>
              <w:t>Imports</w:t>
            </w:r>
          </w:p>
        </w:tc>
        <w:tc>
          <w:tcPr>
            <w:tcW w:w="964" w:type="dxa"/>
            <w:noWrap/>
            <w:hideMark/>
          </w:tcPr>
          <w:p w14:paraId="62EEB44B" w14:textId="77777777" w:rsidR="00120717" w:rsidRPr="00B93EE1" w:rsidRDefault="00120717" w:rsidP="00712D42">
            <w:pPr>
              <w:ind w:right="113"/>
              <w:jc w:val="right"/>
              <w:rPr>
                <w:sz w:val="15"/>
                <w:szCs w:val="15"/>
              </w:rPr>
            </w:pPr>
            <w:r w:rsidRPr="00B93EE1">
              <w:rPr>
                <w:sz w:val="15"/>
                <w:szCs w:val="15"/>
              </w:rPr>
              <w:t>49,665</w:t>
            </w:r>
          </w:p>
        </w:tc>
        <w:tc>
          <w:tcPr>
            <w:tcW w:w="965" w:type="dxa"/>
            <w:noWrap/>
            <w:hideMark/>
          </w:tcPr>
          <w:p w14:paraId="7A877AB5" w14:textId="77777777" w:rsidR="00120717" w:rsidRPr="00B93EE1" w:rsidRDefault="00120717" w:rsidP="00712D42">
            <w:pPr>
              <w:ind w:right="113"/>
              <w:jc w:val="right"/>
              <w:rPr>
                <w:sz w:val="15"/>
                <w:szCs w:val="15"/>
              </w:rPr>
            </w:pPr>
            <w:r w:rsidRPr="00B93EE1">
              <w:rPr>
                <w:sz w:val="15"/>
                <w:szCs w:val="15"/>
              </w:rPr>
              <w:t>51,376</w:t>
            </w:r>
          </w:p>
        </w:tc>
        <w:tc>
          <w:tcPr>
            <w:tcW w:w="965" w:type="dxa"/>
            <w:noWrap/>
            <w:hideMark/>
          </w:tcPr>
          <w:p w14:paraId="3A7B6D50" w14:textId="77777777" w:rsidR="00120717" w:rsidRPr="00B93EE1" w:rsidRDefault="00120717" w:rsidP="00712D42">
            <w:pPr>
              <w:ind w:right="113"/>
              <w:jc w:val="right"/>
              <w:rPr>
                <w:sz w:val="15"/>
                <w:szCs w:val="15"/>
              </w:rPr>
            </w:pPr>
            <w:r w:rsidRPr="00B93EE1">
              <w:rPr>
                <w:sz w:val="15"/>
                <w:szCs w:val="15"/>
              </w:rPr>
              <w:t>51,859</w:t>
            </w:r>
          </w:p>
        </w:tc>
        <w:tc>
          <w:tcPr>
            <w:tcW w:w="964" w:type="dxa"/>
            <w:noWrap/>
            <w:hideMark/>
          </w:tcPr>
          <w:p w14:paraId="2C1D5DC5" w14:textId="77777777" w:rsidR="00120717" w:rsidRPr="00B93EE1" w:rsidRDefault="00120717" w:rsidP="00712D42">
            <w:pPr>
              <w:ind w:right="113"/>
              <w:jc w:val="right"/>
              <w:rPr>
                <w:sz w:val="15"/>
                <w:szCs w:val="15"/>
              </w:rPr>
            </w:pPr>
            <w:r w:rsidRPr="00B93EE1">
              <w:rPr>
                <w:sz w:val="15"/>
                <w:szCs w:val="15"/>
              </w:rPr>
              <w:t>57,672</w:t>
            </w:r>
          </w:p>
        </w:tc>
        <w:tc>
          <w:tcPr>
            <w:tcW w:w="965" w:type="dxa"/>
            <w:noWrap/>
            <w:hideMark/>
          </w:tcPr>
          <w:p w14:paraId="7DA321E2" w14:textId="77777777" w:rsidR="00120717" w:rsidRPr="00B93EE1" w:rsidRDefault="00120717" w:rsidP="00712D42">
            <w:pPr>
              <w:ind w:right="113"/>
              <w:jc w:val="right"/>
              <w:rPr>
                <w:sz w:val="15"/>
                <w:szCs w:val="15"/>
              </w:rPr>
            </w:pPr>
            <w:r w:rsidRPr="00B93EE1">
              <w:rPr>
                <w:sz w:val="15"/>
                <w:szCs w:val="15"/>
              </w:rPr>
              <w:t>63,293</w:t>
            </w:r>
          </w:p>
        </w:tc>
        <w:tc>
          <w:tcPr>
            <w:tcW w:w="965" w:type="dxa"/>
            <w:noWrap/>
            <w:hideMark/>
          </w:tcPr>
          <w:p w14:paraId="7657DAB4" w14:textId="77777777" w:rsidR="00120717" w:rsidRPr="00B93EE1" w:rsidRDefault="00120717" w:rsidP="00712D42">
            <w:pPr>
              <w:ind w:right="113"/>
              <w:jc w:val="right"/>
              <w:rPr>
                <w:sz w:val="15"/>
                <w:szCs w:val="15"/>
              </w:rPr>
            </w:pPr>
            <w:r w:rsidRPr="00B93EE1">
              <w:rPr>
                <w:sz w:val="15"/>
                <w:szCs w:val="15"/>
              </w:rPr>
              <w:t>63,923</w:t>
            </w:r>
          </w:p>
        </w:tc>
        <w:tc>
          <w:tcPr>
            <w:tcW w:w="965" w:type="dxa"/>
            <w:noWrap/>
            <w:hideMark/>
          </w:tcPr>
          <w:p w14:paraId="236E121F" w14:textId="77777777" w:rsidR="00120717" w:rsidRPr="00B93EE1" w:rsidRDefault="00120717" w:rsidP="00712D42">
            <w:pPr>
              <w:ind w:right="113"/>
              <w:jc w:val="right"/>
              <w:rPr>
                <w:sz w:val="15"/>
                <w:szCs w:val="15"/>
              </w:rPr>
            </w:pPr>
            <w:r w:rsidRPr="00B93EE1">
              <w:rPr>
                <w:sz w:val="15"/>
                <w:szCs w:val="15"/>
              </w:rPr>
              <w:t>56,797</w:t>
            </w:r>
          </w:p>
        </w:tc>
      </w:tr>
      <w:tr w:rsidR="00120717" w:rsidRPr="00B93EE1" w14:paraId="161E0A92"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066A3C44" w14:textId="77777777" w:rsidR="00120717" w:rsidRPr="00B93EE1" w:rsidRDefault="00120717" w:rsidP="00712D42">
            <w:pPr>
              <w:ind w:left="170"/>
              <w:jc w:val="left"/>
              <w:rPr>
                <w:sz w:val="15"/>
                <w:szCs w:val="15"/>
              </w:rPr>
            </w:pPr>
            <w:r w:rsidRPr="00B93EE1">
              <w:rPr>
                <w:sz w:val="15"/>
                <w:szCs w:val="15"/>
              </w:rPr>
              <w:t>Services balance</w:t>
            </w:r>
          </w:p>
        </w:tc>
        <w:tc>
          <w:tcPr>
            <w:tcW w:w="964" w:type="dxa"/>
            <w:noWrap/>
            <w:hideMark/>
          </w:tcPr>
          <w:p w14:paraId="3496BA85" w14:textId="77777777" w:rsidR="00120717" w:rsidRPr="00B93EE1" w:rsidRDefault="00120717" w:rsidP="00712D42">
            <w:pPr>
              <w:ind w:right="113"/>
              <w:jc w:val="right"/>
              <w:rPr>
                <w:sz w:val="15"/>
                <w:szCs w:val="15"/>
              </w:rPr>
            </w:pPr>
            <w:r w:rsidRPr="00B93EE1">
              <w:rPr>
                <w:sz w:val="15"/>
                <w:szCs w:val="15"/>
              </w:rPr>
              <w:t>2,397</w:t>
            </w:r>
          </w:p>
        </w:tc>
        <w:tc>
          <w:tcPr>
            <w:tcW w:w="965" w:type="dxa"/>
            <w:noWrap/>
            <w:hideMark/>
          </w:tcPr>
          <w:p w14:paraId="157E548A" w14:textId="77777777" w:rsidR="00120717" w:rsidRPr="00B93EE1" w:rsidRDefault="00120717" w:rsidP="00712D42">
            <w:pPr>
              <w:ind w:right="113"/>
              <w:jc w:val="right"/>
              <w:rPr>
                <w:sz w:val="15"/>
                <w:szCs w:val="15"/>
              </w:rPr>
            </w:pPr>
            <w:r w:rsidRPr="00B93EE1">
              <w:rPr>
                <w:sz w:val="15"/>
                <w:szCs w:val="15"/>
              </w:rPr>
              <w:t>4,931</w:t>
            </w:r>
          </w:p>
        </w:tc>
        <w:tc>
          <w:tcPr>
            <w:tcW w:w="965" w:type="dxa"/>
            <w:noWrap/>
            <w:hideMark/>
          </w:tcPr>
          <w:p w14:paraId="2A7DEBE7" w14:textId="77777777" w:rsidR="00120717" w:rsidRPr="00B93EE1" w:rsidRDefault="00120717" w:rsidP="00712D42">
            <w:pPr>
              <w:ind w:right="113"/>
              <w:jc w:val="right"/>
              <w:rPr>
                <w:sz w:val="15"/>
                <w:szCs w:val="15"/>
              </w:rPr>
            </w:pPr>
            <w:r w:rsidRPr="00B93EE1">
              <w:rPr>
                <w:sz w:val="15"/>
                <w:szCs w:val="15"/>
              </w:rPr>
              <w:t>5,018</w:t>
            </w:r>
          </w:p>
        </w:tc>
        <w:tc>
          <w:tcPr>
            <w:tcW w:w="964" w:type="dxa"/>
            <w:noWrap/>
            <w:hideMark/>
          </w:tcPr>
          <w:p w14:paraId="3BCFD87B" w14:textId="77777777" w:rsidR="00120717" w:rsidRPr="00B93EE1" w:rsidRDefault="00120717" w:rsidP="00712D42">
            <w:pPr>
              <w:ind w:right="113"/>
              <w:jc w:val="right"/>
              <w:rPr>
                <w:sz w:val="15"/>
                <w:szCs w:val="15"/>
              </w:rPr>
            </w:pPr>
            <w:r w:rsidRPr="00B93EE1">
              <w:rPr>
                <w:sz w:val="15"/>
                <w:szCs w:val="15"/>
              </w:rPr>
              <w:t>5,528</w:t>
            </w:r>
          </w:p>
        </w:tc>
        <w:tc>
          <w:tcPr>
            <w:tcW w:w="965" w:type="dxa"/>
            <w:noWrap/>
            <w:hideMark/>
          </w:tcPr>
          <w:p w14:paraId="2FB0BF2D" w14:textId="77777777" w:rsidR="00120717" w:rsidRPr="00B93EE1" w:rsidRDefault="00120717" w:rsidP="00712D42">
            <w:pPr>
              <w:ind w:right="113"/>
              <w:jc w:val="right"/>
              <w:rPr>
                <w:sz w:val="15"/>
                <w:szCs w:val="15"/>
              </w:rPr>
            </w:pPr>
            <w:r w:rsidRPr="00B93EE1">
              <w:rPr>
                <w:sz w:val="15"/>
                <w:szCs w:val="15"/>
              </w:rPr>
              <w:t>4,333</w:t>
            </w:r>
          </w:p>
        </w:tc>
        <w:tc>
          <w:tcPr>
            <w:tcW w:w="965" w:type="dxa"/>
            <w:noWrap/>
            <w:hideMark/>
          </w:tcPr>
          <w:p w14:paraId="2AA2E8AE" w14:textId="77777777" w:rsidR="00120717" w:rsidRPr="00B93EE1" w:rsidRDefault="00120717" w:rsidP="00712D42">
            <w:pPr>
              <w:ind w:right="113"/>
              <w:jc w:val="right"/>
              <w:rPr>
                <w:sz w:val="15"/>
                <w:szCs w:val="15"/>
              </w:rPr>
            </w:pPr>
            <w:r w:rsidRPr="00B93EE1">
              <w:rPr>
                <w:sz w:val="15"/>
                <w:szCs w:val="15"/>
              </w:rPr>
              <w:t>3,974</w:t>
            </w:r>
          </w:p>
        </w:tc>
        <w:tc>
          <w:tcPr>
            <w:tcW w:w="965" w:type="dxa"/>
            <w:noWrap/>
            <w:hideMark/>
          </w:tcPr>
          <w:p w14:paraId="46C5320E" w14:textId="77777777" w:rsidR="00120717" w:rsidRPr="00B93EE1" w:rsidRDefault="00120717" w:rsidP="00712D42">
            <w:pPr>
              <w:ind w:right="113"/>
              <w:jc w:val="right"/>
              <w:rPr>
                <w:sz w:val="15"/>
                <w:szCs w:val="15"/>
              </w:rPr>
            </w:pPr>
            <w:r w:rsidRPr="00B93EE1">
              <w:rPr>
                <w:sz w:val="15"/>
                <w:szCs w:val="15"/>
              </w:rPr>
              <w:t>-2,978</w:t>
            </w:r>
          </w:p>
        </w:tc>
      </w:tr>
      <w:tr w:rsidR="00120717" w:rsidRPr="00B93EE1" w14:paraId="414B4823" w14:textId="77777777" w:rsidTr="00712D42">
        <w:tc>
          <w:tcPr>
            <w:tcW w:w="2263" w:type="dxa"/>
            <w:noWrap/>
            <w:hideMark/>
          </w:tcPr>
          <w:p w14:paraId="19884175" w14:textId="77777777" w:rsidR="00120717" w:rsidRPr="00B93EE1" w:rsidRDefault="00120717" w:rsidP="00712D42">
            <w:pPr>
              <w:ind w:left="340"/>
              <w:jc w:val="left"/>
              <w:rPr>
                <w:sz w:val="15"/>
                <w:szCs w:val="15"/>
              </w:rPr>
            </w:pPr>
            <w:r w:rsidRPr="00B93EE1">
              <w:rPr>
                <w:sz w:val="15"/>
                <w:szCs w:val="15"/>
              </w:rPr>
              <w:t>Credit</w:t>
            </w:r>
          </w:p>
        </w:tc>
        <w:tc>
          <w:tcPr>
            <w:tcW w:w="964" w:type="dxa"/>
            <w:noWrap/>
            <w:hideMark/>
          </w:tcPr>
          <w:p w14:paraId="1B43E4BF" w14:textId="77777777" w:rsidR="00120717" w:rsidRPr="00B93EE1" w:rsidRDefault="00120717" w:rsidP="00712D42">
            <w:pPr>
              <w:ind w:right="113"/>
              <w:jc w:val="right"/>
              <w:rPr>
                <w:sz w:val="15"/>
                <w:szCs w:val="15"/>
              </w:rPr>
            </w:pPr>
            <w:r w:rsidRPr="00B93EE1">
              <w:rPr>
                <w:sz w:val="15"/>
                <w:szCs w:val="15"/>
              </w:rPr>
              <w:t>18,694</w:t>
            </w:r>
          </w:p>
        </w:tc>
        <w:tc>
          <w:tcPr>
            <w:tcW w:w="965" w:type="dxa"/>
            <w:noWrap/>
            <w:hideMark/>
          </w:tcPr>
          <w:p w14:paraId="16AB328E" w14:textId="77777777" w:rsidR="00120717" w:rsidRPr="00B93EE1" w:rsidRDefault="00120717" w:rsidP="00712D42">
            <w:pPr>
              <w:ind w:right="113"/>
              <w:jc w:val="right"/>
              <w:rPr>
                <w:sz w:val="15"/>
                <w:szCs w:val="15"/>
              </w:rPr>
            </w:pPr>
            <w:r w:rsidRPr="00B93EE1">
              <w:rPr>
                <w:sz w:val="15"/>
                <w:szCs w:val="15"/>
              </w:rPr>
              <w:t>22,400</w:t>
            </w:r>
          </w:p>
        </w:tc>
        <w:tc>
          <w:tcPr>
            <w:tcW w:w="965" w:type="dxa"/>
            <w:noWrap/>
            <w:hideMark/>
          </w:tcPr>
          <w:p w14:paraId="40BF29C8" w14:textId="77777777" w:rsidR="00120717" w:rsidRPr="00B93EE1" w:rsidRDefault="00120717" w:rsidP="00712D42">
            <w:pPr>
              <w:ind w:right="113"/>
              <w:jc w:val="right"/>
              <w:rPr>
                <w:sz w:val="15"/>
                <w:szCs w:val="15"/>
              </w:rPr>
            </w:pPr>
            <w:r w:rsidRPr="00B93EE1">
              <w:rPr>
                <w:sz w:val="15"/>
                <w:szCs w:val="15"/>
              </w:rPr>
              <w:t>23,310</w:t>
            </w:r>
          </w:p>
        </w:tc>
        <w:tc>
          <w:tcPr>
            <w:tcW w:w="964" w:type="dxa"/>
            <w:noWrap/>
            <w:hideMark/>
          </w:tcPr>
          <w:p w14:paraId="00B2C057" w14:textId="77777777" w:rsidR="00120717" w:rsidRPr="00B93EE1" w:rsidRDefault="00120717" w:rsidP="00712D42">
            <w:pPr>
              <w:ind w:right="113"/>
              <w:jc w:val="right"/>
              <w:rPr>
                <w:sz w:val="15"/>
                <w:szCs w:val="15"/>
              </w:rPr>
            </w:pPr>
            <w:r w:rsidRPr="00B93EE1">
              <w:rPr>
                <w:sz w:val="15"/>
                <w:szCs w:val="15"/>
              </w:rPr>
              <w:t>25,261</w:t>
            </w:r>
          </w:p>
        </w:tc>
        <w:tc>
          <w:tcPr>
            <w:tcW w:w="965" w:type="dxa"/>
            <w:noWrap/>
            <w:hideMark/>
          </w:tcPr>
          <w:p w14:paraId="6489858C" w14:textId="77777777" w:rsidR="00120717" w:rsidRPr="00B93EE1" w:rsidRDefault="00120717" w:rsidP="00712D42">
            <w:pPr>
              <w:ind w:right="113"/>
              <w:jc w:val="right"/>
              <w:rPr>
                <w:sz w:val="15"/>
                <w:szCs w:val="15"/>
              </w:rPr>
            </w:pPr>
            <w:r w:rsidRPr="00B93EE1">
              <w:rPr>
                <w:sz w:val="15"/>
                <w:szCs w:val="15"/>
              </w:rPr>
              <w:t>26,556</w:t>
            </w:r>
          </w:p>
        </w:tc>
        <w:tc>
          <w:tcPr>
            <w:tcW w:w="965" w:type="dxa"/>
            <w:noWrap/>
            <w:hideMark/>
          </w:tcPr>
          <w:p w14:paraId="0AD531B1" w14:textId="77777777" w:rsidR="00120717" w:rsidRPr="00B93EE1" w:rsidRDefault="00120717" w:rsidP="00712D42">
            <w:pPr>
              <w:ind w:right="113"/>
              <w:jc w:val="right"/>
              <w:rPr>
                <w:sz w:val="15"/>
                <w:szCs w:val="15"/>
              </w:rPr>
            </w:pPr>
            <w:r w:rsidRPr="00B93EE1">
              <w:rPr>
                <w:sz w:val="15"/>
                <w:szCs w:val="15"/>
              </w:rPr>
              <w:t>27,588</w:t>
            </w:r>
          </w:p>
        </w:tc>
        <w:tc>
          <w:tcPr>
            <w:tcW w:w="965" w:type="dxa"/>
            <w:noWrap/>
            <w:hideMark/>
          </w:tcPr>
          <w:p w14:paraId="2FE00C79" w14:textId="77777777" w:rsidR="00120717" w:rsidRPr="00B93EE1" w:rsidRDefault="00120717" w:rsidP="00712D42">
            <w:pPr>
              <w:ind w:right="113"/>
              <w:jc w:val="right"/>
              <w:rPr>
                <w:sz w:val="15"/>
                <w:szCs w:val="15"/>
              </w:rPr>
            </w:pPr>
            <w:r w:rsidRPr="00B93EE1">
              <w:rPr>
                <w:sz w:val="15"/>
                <w:szCs w:val="15"/>
              </w:rPr>
              <w:t>13,053</w:t>
            </w:r>
          </w:p>
        </w:tc>
      </w:tr>
      <w:tr w:rsidR="00120717" w:rsidRPr="00B93EE1" w14:paraId="5D0D91F6"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001B39D1" w14:textId="77777777" w:rsidR="00120717" w:rsidRPr="00B93EE1" w:rsidRDefault="00120717" w:rsidP="00712D42">
            <w:pPr>
              <w:ind w:left="340"/>
              <w:jc w:val="left"/>
              <w:rPr>
                <w:sz w:val="15"/>
                <w:szCs w:val="15"/>
              </w:rPr>
            </w:pPr>
            <w:r w:rsidRPr="00B93EE1">
              <w:rPr>
                <w:sz w:val="15"/>
                <w:szCs w:val="15"/>
              </w:rPr>
              <w:t>Debit</w:t>
            </w:r>
          </w:p>
        </w:tc>
        <w:tc>
          <w:tcPr>
            <w:tcW w:w="964" w:type="dxa"/>
            <w:noWrap/>
            <w:hideMark/>
          </w:tcPr>
          <w:p w14:paraId="2F85A4E6" w14:textId="77777777" w:rsidR="00120717" w:rsidRPr="00B93EE1" w:rsidRDefault="00120717" w:rsidP="00712D42">
            <w:pPr>
              <w:ind w:right="113"/>
              <w:jc w:val="right"/>
              <w:rPr>
                <w:sz w:val="15"/>
                <w:szCs w:val="15"/>
              </w:rPr>
            </w:pPr>
            <w:r w:rsidRPr="00B93EE1">
              <w:rPr>
                <w:sz w:val="15"/>
                <w:szCs w:val="15"/>
              </w:rPr>
              <w:t>16,298</w:t>
            </w:r>
          </w:p>
        </w:tc>
        <w:tc>
          <w:tcPr>
            <w:tcW w:w="965" w:type="dxa"/>
            <w:noWrap/>
            <w:hideMark/>
          </w:tcPr>
          <w:p w14:paraId="3513D835" w14:textId="77777777" w:rsidR="00120717" w:rsidRPr="00B93EE1" w:rsidRDefault="00120717" w:rsidP="00712D42">
            <w:pPr>
              <w:ind w:right="113"/>
              <w:jc w:val="right"/>
              <w:rPr>
                <w:sz w:val="15"/>
                <w:szCs w:val="15"/>
              </w:rPr>
            </w:pPr>
            <w:r w:rsidRPr="00B93EE1">
              <w:rPr>
                <w:sz w:val="15"/>
                <w:szCs w:val="15"/>
              </w:rPr>
              <w:t>17,469</w:t>
            </w:r>
          </w:p>
        </w:tc>
        <w:tc>
          <w:tcPr>
            <w:tcW w:w="965" w:type="dxa"/>
            <w:noWrap/>
            <w:hideMark/>
          </w:tcPr>
          <w:p w14:paraId="555A4A83" w14:textId="77777777" w:rsidR="00120717" w:rsidRPr="00B93EE1" w:rsidRDefault="00120717" w:rsidP="00712D42">
            <w:pPr>
              <w:ind w:right="113"/>
              <w:jc w:val="right"/>
              <w:rPr>
                <w:sz w:val="15"/>
                <w:szCs w:val="15"/>
              </w:rPr>
            </w:pPr>
            <w:r w:rsidRPr="00B93EE1">
              <w:rPr>
                <w:sz w:val="15"/>
                <w:szCs w:val="15"/>
              </w:rPr>
              <w:t>18,292</w:t>
            </w:r>
          </w:p>
        </w:tc>
        <w:tc>
          <w:tcPr>
            <w:tcW w:w="964" w:type="dxa"/>
            <w:noWrap/>
            <w:hideMark/>
          </w:tcPr>
          <w:p w14:paraId="03E95497" w14:textId="77777777" w:rsidR="00120717" w:rsidRPr="00B93EE1" w:rsidRDefault="00120717" w:rsidP="00712D42">
            <w:pPr>
              <w:ind w:right="113"/>
              <w:jc w:val="right"/>
              <w:rPr>
                <w:sz w:val="15"/>
                <w:szCs w:val="15"/>
              </w:rPr>
            </w:pPr>
            <w:r w:rsidRPr="00B93EE1">
              <w:rPr>
                <w:sz w:val="15"/>
                <w:szCs w:val="15"/>
              </w:rPr>
              <w:t>19,733</w:t>
            </w:r>
          </w:p>
        </w:tc>
        <w:tc>
          <w:tcPr>
            <w:tcW w:w="965" w:type="dxa"/>
            <w:noWrap/>
            <w:hideMark/>
          </w:tcPr>
          <w:p w14:paraId="295EE5E5" w14:textId="77777777" w:rsidR="00120717" w:rsidRPr="00B93EE1" w:rsidRDefault="00120717" w:rsidP="00712D42">
            <w:pPr>
              <w:ind w:right="113"/>
              <w:jc w:val="right"/>
              <w:rPr>
                <w:sz w:val="15"/>
                <w:szCs w:val="15"/>
              </w:rPr>
            </w:pPr>
            <w:r w:rsidRPr="00B93EE1">
              <w:rPr>
                <w:sz w:val="15"/>
                <w:szCs w:val="15"/>
              </w:rPr>
              <w:t>22,222</w:t>
            </w:r>
          </w:p>
        </w:tc>
        <w:tc>
          <w:tcPr>
            <w:tcW w:w="965" w:type="dxa"/>
            <w:noWrap/>
            <w:hideMark/>
          </w:tcPr>
          <w:p w14:paraId="38A64F25" w14:textId="77777777" w:rsidR="00120717" w:rsidRPr="00B93EE1" w:rsidRDefault="00120717" w:rsidP="00712D42">
            <w:pPr>
              <w:ind w:right="113"/>
              <w:jc w:val="right"/>
              <w:rPr>
                <w:sz w:val="15"/>
                <w:szCs w:val="15"/>
              </w:rPr>
            </w:pPr>
            <w:r w:rsidRPr="00B93EE1">
              <w:rPr>
                <w:sz w:val="15"/>
                <w:szCs w:val="15"/>
              </w:rPr>
              <w:t>23,613</w:t>
            </w:r>
          </w:p>
        </w:tc>
        <w:tc>
          <w:tcPr>
            <w:tcW w:w="965" w:type="dxa"/>
            <w:noWrap/>
            <w:hideMark/>
          </w:tcPr>
          <w:p w14:paraId="5F3706D2" w14:textId="77777777" w:rsidR="00120717" w:rsidRPr="00B93EE1" w:rsidRDefault="00120717" w:rsidP="00712D42">
            <w:pPr>
              <w:ind w:right="113"/>
              <w:jc w:val="right"/>
              <w:rPr>
                <w:sz w:val="15"/>
                <w:szCs w:val="15"/>
              </w:rPr>
            </w:pPr>
            <w:r w:rsidRPr="00B93EE1">
              <w:rPr>
                <w:sz w:val="15"/>
                <w:szCs w:val="15"/>
              </w:rPr>
              <w:t>16,031</w:t>
            </w:r>
          </w:p>
        </w:tc>
      </w:tr>
      <w:tr w:rsidR="00120717" w:rsidRPr="00B93EE1" w14:paraId="73A304D4" w14:textId="77777777" w:rsidTr="00712D42">
        <w:tc>
          <w:tcPr>
            <w:tcW w:w="2263" w:type="dxa"/>
            <w:noWrap/>
            <w:hideMark/>
          </w:tcPr>
          <w:p w14:paraId="6CA564E1" w14:textId="77777777" w:rsidR="00120717" w:rsidRPr="00B93EE1" w:rsidRDefault="00120717" w:rsidP="00712D42">
            <w:pPr>
              <w:jc w:val="left"/>
              <w:rPr>
                <w:sz w:val="15"/>
                <w:szCs w:val="15"/>
              </w:rPr>
            </w:pPr>
            <w:r w:rsidRPr="00B93EE1">
              <w:rPr>
                <w:sz w:val="15"/>
                <w:szCs w:val="15"/>
              </w:rPr>
              <w:t>Primary income</w:t>
            </w:r>
          </w:p>
        </w:tc>
        <w:tc>
          <w:tcPr>
            <w:tcW w:w="964" w:type="dxa"/>
            <w:noWrap/>
            <w:hideMark/>
          </w:tcPr>
          <w:p w14:paraId="201BF5C4" w14:textId="77777777" w:rsidR="00120717" w:rsidRPr="00B93EE1" w:rsidRDefault="00120717" w:rsidP="00712D42">
            <w:pPr>
              <w:ind w:right="113"/>
              <w:jc w:val="right"/>
              <w:rPr>
                <w:sz w:val="15"/>
                <w:szCs w:val="15"/>
              </w:rPr>
            </w:pPr>
            <w:r w:rsidRPr="00B93EE1">
              <w:rPr>
                <w:sz w:val="15"/>
                <w:szCs w:val="15"/>
              </w:rPr>
              <w:t>-9,774</w:t>
            </w:r>
          </w:p>
        </w:tc>
        <w:tc>
          <w:tcPr>
            <w:tcW w:w="965" w:type="dxa"/>
            <w:noWrap/>
            <w:hideMark/>
          </w:tcPr>
          <w:p w14:paraId="6BB01493" w14:textId="77777777" w:rsidR="00120717" w:rsidRPr="00B93EE1" w:rsidRDefault="00120717" w:rsidP="00712D42">
            <w:pPr>
              <w:ind w:right="113"/>
              <w:jc w:val="right"/>
              <w:rPr>
                <w:sz w:val="15"/>
                <w:szCs w:val="15"/>
              </w:rPr>
            </w:pPr>
            <w:r w:rsidRPr="00B93EE1">
              <w:rPr>
                <w:sz w:val="15"/>
                <w:szCs w:val="15"/>
              </w:rPr>
              <w:t>-8,471</w:t>
            </w:r>
          </w:p>
        </w:tc>
        <w:tc>
          <w:tcPr>
            <w:tcW w:w="965" w:type="dxa"/>
            <w:noWrap/>
            <w:hideMark/>
          </w:tcPr>
          <w:p w14:paraId="5D124A54" w14:textId="77777777" w:rsidR="00120717" w:rsidRPr="00B93EE1" w:rsidRDefault="00120717" w:rsidP="00712D42">
            <w:pPr>
              <w:ind w:right="113"/>
              <w:jc w:val="right"/>
              <w:rPr>
                <w:sz w:val="15"/>
                <w:szCs w:val="15"/>
              </w:rPr>
            </w:pPr>
            <w:r w:rsidRPr="00B93EE1">
              <w:rPr>
                <w:sz w:val="15"/>
                <w:szCs w:val="15"/>
              </w:rPr>
              <w:t>-8,738</w:t>
            </w:r>
          </w:p>
        </w:tc>
        <w:tc>
          <w:tcPr>
            <w:tcW w:w="964" w:type="dxa"/>
            <w:noWrap/>
            <w:hideMark/>
          </w:tcPr>
          <w:p w14:paraId="21BA6D55" w14:textId="77777777" w:rsidR="00120717" w:rsidRPr="00B93EE1" w:rsidRDefault="00120717" w:rsidP="00712D42">
            <w:pPr>
              <w:ind w:right="113"/>
              <w:jc w:val="right"/>
              <w:rPr>
                <w:sz w:val="15"/>
                <w:szCs w:val="15"/>
              </w:rPr>
            </w:pPr>
            <w:r w:rsidRPr="00B93EE1">
              <w:rPr>
                <w:sz w:val="15"/>
                <w:szCs w:val="15"/>
              </w:rPr>
              <w:t>-10,927</w:t>
            </w:r>
          </w:p>
        </w:tc>
        <w:tc>
          <w:tcPr>
            <w:tcW w:w="965" w:type="dxa"/>
            <w:noWrap/>
            <w:hideMark/>
          </w:tcPr>
          <w:p w14:paraId="0801102D" w14:textId="77777777" w:rsidR="00120717" w:rsidRPr="00B93EE1" w:rsidRDefault="00120717" w:rsidP="00712D42">
            <w:pPr>
              <w:ind w:right="113"/>
              <w:jc w:val="right"/>
              <w:rPr>
                <w:sz w:val="15"/>
                <w:szCs w:val="15"/>
              </w:rPr>
            </w:pPr>
            <w:r w:rsidRPr="00B93EE1">
              <w:rPr>
                <w:sz w:val="15"/>
                <w:szCs w:val="15"/>
              </w:rPr>
              <w:t>-11,057</w:t>
            </w:r>
          </w:p>
        </w:tc>
        <w:tc>
          <w:tcPr>
            <w:tcW w:w="965" w:type="dxa"/>
            <w:noWrap/>
            <w:hideMark/>
          </w:tcPr>
          <w:p w14:paraId="2BD64DF7" w14:textId="77777777" w:rsidR="00120717" w:rsidRPr="00B93EE1" w:rsidRDefault="00120717" w:rsidP="00712D42">
            <w:pPr>
              <w:ind w:right="113"/>
              <w:jc w:val="right"/>
              <w:rPr>
                <w:sz w:val="15"/>
                <w:szCs w:val="15"/>
              </w:rPr>
            </w:pPr>
            <w:r w:rsidRPr="00B93EE1">
              <w:rPr>
                <w:sz w:val="15"/>
                <w:szCs w:val="15"/>
              </w:rPr>
              <w:t>-8,009</w:t>
            </w:r>
          </w:p>
        </w:tc>
        <w:tc>
          <w:tcPr>
            <w:tcW w:w="965" w:type="dxa"/>
            <w:noWrap/>
            <w:hideMark/>
          </w:tcPr>
          <w:p w14:paraId="5779B85F" w14:textId="77777777" w:rsidR="00120717" w:rsidRPr="00B93EE1" w:rsidRDefault="00120717" w:rsidP="00712D42">
            <w:pPr>
              <w:ind w:right="113"/>
              <w:jc w:val="right"/>
              <w:rPr>
                <w:sz w:val="15"/>
                <w:szCs w:val="15"/>
              </w:rPr>
            </w:pPr>
            <w:r w:rsidRPr="00B93EE1">
              <w:rPr>
                <w:sz w:val="15"/>
                <w:szCs w:val="15"/>
              </w:rPr>
              <w:t>-5,615</w:t>
            </w:r>
          </w:p>
        </w:tc>
      </w:tr>
      <w:tr w:rsidR="00120717" w:rsidRPr="00B93EE1" w14:paraId="0FE3F676"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4FFD1D92" w14:textId="77777777" w:rsidR="00120717" w:rsidRPr="00B93EE1" w:rsidRDefault="00120717" w:rsidP="00712D42">
            <w:pPr>
              <w:ind w:left="170"/>
              <w:jc w:val="left"/>
              <w:rPr>
                <w:sz w:val="15"/>
                <w:szCs w:val="15"/>
              </w:rPr>
            </w:pPr>
            <w:r w:rsidRPr="00B93EE1">
              <w:rPr>
                <w:sz w:val="15"/>
                <w:szCs w:val="15"/>
              </w:rPr>
              <w:t>Credit</w:t>
            </w:r>
          </w:p>
        </w:tc>
        <w:tc>
          <w:tcPr>
            <w:tcW w:w="964" w:type="dxa"/>
            <w:noWrap/>
            <w:hideMark/>
          </w:tcPr>
          <w:p w14:paraId="3C643AE3" w14:textId="77777777" w:rsidR="00120717" w:rsidRPr="00B93EE1" w:rsidRDefault="00120717" w:rsidP="00712D42">
            <w:pPr>
              <w:ind w:right="113"/>
              <w:jc w:val="right"/>
              <w:rPr>
                <w:sz w:val="15"/>
                <w:szCs w:val="15"/>
              </w:rPr>
            </w:pPr>
            <w:r w:rsidRPr="00B93EE1">
              <w:rPr>
                <w:sz w:val="15"/>
                <w:szCs w:val="15"/>
              </w:rPr>
              <w:t>7,209</w:t>
            </w:r>
          </w:p>
        </w:tc>
        <w:tc>
          <w:tcPr>
            <w:tcW w:w="965" w:type="dxa"/>
            <w:noWrap/>
            <w:hideMark/>
          </w:tcPr>
          <w:p w14:paraId="6C33EFED" w14:textId="77777777" w:rsidR="00120717" w:rsidRPr="00B93EE1" w:rsidRDefault="00120717" w:rsidP="00712D42">
            <w:pPr>
              <w:ind w:right="113"/>
              <w:jc w:val="right"/>
              <w:rPr>
                <w:sz w:val="15"/>
                <w:szCs w:val="15"/>
              </w:rPr>
            </w:pPr>
            <w:r w:rsidRPr="00B93EE1">
              <w:rPr>
                <w:sz w:val="15"/>
                <w:szCs w:val="15"/>
              </w:rPr>
              <w:t>8,109</w:t>
            </w:r>
          </w:p>
        </w:tc>
        <w:tc>
          <w:tcPr>
            <w:tcW w:w="965" w:type="dxa"/>
            <w:noWrap/>
            <w:hideMark/>
          </w:tcPr>
          <w:p w14:paraId="1F8852A8" w14:textId="77777777" w:rsidR="00120717" w:rsidRPr="00B93EE1" w:rsidRDefault="00120717" w:rsidP="00712D42">
            <w:pPr>
              <w:ind w:right="113"/>
              <w:jc w:val="right"/>
              <w:rPr>
                <w:sz w:val="15"/>
                <w:szCs w:val="15"/>
              </w:rPr>
            </w:pPr>
            <w:r w:rsidRPr="00B93EE1">
              <w:rPr>
                <w:sz w:val="15"/>
                <w:szCs w:val="15"/>
              </w:rPr>
              <w:t>8,274</w:t>
            </w:r>
          </w:p>
        </w:tc>
        <w:tc>
          <w:tcPr>
            <w:tcW w:w="964" w:type="dxa"/>
            <w:noWrap/>
            <w:hideMark/>
          </w:tcPr>
          <w:p w14:paraId="4BD7BEBD" w14:textId="77777777" w:rsidR="00120717" w:rsidRPr="00B93EE1" w:rsidRDefault="00120717" w:rsidP="00712D42">
            <w:pPr>
              <w:ind w:right="113"/>
              <w:jc w:val="right"/>
              <w:rPr>
                <w:sz w:val="15"/>
                <w:szCs w:val="15"/>
              </w:rPr>
            </w:pPr>
            <w:r w:rsidRPr="00B93EE1">
              <w:rPr>
                <w:sz w:val="15"/>
                <w:szCs w:val="15"/>
              </w:rPr>
              <w:t>8,425</w:t>
            </w:r>
          </w:p>
        </w:tc>
        <w:tc>
          <w:tcPr>
            <w:tcW w:w="965" w:type="dxa"/>
            <w:noWrap/>
            <w:hideMark/>
          </w:tcPr>
          <w:p w14:paraId="2EBD2BFB" w14:textId="77777777" w:rsidR="00120717" w:rsidRPr="00B93EE1" w:rsidRDefault="00120717" w:rsidP="00712D42">
            <w:pPr>
              <w:ind w:right="113"/>
              <w:jc w:val="right"/>
              <w:rPr>
                <w:sz w:val="15"/>
                <w:szCs w:val="15"/>
              </w:rPr>
            </w:pPr>
            <w:r w:rsidRPr="00B93EE1">
              <w:rPr>
                <w:sz w:val="15"/>
                <w:szCs w:val="15"/>
              </w:rPr>
              <w:t>9,232</w:t>
            </w:r>
          </w:p>
        </w:tc>
        <w:tc>
          <w:tcPr>
            <w:tcW w:w="965" w:type="dxa"/>
            <w:noWrap/>
            <w:hideMark/>
          </w:tcPr>
          <w:p w14:paraId="2A4D156D" w14:textId="77777777" w:rsidR="00120717" w:rsidRPr="00B93EE1" w:rsidRDefault="00120717" w:rsidP="00712D42">
            <w:pPr>
              <w:ind w:right="113"/>
              <w:jc w:val="right"/>
              <w:rPr>
                <w:sz w:val="15"/>
                <w:szCs w:val="15"/>
              </w:rPr>
            </w:pPr>
            <w:r w:rsidRPr="00B93EE1">
              <w:rPr>
                <w:sz w:val="15"/>
                <w:szCs w:val="15"/>
              </w:rPr>
              <w:t>8,715</w:t>
            </w:r>
          </w:p>
        </w:tc>
        <w:tc>
          <w:tcPr>
            <w:tcW w:w="965" w:type="dxa"/>
            <w:noWrap/>
            <w:hideMark/>
          </w:tcPr>
          <w:p w14:paraId="6A3BB6E2" w14:textId="77777777" w:rsidR="00120717" w:rsidRPr="00B93EE1" w:rsidRDefault="00120717" w:rsidP="00712D42">
            <w:pPr>
              <w:ind w:right="113"/>
              <w:jc w:val="right"/>
              <w:rPr>
                <w:sz w:val="15"/>
                <w:szCs w:val="15"/>
              </w:rPr>
            </w:pPr>
            <w:r w:rsidRPr="00B93EE1">
              <w:rPr>
                <w:sz w:val="15"/>
                <w:szCs w:val="15"/>
              </w:rPr>
              <w:t>9,159</w:t>
            </w:r>
          </w:p>
        </w:tc>
      </w:tr>
      <w:tr w:rsidR="00120717" w:rsidRPr="00B93EE1" w14:paraId="512089AE" w14:textId="77777777" w:rsidTr="00712D42">
        <w:tc>
          <w:tcPr>
            <w:tcW w:w="2263" w:type="dxa"/>
            <w:noWrap/>
            <w:hideMark/>
          </w:tcPr>
          <w:p w14:paraId="3772D819" w14:textId="77777777" w:rsidR="00120717" w:rsidRPr="00B93EE1" w:rsidRDefault="00120717" w:rsidP="00712D42">
            <w:pPr>
              <w:ind w:left="340"/>
              <w:jc w:val="left"/>
              <w:rPr>
                <w:sz w:val="15"/>
                <w:szCs w:val="15"/>
              </w:rPr>
            </w:pPr>
            <w:r w:rsidRPr="00B93EE1">
              <w:rPr>
                <w:sz w:val="15"/>
                <w:szCs w:val="15"/>
              </w:rPr>
              <w:t>Investment income</w:t>
            </w:r>
          </w:p>
        </w:tc>
        <w:tc>
          <w:tcPr>
            <w:tcW w:w="964" w:type="dxa"/>
            <w:noWrap/>
            <w:hideMark/>
          </w:tcPr>
          <w:p w14:paraId="4BD8F8A5" w14:textId="77777777" w:rsidR="00120717" w:rsidRPr="00B93EE1" w:rsidRDefault="00120717" w:rsidP="00712D42">
            <w:pPr>
              <w:ind w:right="113"/>
              <w:jc w:val="right"/>
              <w:rPr>
                <w:sz w:val="15"/>
                <w:szCs w:val="15"/>
              </w:rPr>
            </w:pPr>
            <w:r w:rsidRPr="00B93EE1">
              <w:rPr>
                <w:sz w:val="15"/>
                <w:szCs w:val="15"/>
              </w:rPr>
              <w:t>7,209</w:t>
            </w:r>
          </w:p>
        </w:tc>
        <w:tc>
          <w:tcPr>
            <w:tcW w:w="965" w:type="dxa"/>
            <w:noWrap/>
            <w:hideMark/>
          </w:tcPr>
          <w:p w14:paraId="5DC7A94E" w14:textId="77777777" w:rsidR="00120717" w:rsidRPr="00B93EE1" w:rsidRDefault="00120717" w:rsidP="00712D42">
            <w:pPr>
              <w:ind w:right="113"/>
              <w:jc w:val="right"/>
              <w:rPr>
                <w:sz w:val="15"/>
                <w:szCs w:val="15"/>
              </w:rPr>
            </w:pPr>
            <w:r w:rsidRPr="00B93EE1">
              <w:rPr>
                <w:sz w:val="15"/>
                <w:szCs w:val="15"/>
              </w:rPr>
              <w:t>8,109</w:t>
            </w:r>
          </w:p>
        </w:tc>
        <w:tc>
          <w:tcPr>
            <w:tcW w:w="965" w:type="dxa"/>
            <w:noWrap/>
            <w:hideMark/>
          </w:tcPr>
          <w:p w14:paraId="4FB70D98" w14:textId="77777777" w:rsidR="00120717" w:rsidRPr="00B93EE1" w:rsidRDefault="00120717" w:rsidP="00712D42">
            <w:pPr>
              <w:ind w:right="113"/>
              <w:jc w:val="right"/>
              <w:rPr>
                <w:sz w:val="15"/>
                <w:szCs w:val="15"/>
              </w:rPr>
            </w:pPr>
            <w:r w:rsidRPr="00B93EE1">
              <w:rPr>
                <w:sz w:val="15"/>
                <w:szCs w:val="15"/>
              </w:rPr>
              <w:t>8,274</w:t>
            </w:r>
          </w:p>
        </w:tc>
        <w:tc>
          <w:tcPr>
            <w:tcW w:w="964" w:type="dxa"/>
            <w:noWrap/>
            <w:hideMark/>
          </w:tcPr>
          <w:p w14:paraId="3C916E84" w14:textId="77777777" w:rsidR="00120717" w:rsidRPr="00B93EE1" w:rsidRDefault="00120717" w:rsidP="00712D42">
            <w:pPr>
              <w:ind w:right="113"/>
              <w:jc w:val="right"/>
              <w:rPr>
                <w:sz w:val="15"/>
                <w:szCs w:val="15"/>
              </w:rPr>
            </w:pPr>
            <w:r w:rsidRPr="00B93EE1">
              <w:rPr>
                <w:sz w:val="15"/>
                <w:szCs w:val="15"/>
              </w:rPr>
              <w:t>8,425</w:t>
            </w:r>
          </w:p>
        </w:tc>
        <w:tc>
          <w:tcPr>
            <w:tcW w:w="965" w:type="dxa"/>
            <w:noWrap/>
            <w:hideMark/>
          </w:tcPr>
          <w:p w14:paraId="32497FD1" w14:textId="77777777" w:rsidR="00120717" w:rsidRPr="00B93EE1" w:rsidRDefault="00120717" w:rsidP="00712D42">
            <w:pPr>
              <w:ind w:right="113"/>
              <w:jc w:val="right"/>
              <w:rPr>
                <w:sz w:val="15"/>
                <w:szCs w:val="15"/>
              </w:rPr>
            </w:pPr>
            <w:r w:rsidRPr="00B93EE1">
              <w:rPr>
                <w:sz w:val="15"/>
                <w:szCs w:val="15"/>
              </w:rPr>
              <w:t>9,232</w:t>
            </w:r>
          </w:p>
        </w:tc>
        <w:tc>
          <w:tcPr>
            <w:tcW w:w="965" w:type="dxa"/>
            <w:noWrap/>
            <w:hideMark/>
          </w:tcPr>
          <w:p w14:paraId="48B941CD" w14:textId="77777777" w:rsidR="00120717" w:rsidRPr="00B93EE1" w:rsidRDefault="00120717" w:rsidP="00712D42">
            <w:pPr>
              <w:ind w:right="113"/>
              <w:jc w:val="right"/>
              <w:rPr>
                <w:sz w:val="15"/>
                <w:szCs w:val="15"/>
              </w:rPr>
            </w:pPr>
            <w:r w:rsidRPr="00B93EE1">
              <w:rPr>
                <w:sz w:val="15"/>
                <w:szCs w:val="15"/>
              </w:rPr>
              <w:t>8,715</w:t>
            </w:r>
          </w:p>
        </w:tc>
        <w:tc>
          <w:tcPr>
            <w:tcW w:w="965" w:type="dxa"/>
            <w:noWrap/>
            <w:hideMark/>
          </w:tcPr>
          <w:p w14:paraId="061E3D41" w14:textId="77777777" w:rsidR="00120717" w:rsidRPr="00B93EE1" w:rsidRDefault="00120717" w:rsidP="00712D42">
            <w:pPr>
              <w:ind w:right="113"/>
              <w:jc w:val="right"/>
              <w:rPr>
                <w:sz w:val="15"/>
                <w:szCs w:val="15"/>
              </w:rPr>
            </w:pPr>
            <w:r w:rsidRPr="00B93EE1">
              <w:rPr>
                <w:sz w:val="15"/>
                <w:szCs w:val="15"/>
              </w:rPr>
              <w:t>9,159</w:t>
            </w:r>
          </w:p>
        </w:tc>
      </w:tr>
      <w:tr w:rsidR="00120717" w:rsidRPr="00B93EE1" w14:paraId="48BC4DCB"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684EB259" w14:textId="77777777" w:rsidR="00120717" w:rsidRPr="00B93EE1" w:rsidRDefault="00120717" w:rsidP="00712D42">
            <w:pPr>
              <w:ind w:left="170"/>
              <w:jc w:val="left"/>
              <w:rPr>
                <w:sz w:val="15"/>
                <w:szCs w:val="15"/>
              </w:rPr>
            </w:pPr>
            <w:r w:rsidRPr="00B93EE1">
              <w:rPr>
                <w:sz w:val="15"/>
                <w:szCs w:val="15"/>
              </w:rPr>
              <w:t>Debit</w:t>
            </w:r>
          </w:p>
        </w:tc>
        <w:tc>
          <w:tcPr>
            <w:tcW w:w="964" w:type="dxa"/>
            <w:noWrap/>
            <w:hideMark/>
          </w:tcPr>
          <w:p w14:paraId="2E1CEDE1" w14:textId="77777777" w:rsidR="00120717" w:rsidRPr="00B93EE1" w:rsidRDefault="00120717" w:rsidP="00712D42">
            <w:pPr>
              <w:ind w:right="113"/>
              <w:jc w:val="right"/>
              <w:rPr>
                <w:sz w:val="15"/>
                <w:szCs w:val="15"/>
              </w:rPr>
            </w:pPr>
            <w:r w:rsidRPr="00B93EE1">
              <w:rPr>
                <w:sz w:val="15"/>
                <w:szCs w:val="15"/>
              </w:rPr>
              <w:t>16,983</w:t>
            </w:r>
          </w:p>
        </w:tc>
        <w:tc>
          <w:tcPr>
            <w:tcW w:w="965" w:type="dxa"/>
            <w:noWrap/>
            <w:hideMark/>
          </w:tcPr>
          <w:p w14:paraId="26DE99A5" w14:textId="77777777" w:rsidR="00120717" w:rsidRPr="00B93EE1" w:rsidRDefault="00120717" w:rsidP="00712D42">
            <w:pPr>
              <w:ind w:right="113"/>
              <w:jc w:val="right"/>
              <w:rPr>
                <w:sz w:val="15"/>
                <w:szCs w:val="15"/>
              </w:rPr>
            </w:pPr>
            <w:r w:rsidRPr="00B93EE1">
              <w:rPr>
                <w:sz w:val="15"/>
                <w:szCs w:val="15"/>
              </w:rPr>
              <w:t>16,580</w:t>
            </w:r>
          </w:p>
        </w:tc>
        <w:tc>
          <w:tcPr>
            <w:tcW w:w="965" w:type="dxa"/>
            <w:noWrap/>
            <w:hideMark/>
          </w:tcPr>
          <w:p w14:paraId="44B91EAA" w14:textId="77777777" w:rsidR="00120717" w:rsidRPr="00B93EE1" w:rsidRDefault="00120717" w:rsidP="00712D42">
            <w:pPr>
              <w:ind w:right="113"/>
              <w:jc w:val="right"/>
              <w:rPr>
                <w:sz w:val="15"/>
                <w:szCs w:val="15"/>
              </w:rPr>
            </w:pPr>
            <w:r w:rsidRPr="00B93EE1">
              <w:rPr>
                <w:sz w:val="15"/>
                <w:szCs w:val="15"/>
              </w:rPr>
              <w:t>17,012</w:t>
            </w:r>
          </w:p>
        </w:tc>
        <w:tc>
          <w:tcPr>
            <w:tcW w:w="964" w:type="dxa"/>
            <w:noWrap/>
            <w:hideMark/>
          </w:tcPr>
          <w:p w14:paraId="0CDA43CA" w14:textId="77777777" w:rsidR="00120717" w:rsidRPr="00B93EE1" w:rsidRDefault="00120717" w:rsidP="00712D42">
            <w:pPr>
              <w:ind w:right="113"/>
              <w:jc w:val="right"/>
              <w:rPr>
                <w:sz w:val="15"/>
                <w:szCs w:val="15"/>
              </w:rPr>
            </w:pPr>
            <w:r w:rsidRPr="00B93EE1">
              <w:rPr>
                <w:sz w:val="15"/>
                <w:szCs w:val="15"/>
              </w:rPr>
              <w:t>19,352</w:t>
            </w:r>
          </w:p>
        </w:tc>
        <w:tc>
          <w:tcPr>
            <w:tcW w:w="965" w:type="dxa"/>
            <w:noWrap/>
            <w:hideMark/>
          </w:tcPr>
          <w:p w14:paraId="2C6762AB" w14:textId="77777777" w:rsidR="00120717" w:rsidRPr="00B93EE1" w:rsidRDefault="00120717" w:rsidP="00712D42">
            <w:pPr>
              <w:ind w:right="113"/>
              <w:jc w:val="right"/>
              <w:rPr>
                <w:sz w:val="15"/>
                <w:szCs w:val="15"/>
              </w:rPr>
            </w:pPr>
            <w:r w:rsidRPr="00B93EE1">
              <w:rPr>
                <w:sz w:val="15"/>
                <w:szCs w:val="15"/>
              </w:rPr>
              <w:t>20,289</w:t>
            </w:r>
          </w:p>
        </w:tc>
        <w:tc>
          <w:tcPr>
            <w:tcW w:w="965" w:type="dxa"/>
            <w:noWrap/>
            <w:hideMark/>
          </w:tcPr>
          <w:p w14:paraId="1540FC23" w14:textId="77777777" w:rsidR="00120717" w:rsidRPr="00B93EE1" w:rsidRDefault="00120717" w:rsidP="00712D42">
            <w:pPr>
              <w:ind w:right="113"/>
              <w:jc w:val="right"/>
              <w:rPr>
                <w:sz w:val="15"/>
                <w:szCs w:val="15"/>
              </w:rPr>
            </w:pPr>
            <w:r w:rsidRPr="00B93EE1">
              <w:rPr>
                <w:sz w:val="15"/>
                <w:szCs w:val="15"/>
              </w:rPr>
              <w:t>16,725</w:t>
            </w:r>
          </w:p>
        </w:tc>
        <w:tc>
          <w:tcPr>
            <w:tcW w:w="965" w:type="dxa"/>
            <w:noWrap/>
            <w:hideMark/>
          </w:tcPr>
          <w:p w14:paraId="79157F29" w14:textId="77777777" w:rsidR="00120717" w:rsidRPr="00B93EE1" w:rsidRDefault="00120717" w:rsidP="00712D42">
            <w:pPr>
              <w:ind w:right="113"/>
              <w:jc w:val="right"/>
              <w:rPr>
                <w:sz w:val="15"/>
                <w:szCs w:val="15"/>
              </w:rPr>
            </w:pPr>
            <w:r w:rsidRPr="00B93EE1">
              <w:rPr>
                <w:sz w:val="15"/>
                <w:szCs w:val="15"/>
              </w:rPr>
              <w:t>14,774</w:t>
            </w:r>
          </w:p>
        </w:tc>
      </w:tr>
      <w:tr w:rsidR="00120717" w:rsidRPr="00B93EE1" w14:paraId="35DCBE07" w14:textId="77777777" w:rsidTr="00712D42">
        <w:tc>
          <w:tcPr>
            <w:tcW w:w="2263" w:type="dxa"/>
            <w:noWrap/>
            <w:hideMark/>
          </w:tcPr>
          <w:p w14:paraId="7B012EFF" w14:textId="77777777" w:rsidR="00120717" w:rsidRPr="00B93EE1" w:rsidRDefault="00120717" w:rsidP="00712D42">
            <w:pPr>
              <w:ind w:left="340"/>
              <w:jc w:val="left"/>
              <w:rPr>
                <w:sz w:val="15"/>
                <w:szCs w:val="15"/>
              </w:rPr>
            </w:pPr>
            <w:r w:rsidRPr="00B93EE1">
              <w:rPr>
                <w:sz w:val="15"/>
                <w:szCs w:val="15"/>
              </w:rPr>
              <w:t>Investment income</w:t>
            </w:r>
          </w:p>
        </w:tc>
        <w:tc>
          <w:tcPr>
            <w:tcW w:w="964" w:type="dxa"/>
            <w:noWrap/>
            <w:hideMark/>
          </w:tcPr>
          <w:p w14:paraId="7774ED10" w14:textId="77777777" w:rsidR="00120717" w:rsidRPr="00B93EE1" w:rsidRDefault="00120717" w:rsidP="00712D42">
            <w:pPr>
              <w:ind w:right="113"/>
              <w:jc w:val="right"/>
              <w:rPr>
                <w:sz w:val="15"/>
                <w:szCs w:val="15"/>
              </w:rPr>
            </w:pPr>
            <w:r w:rsidRPr="00B93EE1">
              <w:rPr>
                <w:sz w:val="15"/>
                <w:szCs w:val="15"/>
              </w:rPr>
              <w:t>16,788</w:t>
            </w:r>
          </w:p>
        </w:tc>
        <w:tc>
          <w:tcPr>
            <w:tcW w:w="965" w:type="dxa"/>
            <w:noWrap/>
            <w:hideMark/>
          </w:tcPr>
          <w:p w14:paraId="5BB7658A" w14:textId="77777777" w:rsidR="00120717" w:rsidRPr="00B93EE1" w:rsidRDefault="00120717" w:rsidP="00712D42">
            <w:pPr>
              <w:ind w:right="113"/>
              <w:jc w:val="right"/>
              <w:rPr>
                <w:sz w:val="15"/>
                <w:szCs w:val="15"/>
              </w:rPr>
            </w:pPr>
            <w:r w:rsidRPr="00B93EE1">
              <w:rPr>
                <w:sz w:val="15"/>
                <w:szCs w:val="15"/>
              </w:rPr>
              <w:t>16,347</w:t>
            </w:r>
          </w:p>
        </w:tc>
        <w:tc>
          <w:tcPr>
            <w:tcW w:w="965" w:type="dxa"/>
            <w:noWrap/>
            <w:hideMark/>
          </w:tcPr>
          <w:p w14:paraId="25BF3A2C" w14:textId="77777777" w:rsidR="00120717" w:rsidRPr="00B93EE1" w:rsidRDefault="00120717" w:rsidP="00712D42">
            <w:pPr>
              <w:ind w:right="113"/>
              <w:jc w:val="right"/>
              <w:rPr>
                <w:sz w:val="15"/>
                <w:szCs w:val="15"/>
              </w:rPr>
            </w:pPr>
            <w:r w:rsidRPr="00B93EE1">
              <w:rPr>
                <w:sz w:val="15"/>
                <w:szCs w:val="15"/>
              </w:rPr>
              <w:t>16,752</w:t>
            </w:r>
          </w:p>
        </w:tc>
        <w:tc>
          <w:tcPr>
            <w:tcW w:w="964" w:type="dxa"/>
            <w:noWrap/>
            <w:hideMark/>
          </w:tcPr>
          <w:p w14:paraId="34277810" w14:textId="77777777" w:rsidR="00120717" w:rsidRPr="00B93EE1" w:rsidRDefault="00120717" w:rsidP="00712D42">
            <w:pPr>
              <w:ind w:right="113"/>
              <w:jc w:val="right"/>
              <w:rPr>
                <w:sz w:val="15"/>
                <w:szCs w:val="15"/>
              </w:rPr>
            </w:pPr>
            <w:r w:rsidRPr="00B93EE1">
              <w:rPr>
                <w:sz w:val="15"/>
                <w:szCs w:val="15"/>
              </w:rPr>
              <w:t>19,054</w:t>
            </w:r>
          </w:p>
        </w:tc>
        <w:tc>
          <w:tcPr>
            <w:tcW w:w="965" w:type="dxa"/>
            <w:noWrap/>
            <w:hideMark/>
          </w:tcPr>
          <w:p w14:paraId="6935BBA0" w14:textId="77777777" w:rsidR="00120717" w:rsidRPr="00B93EE1" w:rsidRDefault="00120717" w:rsidP="00712D42">
            <w:pPr>
              <w:ind w:right="113"/>
              <w:jc w:val="right"/>
              <w:rPr>
                <w:sz w:val="15"/>
                <w:szCs w:val="15"/>
              </w:rPr>
            </w:pPr>
            <w:r w:rsidRPr="00B93EE1">
              <w:rPr>
                <w:sz w:val="15"/>
                <w:szCs w:val="15"/>
              </w:rPr>
              <w:t>19,946</w:t>
            </w:r>
          </w:p>
        </w:tc>
        <w:tc>
          <w:tcPr>
            <w:tcW w:w="965" w:type="dxa"/>
            <w:noWrap/>
            <w:hideMark/>
          </w:tcPr>
          <w:p w14:paraId="4D6BE3B5" w14:textId="77777777" w:rsidR="00120717" w:rsidRPr="00B93EE1" w:rsidRDefault="00120717" w:rsidP="00712D42">
            <w:pPr>
              <w:ind w:right="113"/>
              <w:jc w:val="right"/>
              <w:rPr>
                <w:sz w:val="15"/>
                <w:szCs w:val="15"/>
              </w:rPr>
            </w:pPr>
            <w:r w:rsidRPr="00B93EE1">
              <w:rPr>
                <w:sz w:val="15"/>
                <w:szCs w:val="15"/>
              </w:rPr>
              <w:t>16,323</w:t>
            </w:r>
          </w:p>
        </w:tc>
        <w:tc>
          <w:tcPr>
            <w:tcW w:w="965" w:type="dxa"/>
            <w:noWrap/>
            <w:hideMark/>
          </w:tcPr>
          <w:p w14:paraId="3F0B76E3" w14:textId="77777777" w:rsidR="00120717" w:rsidRPr="00B93EE1" w:rsidRDefault="00120717" w:rsidP="00712D42">
            <w:pPr>
              <w:ind w:right="113"/>
              <w:jc w:val="right"/>
              <w:rPr>
                <w:sz w:val="15"/>
                <w:szCs w:val="15"/>
              </w:rPr>
            </w:pPr>
            <w:r w:rsidRPr="00B93EE1">
              <w:rPr>
                <w:sz w:val="15"/>
                <w:szCs w:val="15"/>
              </w:rPr>
              <w:t>14,377</w:t>
            </w:r>
          </w:p>
        </w:tc>
      </w:tr>
      <w:tr w:rsidR="00120717" w:rsidRPr="00B93EE1" w14:paraId="3F00A0DE"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7072EB08" w14:textId="77777777" w:rsidR="00120717" w:rsidRPr="00B93EE1" w:rsidRDefault="00120717" w:rsidP="00712D42">
            <w:pPr>
              <w:ind w:left="340"/>
              <w:jc w:val="left"/>
              <w:rPr>
                <w:sz w:val="15"/>
                <w:szCs w:val="15"/>
              </w:rPr>
            </w:pPr>
            <w:r w:rsidRPr="00B93EE1">
              <w:rPr>
                <w:sz w:val="15"/>
                <w:szCs w:val="15"/>
              </w:rPr>
              <w:t>Compensation of employees</w:t>
            </w:r>
          </w:p>
        </w:tc>
        <w:tc>
          <w:tcPr>
            <w:tcW w:w="964" w:type="dxa"/>
            <w:noWrap/>
            <w:hideMark/>
          </w:tcPr>
          <w:p w14:paraId="03AF7F9B" w14:textId="77777777" w:rsidR="00120717" w:rsidRPr="00B93EE1" w:rsidRDefault="00120717" w:rsidP="00712D42">
            <w:pPr>
              <w:ind w:right="113"/>
              <w:jc w:val="right"/>
              <w:rPr>
                <w:sz w:val="15"/>
                <w:szCs w:val="15"/>
              </w:rPr>
            </w:pPr>
            <w:r w:rsidRPr="00B93EE1">
              <w:rPr>
                <w:sz w:val="15"/>
                <w:szCs w:val="15"/>
              </w:rPr>
              <w:t>195</w:t>
            </w:r>
          </w:p>
        </w:tc>
        <w:tc>
          <w:tcPr>
            <w:tcW w:w="965" w:type="dxa"/>
            <w:noWrap/>
            <w:hideMark/>
          </w:tcPr>
          <w:p w14:paraId="7EBF0DC9" w14:textId="77777777" w:rsidR="00120717" w:rsidRPr="00B93EE1" w:rsidRDefault="00120717" w:rsidP="00712D42">
            <w:pPr>
              <w:ind w:right="113"/>
              <w:jc w:val="right"/>
              <w:rPr>
                <w:sz w:val="15"/>
                <w:szCs w:val="15"/>
              </w:rPr>
            </w:pPr>
            <w:r w:rsidRPr="00B93EE1">
              <w:rPr>
                <w:sz w:val="15"/>
                <w:szCs w:val="15"/>
              </w:rPr>
              <w:t>233</w:t>
            </w:r>
          </w:p>
        </w:tc>
        <w:tc>
          <w:tcPr>
            <w:tcW w:w="965" w:type="dxa"/>
            <w:noWrap/>
            <w:hideMark/>
          </w:tcPr>
          <w:p w14:paraId="0280C5DE" w14:textId="77777777" w:rsidR="00120717" w:rsidRPr="00B93EE1" w:rsidRDefault="00120717" w:rsidP="00712D42">
            <w:pPr>
              <w:ind w:right="113"/>
              <w:jc w:val="right"/>
              <w:rPr>
                <w:sz w:val="15"/>
                <w:szCs w:val="15"/>
              </w:rPr>
            </w:pPr>
            <w:r w:rsidRPr="00B93EE1">
              <w:rPr>
                <w:sz w:val="15"/>
                <w:szCs w:val="15"/>
              </w:rPr>
              <w:t>260</w:t>
            </w:r>
          </w:p>
        </w:tc>
        <w:tc>
          <w:tcPr>
            <w:tcW w:w="964" w:type="dxa"/>
            <w:noWrap/>
            <w:hideMark/>
          </w:tcPr>
          <w:p w14:paraId="21339437" w14:textId="77777777" w:rsidR="00120717" w:rsidRPr="00B93EE1" w:rsidRDefault="00120717" w:rsidP="00712D42">
            <w:pPr>
              <w:ind w:right="113"/>
              <w:jc w:val="right"/>
              <w:rPr>
                <w:sz w:val="15"/>
                <w:szCs w:val="15"/>
              </w:rPr>
            </w:pPr>
            <w:r w:rsidRPr="00B93EE1">
              <w:rPr>
                <w:sz w:val="15"/>
                <w:szCs w:val="15"/>
              </w:rPr>
              <w:t>298</w:t>
            </w:r>
          </w:p>
        </w:tc>
        <w:tc>
          <w:tcPr>
            <w:tcW w:w="965" w:type="dxa"/>
            <w:noWrap/>
            <w:hideMark/>
          </w:tcPr>
          <w:p w14:paraId="52C9CF28" w14:textId="77777777" w:rsidR="00120717" w:rsidRPr="00B93EE1" w:rsidRDefault="00120717" w:rsidP="00712D42">
            <w:pPr>
              <w:ind w:right="113"/>
              <w:jc w:val="right"/>
              <w:rPr>
                <w:sz w:val="15"/>
                <w:szCs w:val="15"/>
              </w:rPr>
            </w:pPr>
            <w:r w:rsidRPr="00B93EE1">
              <w:rPr>
                <w:sz w:val="15"/>
                <w:szCs w:val="15"/>
              </w:rPr>
              <w:t>343</w:t>
            </w:r>
          </w:p>
        </w:tc>
        <w:tc>
          <w:tcPr>
            <w:tcW w:w="965" w:type="dxa"/>
            <w:noWrap/>
            <w:hideMark/>
          </w:tcPr>
          <w:p w14:paraId="231D25D2" w14:textId="77777777" w:rsidR="00120717" w:rsidRPr="00B93EE1" w:rsidRDefault="00120717" w:rsidP="00712D42">
            <w:pPr>
              <w:ind w:right="113"/>
              <w:jc w:val="right"/>
              <w:rPr>
                <w:sz w:val="15"/>
                <w:szCs w:val="15"/>
              </w:rPr>
            </w:pPr>
            <w:r w:rsidRPr="00B93EE1">
              <w:rPr>
                <w:sz w:val="15"/>
                <w:szCs w:val="15"/>
              </w:rPr>
              <w:t>402</w:t>
            </w:r>
          </w:p>
        </w:tc>
        <w:tc>
          <w:tcPr>
            <w:tcW w:w="965" w:type="dxa"/>
            <w:noWrap/>
            <w:hideMark/>
          </w:tcPr>
          <w:p w14:paraId="3040BF88" w14:textId="77777777" w:rsidR="00120717" w:rsidRPr="00B93EE1" w:rsidRDefault="00120717" w:rsidP="00712D42">
            <w:pPr>
              <w:ind w:right="113"/>
              <w:jc w:val="right"/>
              <w:rPr>
                <w:sz w:val="15"/>
                <w:szCs w:val="15"/>
              </w:rPr>
            </w:pPr>
            <w:r w:rsidRPr="00B93EE1">
              <w:rPr>
                <w:sz w:val="15"/>
                <w:szCs w:val="15"/>
              </w:rPr>
              <w:t>397</w:t>
            </w:r>
          </w:p>
        </w:tc>
      </w:tr>
      <w:tr w:rsidR="00120717" w:rsidRPr="00B93EE1" w14:paraId="3962F614" w14:textId="77777777" w:rsidTr="00712D42">
        <w:tc>
          <w:tcPr>
            <w:tcW w:w="2263" w:type="dxa"/>
            <w:noWrap/>
            <w:hideMark/>
          </w:tcPr>
          <w:p w14:paraId="16284409" w14:textId="77777777" w:rsidR="00120717" w:rsidRPr="00B93EE1" w:rsidRDefault="00120717" w:rsidP="00712D42">
            <w:pPr>
              <w:jc w:val="left"/>
              <w:rPr>
                <w:sz w:val="15"/>
                <w:szCs w:val="15"/>
              </w:rPr>
            </w:pPr>
            <w:r w:rsidRPr="00B93EE1">
              <w:rPr>
                <w:sz w:val="15"/>
                <w:szCs w:val="15"/>
              </w:rPr>
              <w:t>Current transfers</w:t>
            </w:r>
          </w:p>
        </w:tc>
        <w:tc>
          <w:tcPr>
            <w:tcW w:w="964" w:type="dxa"/>
            <w:noWrap/>
            <w:hideMark/>
          </w:tcPr>
          <w:p w14:paraId="21C6C984" w14:textId="77777777" w:rsidR="00120717" w:rsidRPr="00B93EE1" w:rsidRDefault="00120717" w:rsidP="00712D42">
            <w:pPr>
              <w:ind w:right="113"/>
              <w:jc w:val="right"/>
              <w:rPr>
                <w:sz w:val="15"/>
                <w:szCs w:val="15"/>
              </w:rPr>
            </w:pPr>
            <w:r w:rsidRPr="00B93EE1">
              <w:rPr>
                <w:sz w:val="15"/>
                <w:szCs w:val="15"/>
              </w:rPr>
              <w:t>-338</w:t>
            </w:r>
          </w:p>
        </w:tc>
        <w:tc>
          <w:tcPr>
            <w:tcW w:w="965" w:type="dxa"/>
            <w:noWrap/>
            <w:hideMark/>
          </w:tcPr>
          <w:p w14:paraId="622D81ED" w14:textId="77777777" w:rsidR="00120717" w:rsidRPr="00B93EE1" w:rsidRDefault="00120717" w:rsidP="00712D42">
            <w:pPr>
              <w:ind w:right="113"/>
              <w:jc w:val="right"/>
              <w:rPr>
                <w:sz w:val="15"/>
                <w:szCs w:val="15"/>
              </w:rPr>
            </w:pPr>
            <w:r w:rsidRPr="00B93EE1">
              <w:rPr>
                <w:sz w:val="15"/>
                <w:szCs w:val="15"/>
              </w:rPr>
              <w:t>-266</w:t>
            </w:r>
          </w:p>
        </w:tc>
        <w:tc>
          <w:tcPr>
            <w:tcW w:w="965" w:type="dxa"/>
            <w:noWrap/>
            <w:hideMark/>
          </w:tcPr>
          <w:p w14:paraId="06DE4B0D" w14:textId="77777777" w:rsidR="00120717" w:rsidRPr="00B93EE1" w:rsidRDefault="00120717" w:rsidP="00712D42">
            <w:pPr>
              <w:ind w:right="113"/>
              <w:jc w:val="right"/>
              <w:rPr>
                <w:sz w:val="15"/>
                <w:szCs w:val="15"/>
              </w:rPr>
            </w:pPr>
            <w:r w:rsidRPr="00B93EE1">
              <w:rPr>
                <w:sz w:val="15"/>
                <w:szCs w:val="15"/>
              </w:rPr>
              <w:t>-193</w:t>
            </w:r>
          </w:p>
        </w:tc>
        <w:tc>
          <w:tcPr>
            <w:tcW w:w="964" w:type="dxa"/>
            <w:noWrap/>
            <w:hideMark/>
          </w:tcPr>
          <w:p w14:paraId="18F1DF0F" w14:textId="77777777" w:rsidR="00120717" w:rsidRPr="00B93EE1" w:rsidRDefault="00120717" w:rsidP="00712D42">
            <w:pPr>
              <w:ind w:right="113"/>
              <w:jc w:val="right"/>
              <w:rPr>
                <w:sz w:val="15"/>
                <w:szCs w:val="15"/>
              </w:rPr>
            </w:pPr>
            <w:r w:rsidRPr="00B93EE1">
              <w:rPr>
                <w:sz w:val="15"/>
                <w:szCs w:val="15"/>
              </w:rPr>
              <w:t>-362</w:t>
            </w:r>
          </w:p>
        </w:tc>
        <w:tc>
          <w:tcPr>
            <w:tcW w:w="965" w:type="dxa"/>
            <w:noWrap/>
            <w:hideMark/>
          </w:tcPr>
          <w:p w14:paraId="1206F1CF" w14:textId="77777777" w:rsidR="00120717" w:rsidRPr="00B93EE1" w:rsidRDefault="00120717" w:rsidP="00712D42">
            <w:pPr>
              <w:ind w:right="113"/>
              <w:jc w:val="right"/>
              <w:rPr>
                <w:sz w:val="15"/>
                <w:szCs w:val="15"/>
              </w:rPr>
            </w:pPr>
            <w:r w:rsidRPr="00B93EE1">
              <w:rPr>
                <w:sz w:val="15"/>
                <w:szCs w:val="15"/>
              </w:rPr>
              <w:t>-251</w:t>
            </w:r>
          </w:p>
        </w:tc>
        <w:tc>
          <w:tcPr>
            <w:tcW w:w="965" w:type="dxa"/>
            <w:noWrap/>
            <w:hideMark/>
          </w:tcPr>
          <w:p w14:paraId="2F773DE2" w14:textId="77777777" w:rsidR="00120717" w:rsidRPr="00B93EE1" w:rsidRDefault="00120717" w:rsidP="00712D42">
            <w:pPr>
              <w:ind w:right="113"/>
              <w:jc w:val="right"/>
              <w:rPr>
                <w:sz w:val="15"/>
                <w:szCs w:val="15"/>
              </w:rPr>
            </w:pPr>
            <w:r w:rsidRPr="00B93EE1">
              <w:rPr>
                <w:sz w:val="15"/>
                <w:szCs w:val="15"/>
              </w:rPr>
              <w:t>-564</w:t>
            </w:r>
          </w:p>
        </w:tc>
        <w:tc>
          <w:tcPr>
            <w:tcW w:w="965" w:type="dxa"/>
            <w:noWrap/>
            <w:hideMark/>
          </w:tcPr>
          <w:p w14:paraId="0C8DDCF9" w14:textId="77777777" w:rsidR="00120717" w:rsidRPr="00B93EE1" w:rsidRDefault="00120717" w:rsidP="00712D42">
            <w:pPr>
              <w:ind w:right="113"/>
              <w:jc w:val="right"/>
              <w:rPr>
                <w:sz w:val="15"/>
                <w:szCs w:val="15"/>
              </w:rPr>
            </w:pPr>
            <w:r w:rsidRPr="00B93EE1">
              <w:rPr>
                <w:sz w:val="15"/>
                <w:szCs w:val="15"/>
              </w:rPr>
              <w:t>-1,290</w:t>
            </w:r>
          </w:p>
        </w:tc>
      </w:tr>
      <w:tr w:rsidR="00120717" w:rsidRPr="00B93EE1" w14:paraId="789C692B"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24872AE5" w14:textId="77777777" w:rsidR="00120717" w:rsidRPr="00B93EE1" w:rsidRDefault="00120717" w:rsidP="00712D42">
            <w:pPr>
              <w:ind w:left="170"/>
              <w:jc w:val="left"/>
              <w:rPr>
                <w:sz w:val="15"/>
                <w:szCs w:val="15"/>
              </w:rPr>
            </w:pPr>
            <w:r w:rsidRPr="00B93EE1">
              <w:rPr>
                <w:sz w:val="15"/>
                <w:szCs w:val="15"/>
              </w:rPr>
              <w:t>Credit</w:t>
            </w:r>
          </w:p>
        </w:tc>
        <w:tc>
          <w:tcPr>
            <w:tcW w:w="964" w:type="dxa"/>
            <w:noWrap/>
            <w:hideMark/>
          </w:tcPr>
          <w:p w14:paraId="70854D8F" w14:textId="77777777" w:rsidR="00120717" w:rsidRPr="00B93EE1" w:rsidRDefault="00120717" w:rsidP="00712D42">
            <w:pPr>
              <w:ind w:right="113"/>
              <w:jc w:val="right"/>
              <w:rPr>
                <w:sz w:val="15"/>
                <w:szCs w:val="15"/>
              </w:rPr>
            </w:pPr>
            <w:r w:rsidRPr="00B93EE1">
              <w:rPr>
                <w:sz w:val="15"/>
                <w:szCs w:val="15"/>
              </w:rPr>
              <w:t>1,971</w:t>
            </w:r>
          </w:p>
        </w:tc>
        <w:tc>
          <w:tcPr>
            <w:tcW w:w="965" w:type="dxa"/>
            <w:noWrap/>
            <w:hideMark/>
          </w:tcPr>
          <w:p w14:paraId="44FD53E5" w14:textId="77777777" w:rsidR="00120717" w:rsidRPr="00B93EE1" w:rsidRDefault="00120717" w:rsidP="00712D42">
            <w:pPr>
              <w:ind w:right="113"/>
              <w:jc w:val="right"/>
              <w:rPr>
                <w:sz w:val="15"/>
                <w:szCs w:val="15"/>
              </w:rPr>
            </w:pPr>
            <w:r w:rsidRPr="00B93EE1">
              <w:rPr>
                <w:sz w:val="15"/>
                <w:szCs w:val="15"/>
              </w:rPr>
              <w:t>2,166</w:t>
            </w:r>
          </w:p>
        </w:tc>
        <w:tc>
          <w:tcPr>
            <w:tcW w:w="965" w:type="dxa"/>
            <w:noWrap/>
            <w:hideMark/>
          </w:tcPr>
          <w:p w14:paraId="4588563A" w14:textId="77777777" w:rsidR="00120717" w:rsidRPr="00B93EE1" w:rsidRDefault="00120717" w:rsidP="00712D42">
            <w:pPr>
              <w:ind w:right="113"/>
              <w:jc w:val="right"/>
              <w:rPr>
                <w:sz w:val="15"/>
                <w:szCs w:val="15"/>
              </w:rPr>
            </w:pPr>
            <w:r w:rsidRPr="00B93EE1">
              <w:rPr>
                <w:sz w:val="15"/>
                <w:szCs w:val="15"/>
              </w:rPr>
              <w:t>2,318</w:t>
            </w:r>
          </w:p>
        </w:tc>
        <w:tc>
          <w:tcPr>
            <w:tcW w:w="964" w:type="dxa"/>
            <w:noWrap/>
            <w:hideMark/>
          </w:tcPr>
          <w:p w14:paraId="1A60C757" w14:textId="77777777" w:rsidR="00120717" w:rsidRPr="00B93EE1" w:rsidRDefault="00120717" w:rsidP="00712D42">
            <w:pPr>
              <w:ind w:right="113"/>
              <w:jc w:val="right"/>
              <w:rPr>
                <w:sz w:val="15"/>
                <w:szCs w:val="15"/>
              </w:rPr>
            </w:pPr>
            <w:r w:rsidRPr="00B93EE1">
              <w:rPr>
                <w:sz w:val="15"/>
                <w:szCs w:val="15"/>
              </w:rPr>
              <w:t>2,334</w:t>
            </w:r>
          </w:p>
        </w:tc>
        <w:tc>
          <w:tcPr>
            <w:tcW w:w="965" w:type="dxa"/>
            <w:noWrap/>
            <w:hideMark/>
          </w:tcPr>
          <w:p w14:paraId="0DCC0709" w14:textId="77777777" w:rsidR="00120717" w:rsidRPr="00B93EE1" w:rsidRDefault="00120717" w:rsidP="00712D42">
            <w:pPr>
              <w:ind w:right="113"/>
              <w:jc w:val="right"/>
              <w:rPr>
                <w:sz w:val="15"/>
                <w:szCs w:val="15"/>
              </w:rPr>
            </w:pPr>
            <w:r w:rsidRPr="00B93EE1">
              <w:rPr>
                <w:sz w:val="15"/>
                <w:szCs w:val="15"/>
              </w:rPr>
              <w:t>2,758</w:t>
            </w:r>
          </w:p>
        </w:tc>
        <w:tc>
          <w:tcPr>
            <w:tcW w:w="965" w:type="dxa"/>
            <w:noWrap/>
            <w:hideMark/>
          </w:tcPr>
          <w:p w14:paraId="6736A11C" w14:textId="77777777" w:rsidR="00120717" w:rsidRPr="00B93EE1" w:rsidRDefault="00120717" w:rsidP="00712D42">
            <w:pPr>
              <w:ind w:right="113"/>
              <w:jc w:val="right"/>
              <w:rPr>
                <w:sz w:val="15"/>
                <w:szCs w:val="15"/>
              </w:rPr>
            </w:pPr>
            <w:r w:rsidRPr="00B93EE1">
              <w:rPr>
                <w:sz w:val="15"/>
                <w:szCs w:val="15"/>
              </w:rPr>
              <w:t>2,653</w:t>
            </w:r>
          </w:p>
        </w:tc>
        <w:tc>
          <w:tcPr>
            <w:tcW w:w="965" w:type="dxa"/>
            <w:noWrap/>
            <w:hideMark/>
          </w:tcPr>
          <w:p w14:paraId="35CF9BE5" w14:textId="77777777" w:rsidR="00120717" w:rsidRPr="00B93EE1" w:rsidRDefault="00120717" w:rsidP="00712D42">
            <w:pPr>
              <w:ind w:right="113"/>
              <w:jc w:val="right"/>
              <w:rPr>
                <w:sz w:val="15"/>
                <w:szCs w:val="15"/>
              </w:rPr>
            </w:pPr>
            <w:r w:rsidRPr="00B93EE1">
              <w:rPr>
                <w:sz w:val="15"/>
                <w:szCs w:val="15"/>
              </w:rPr>
              <w:t>1,665</w:t>
            </w:r>
          </w:p>
        </w:tc>
      </w:tr>
      <w:tr w:rsidR="00120717" w:rsidRPr="00B93EE1" w14:paraId="54D477E8" w14:textId="77777777" w:rsidTr="00712D42">
        <w:tc>
          <w:tcPr>
            <w:tcW w:w="2263" w:type="dxa"/>
            <w:noWrap/>
            <w:hideMark/>
          </w:tcPr>
          <w:p w14:paraId="237B93AE" w14:textId="77777777" w:rsidR="00120717" w:rsidRPr="00B93EE1" w:rsidRDefault="00120717" w:rsidP="00712D42">
            <w:pPr>
              <w:ind w:left="340"/>
              <w:jc w:val="left"/>
              <w:rPr>
                <w:sz w:val="15"/>
                <w:szCs w:val="15"/>
              </w:rPr>
            </w:pPr>
            <w:r w:rsidRPr="00B93EE1">
              <w:rPr>
                <w:sz w:val="15"/>
                <w:szCs w:val="15"/>
              </w:rPr>
              <w:t>General government</w:t>
            </w:r>
          </w:p>
        </w:tc>
        <w:tc>
          <w:tcPr>
            <w:tcW w:w="964" w:type="dxa"/>
            <w:noWrap/>
            <w:hideMark/>
          </w:tcPr>
          <w:p w14:paraId="56DD33D4" w14:textId="77777777" w:rsidR="00120717" w:rsidRPr="00B93EE1" w:rsidRDefault="00120717" w:rsidP="00712D42">
            <w:pPr>
              <w:ind w:right="113"/>
              <w:jc w:val="right"/>
              <w:rPr>
                <w:sz w:val="15"/>
                <w:szCs w:val="15"/>
              </w:rPr>
            </w:pPr>
            <w:r w:rsidRPr="00B93EE1">
              <w:rPr>
                <w:sz w:val="15"/>
                <w:szCs w:val="15"/>
              </w:rPr>
              <w:t>717</w:t>
            </w:r>
          </w:p>
        </w:tc>
        <w:tc>
          <w:tcPr>
            <w:tcW w:w="965" w:type="dxa"/>
            <w:noWrap/>
            <w:hideMark/>
          </w:tcPr>
          <w:p w14:paraId="7F1A4000" w14:textId="77777777" w:rsidR="00120717" w:rsidRPr="00B93EE1" w:rsidRDefault="00120717" w:rsidP="00712D42">
            <w:pPr>
              <w:ind w:right="113"/>
              <w:jc w:val="right"/>
              <w:rPr>
                <w:sz w:val="15"/>
                <w:szCs w:val="15"/>
              </w:rPr>
            </w:pPr>
            <w:r w:rsidRPr="00B93EE1">
              <w:rPr>
                <w:sz w:val="15"/>
                <w:szCs w:val="15"/>
              </w:rPr>
              <w:t>965</w:t>
            </w:r>
          </w:p>
        </w:tc>
        <w:tc>
          <w:tcPr>
            <w:tcW w:w="965" w:type="dxa"/>
            <w:noWrap/>
            <w:hideMark/>
          </w:tcPr>
          <w:p w14:paraId="2D164719" w14:textId="77777777" w:rsidR="00120717" w:rsidRPr="00B93EE1" w:rsidRDefault="00120717" w:rsidP="00712D42">
            <w:pPr>
              <w:ind w:right="113"/>
              <w:jc w:val="right"/>
              <w:rPr>
                <w:sz w:val="15"/>
                <w:szCs w:val="15"/>
              </w:rPr>
            </w:pPr>
            <w:r w:rsidRPr="00B93EE1">
              <w:rPr>
                <w:sz w:val="15"/>
                <w:szCs w:val="15"/>
              </w:rPr>
              <w:t>1,004</w:t>
            </w:r>
          </w:p>
        </w:tc>
        <w:tc>
          <w:tcPr>
            <w:tcW w:w="964" w:type="dxa"/>
            <w:noWrap/>
            <w:hideMark/>
          </w:tcPr>
          <w:p w14:paraId="4AB250BD" w14:textId="77777777" w:rsidR="00120717" w:rsidRPr="00B93EE1" w:rsidRDefault="00120717" w:rsidP="00712D42">
            <w:pPr>
              <w:ind w:right="113"/>
              <w:jc w:val="right"/>
              <w:rPr>
                <w:sz w:val="15"/>
                <w:szCs w:val="15"/>
              </w:rPr>
            </w:pPr>
            <w:r w:rsidRPr="00B93EE1">
              <w:rPr>
                <w:sz w:val="15"/>
                <w:szCs w:val="15"/>
              </w:rPr>
              <w:t>907</w:t>
            </w:r>
          </w:p>
        </w:tc>
        <w:tc>
          <w:tcPr>
            <w:tcW w:w="965" w:type="dxa"/>
            <w:noWrap/>
            <w:hideMark/>
          </w:tcPr>
          <w:p w14:paraId="35D04784" w14:textId="77777777" w:rsidR="00120717" w:rsidRPr="00B93EE1" w:rsidRDefault="00120717" w:rsidP="00712D42">
            <w:pPr>
              <w:ind w:right="113"/>
              <w:jc w:val="right"/>
              <w:rPr>
                <w:sz w:val="15"/>
                <w:szCs w:val="15"/>
              </w:rPr>
            </w:pPr>
            <w:r w:rsidRPr="00B93EE1">
              <w:rPr>
                <w:sz w:val="15"/>
                <w:szCs w:val="15"/>
              </w:rPr>
              <w:t>1,012</w:t>
            </w:r>
          </w:p>
        </w:tc>
        <w:tc>
          <w:tcPr>
            <w:tcW w:w="965" w:type="dxa"/>
            <w:noWrap/>
            <w:hideMark/>
          </w:tcPr>
          <w:p w14:paraId="1254592A" w14:textId="77777777" w:rsidR="00120717" w:rsidRPr="00B93EE1" w:rsidRDefault="00120717" w:rsidP="00712D42">
            <w:pPr>
              <w:ind w:right="113"/>
              <w:jc w:val="right"/>
              <w:rPr>
                <w:sz w:val="15"/>
                <w:szCs w:val="15"/>
              </w:rPr>
            </w:pPr>
            <w:r w:rsidRPr="00B93EE1">
              <w:rPr>
                <w:sz w:val="15"/>
                <w:szCs w:val="15"/>
              </w:rPr>
              <w:t>989</w:t>
            </w:r>
          </w:p>
        </w:tc>
        <w:tc>
          <w:tcPr>
            <w:tcW w:w="965" w:type="dxa"/>
            <w:noWrap/>
            <w:hideMark/>
          </w:tcPr>
          <w:p w14:paraId="48ED5B4D" w14:textId="77777777" w:rsidR="00120717" w:rsidRPr="00B93EE1" w:rsidRDefault="00120717" w:rsidP="00712D42">
            <w:pPr>
              <w:ind w:right="113"/>
              <w:jc w:val="right"/>
              <w:rPr>
                <w:sz w:val="15"/>
                <w:szCs w:val="15"/>
              </w:rPr>
            </w:pPr>
            <w:r w:rsidRPr="00B93EE1">
              <w:rPr>
                <w:sz w:val="15"/>
                <w:szCs w:val="15"/>
              </w:rPr>
              <w:t>873</w:t>
            </w:r>
          </w:p>
        </w:tc>
      </w:tr>
      <w:tr w:rsidR="00120717" w:rsidRPr="00B93EE1" w14:paraId="76F9C880"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7608DE70" w14:textId="77777777" w:rsidR="00120717" w:rsidRPr="00B93EE1" w:rsidRDefault="00120717" w:rsidP="00712D42">
            <w:pPr>
              <w:ind w:left="340"/>
              <w:jc w:val="left"/>
              <w:rPr>
                <w:sz w:val="15"/>
                <w:szCs w:val="15"/>
              </w:rPr>
            </w:pPr>
            <w:r w:rsidRPr="00B93EE1">
              <w:rPr>
                <w:sz w:val="15"/>
                <w:szCs w:val="15"/>
              </w:rPr>
              <w:t>Other sectors</w:t>
            </w:r>
          </w:p>
        </w:tc>
        <w:tc>
          <w:tcPr>
            <w:tcW w:w="964" w:type="dxa"/>
            <w:noWrap/>
            <w:hideMark/>
          </w:tcPr>
          <w:p w14:paraId="4D4A62C0" w14:textId="77777777" w:rsidR="00120717" w:rsidRPr="00B93EE1" w:rsidRDefault="00120717" w:rsidP="00712D42">
            <w:pPr>
              <w:ind w:right="113"/>
              <w:jc w:val="right"/>
              <w:rPr>
                <w:sz w:val="15"/>
                <w:szCs w:val="15"/>
              </w:rPr>
            </w:pPr>
            <w:r w:rsidRPr="00B93EE1">
              <w:rPr>
                <w:sz w:val="15"/>
                <w:szCs w:val="15"/>
              </w:rPr>
              <w:t>1,254</w:t>
            </w:r>
          </w:p>
        </w:tc>
        <w:tc>
          <w:tcPr>
            <w:tcW w:w="965" w:type="dxa"/>
            <w:noWrap/>
            <w:hideMark/>
          </w:tcPr>
          <w:p w14:paraId="39BB4787" w14:textId="77777777" w:rsidR="00120717" w:rsidRPr="00B93EE1" w:rsidRDefault="00120717" w:rsidP="00712D42">
            <w:pPr>
              <w:ind w:right="113"/>
              <w:jc w:val="right"/>
              <w:rPr>
                <w:sz w:val="15"/>
                <w:szCs w:val="15"/>
              </w:rPr>
            </w:pPr>
            <w:r w:rsidRPr="00B93EE1">
              <w:rPr>
                <w:sz w:val="15"/>
                <w:szCs w:val="15"/>
              </w:rPr>
              <w:t>1,200</w:t>
            </w:r>
          </w:p>
        </w:tc>
        <w:tc>
          <w:tcPr>
            <w:tcW w:w="965" w:type="dxa"/>
            <w:noWrap/>
            <w:hideMark/>
          </w:tcPr>
          <w:p w14:paraId="60B3CF79" w14:textId="77777777" w:rsidR="00120717" w:rsidRPr="00B93EE1" w:rsidRDefault="00120717" w:rsidP="00712D42">
            <w:pPr>
              <w:ind w:right="113"/>
              <w:jc w:val="right"/>
              <w:rPr>
                <w:sz w:val="15"/>
                <w:szCs w:val="15"/>
              </w:rPr>
            </w:pPr>
            <w:r w:rsidRPr="00B93EE1">
              <w:rPr>
                <w:sz w:val="15"/>
                <w:szCs w:val="15"/>
              </w:rPr>
              <w:t>1,314</w:t>
            </w:r>
          </w:p>
        </w:tc>
        <w:tc>
          <w:tcPr>
            <w:tcW w:w="964" w:type="dxa"/>
            <w:noWrap/>
            <w:hideMark/>
          </w:tcPr>
          <w:p w14:paraId="6D2B2F18" w14:textId="77777777" w:rsidR="00120717" w:rsidRPr="00B93EE1" w:rsidRDefault="00120717" w:rsidP="00712D42">
            <w:pPr>
              <w:ind w:right="113"/>
              <w:jc w:val="right"/>
              <w:rPr>
                <w:sz w:val="15"/>
                <w:szCs w:val="15"/>
              </w:rPr>
            </w:pPr>
            <w:r w:rsidRPr="00B93EE1">
              <w:rPr>
                <w:sz w:val="15"/>
                <w:szCs w:val="15"/>
              </w:rPr>
              <w:t>1,428</w:t>
            </w:r>
          </w:p>
        </w:tc>
        <w:tc>
          <w:tcPr>
            <w:tcW w:w="965" w:type="dxa"/>
            <w:noWrap/>
            <w:hideMark/>
          </w:tcPr>
          <w:p w14:paraId="2CBA9944" w14:textId="77777777" w:rsidR="00120717" w:rsidRPr="00B93EE1" w:rsidRDefault="00120717" w:rsidP="00712D42">
            <w:pPr>
              <w:ind w:right="113"/>
              <w:jc w:val="right"/>
              <w:rPr>
                <w:sz w:val="15"/>
                <w:szCs w:val="15"/>
              </w:rPr>
            </w:pPr>
            <w:r w:rsidRPr="00B93EE1">
              <w:rPr>
                <w:sz w:val="15"/>
                <w:szCs w:val="15"/>
              </w:rPr>
              <w:t>1,746</w:t>
            </w:r>
          </w:p>
        </w:tc>
        <w:tc>
          <w:tcPr>
            <w:tcW w:w="965" w:type="dxa"/>
            <w:noWrap/>
            <w:hideMark/>
          </w:tcPr>
          <w:p w14:paraId="0D968EC3" w14:textId="77777777" w:rsidR="00120717" w:rsidRPr="00B93EE1" w:rsidRDefault="00120717" w:rsidP="00712D42">
            <w:pPr>
              <w:ind w:right="113"/>
              <w:jc w:val="right"/>
              <w:rPr>
                <w:sz w:val="15"/>
                <w:szCs w:val="15"/>
              </w:rPr>
            </w:pPr>
            <w:r w:rsidRPr="00B93EE1">
              <w:rPr>
                <w:sz w:val="15"/>
                <w:szCs w:val="15"/>
              </w:rPr>
              <w:t>1,664</w:t>
            </w:r>
          </w:p>
        </w:tc>
        <w:tc>
          <w:tcPr>
            <w:tcW w:w="965" w:type="dxa"/>
            <w:noWrap/>
            <w:hideMark/>
          </w:tcPr>
          <w:p w14:paraId="63EF8623" w14:textId="77777777" w:rsidR="00120717" w:rsidRPr="00B93EE1" w:rsidRDefault="00120717" w:rsidP="00712D42">
            <w:pPr>
              <w:ind w:right="113"/>
              <w:jc w:val="right"/>
              <w:rPr>
                <w:sz w:val="15"/>
                <w:szCs w:val="15"/>
              </w:rPr>
            </w:pPr>
            <w:r w:rsidRPr="00B93EE1">
              <w:rPr>
                <w:sz w:val="15"/>
                <w:szCs w:val="15"/>
              </w:rPr>
              <w:t>792</w:t>
            </w:r>
          </w:p>
        </w:tc>
      </w:tr>
      <w:tr w:rsidR="00120717" w:rsidRPr="00B93EE1" w14:paraId="4F8633BE" w14:textId="77777777" w:rsidTr="00712D42">
        <w:tc>
          <w:tcPr>
            <w:tcW w:w="2263" w:type="dxa"/>
            <w:noWrap/>
            <w:hideMark/>
          </w:tcPr>
          <w:p w14:paraId="678DC3E5" w14:textId="77777777" w:rsidR="00120717" w:rsidRPr="00B93EE1" w:rsidRDefault="00120717" w:rsidP="00712D42">
            <w:pPr>
              <w:ind w:left="170"/>
              <w:jc w:val="left"/>
              <w:rPr>
                <w:sz w:val="15"/>
                <w:szCs w:val="15"/>
              </w:rPr>
            </w:pPr>
            <w:r w:rsidRPr="00B93EE1">
              <w:rPr>
                <w:sz w:val="15"/>
                <w:szCs w:val="15"/>
              </w:rPr>
              <w:t>Debit</w:t>
            </w:r>
          </w:p>
        </w:tc>
        <w:tc>
          <w:tcPr>
            <w:tcW w:w="964" w:type="dxa"/>
            <w:noWrap/>
            <w:hideMark/>
          </w:tcPr>
          <w:p w14:paraId="44A10986" w14:textId="77777777" w:rsidR="00120717" w:rsidRPr="00B93EE1" w:rsidRDefault="00120717" w:rsidP="00712D42">
            <w:pPr>
              <w:ind w:right="113"/>
              <w:jc w:val="right"/>
              <w:rPr>
                <w:sz w:val="15"/>
                <w:szCs w:val="15"/>
              </w:rPr>
            </w:pPr>
            <w:r w:rsidRPr="00B93EE1">
              <w:rPr>
                <w:sz w:val="15"/>
                <w:szCs w:val="15"/>
              </w:rPr>
              <w:t>2,309</w:t>
            </w:r>
          </w:p>
        </w:tc>
        <w:tc>
          <w:tcPr>
            <w:tcW w:w="965" w:type="dxa"/>
            <w:noWrap/>
            <w:hideMark/>
          </w:tcPr>
          <w:p w14:paraId="70F731A5" w14:textId="77777777" w:rsidR="00120717" w:rsidRPr="00B93EE1" w:rsidRDefault="00120717" w:rsidP="00712D42">
            <w:pPr>
              <w:ind w:right="113"/>
              <w:jc w:val="right"/>
              <w:rPr>
                <w:sz w:val="15"/>
                <w:szCs w:val="15"/>
              </w:rPr>
            </w:pPr>
            <w:r w:rsidRPr="00B93EE1">
              <w:rPr>
                <w:sz w:val="15"/>
                <w:szCs w:val="15"/>
              </w:rPr>
              <w:t>2,432</w:t>
            </w:r>
          </w:p>
        </w:tc>
        <w:tc>
          <w:tcPr>
            <w:tcW w:w="965" w:type="dxa"/>
            <w:noWrap/>
            <w:hideMark/>
          </w:tcPr>
          <w:p w14:paraId="56386A38" w14:textId="77777777" w:rsidR="00120717" w:rsidRPr="00B93EE1" w:rsidRDefault="00120717" w:rsidP="00712D42">
            <w:pPr>
              <w:ind w:right="113"/>
              <w:jc w:val="right"/>
              <w:rPr>
                <w:sz w:val="15"/>
                <w:szCs w:val="15"/>
              </w:rPr>
            </w:pPr>
            <w:r w:rsidRPr="00B93EE1">
              <w:rPr>
                <w:sz w:val="15"/>
                <w:szCs w:val="15"/>
              </w:rPr>
              <w:t>2,510</w:t>
            </w:r>
          </w:p>
        </w:tc>
        <w:tc>
          <w:tcPr>
            <w:tcW w:w="964" w:type="dxa"/>
            <w:noWrap/>
            <w:hideMark/>
          </w:tcPr>
          <w:p w14:paraId="4D4FDA1C" w14:textId="77777777" w:rsidR="00120717" w:rsidRPr="00B93EE1" w:rsidRDefault="00120717" w:rsidP="00712D42">
            <w:pPr>
              <w:ind w:right="113"/>
              <w:jc w:val="right"/>
              <w:rPr>
                <w:sz w:val="15"/>
                <w:szCs w:val="15"/>
              </w:rPr>
            </w:pPr>
            <w:r w:rsidRPr="00B93EE1">
              <w:rPr>
                <w:sz w:val="15"/>
                <w:szCs w:val="15"/>
              </w:rPr>
              <w:t>2,696</w:t>
            </w:r>
          </w:p>
        </w:tc>
        <w:tc>
          <w:tcPr>
            <w:tcW w:w="965" w:type="dxa"/>
            <w:noWrap/>
            <w:hideMark/>
          </w:tcPr>
          <w:p w14:paraId="0B6F3001" w14:textId="77777777" w:rsidR="00120717" w:rsidRPr="00B93EE1" w:rsidRDefault="00120717" w:rsidP="00712D42">
            <w:pPr>
              <w:ind w:right="113"/>
              <w:jc w:val="right"/>
              <w:rPr>
                <w:sz w:val="15"/>
                <w:szCs w:val="15"/>
              </w:rPr>
            </w:pPr>
            <w:r w:rsidRPr="00B93EE1">
              <w:rPr>
                <w:sz w:val="15"/>
                <w:szCs w:val="15"/>
              </w:rPr>
              <w:t>3,009</w:t>
            </w:r>
          </w:p>
        </w:tc>
        <w:tc>
          <w:tcPr>
            <w:tcW w:w="965" w:type="dxa"/>
            <w:noWrap/>
            <w:hideMark/>
          </w:tcPr>
          <w:p w14:paraId="439142F2" w14:textId="77777777" w:rsidR="00120717" w:rsidRPr="00B93EE1" w:rsidRDefault="00120717" w:rsidP="00712D42">
            <w:pPr>
              <w:ind w:right="113"/>
              <w:jc w:val="right"/>
              <w:rPr>
                <w:sz w:val="15"/>
                <w:szCs w:val="15"/>
              </w:rPr>
            </w:pPr>
            <w:r w:rsidRPr="00B93EE1">
              <w:rPr>
                <w:sz w:val="15"/>
                <w:szCs w:val="15"/>
              </w:rPr>
              <w:t>3,218</w:t>
            </w:r>
          </w:p>
        </w:tc>
        <w:tc>
          <w:tcPr>
            <w:tcW w:w="965" w:type="dxa"/>
            <w:noWrap/>
            <w:hideMark/>
          </w:tcPr>
          <w:p w14:paraId="36C21AAD" w14:textId="77777777" w:rsidR="00120717" w:rsidRPr="00B93EE1" w:rsidRDefault="00120717" w:rsidP="00712D42">
            <w:pPr>
              <w:ind w:right="113"/>
              <w:jc w:val="right"/>
              <w:rPr>
                <w:sz w:val="15"/>
                <w:szCs w:val="15"/>
              </w:rPr>
            </w:pPr>
            <w:r w:rsidRPr="00B93EE1">
              <w:rPr>
                <w:sz w:val="15"/>
                <w:szCs w:val="15"/>
              </w:rPr>
              <w:t>2,955</w:t>
            </w:r>
          </w:p>
        </w:tc>
      </w:tr>
      <w:tr w:rsidR="00120717" w:rsidRPr="00B93EE1" w14:paraId="193B8B0E"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6A7BD225" w14:textId="77777777" w:rsidR="00120717" w:rsidRPr="00B93EE1" w:rsidRDefault="00120717" w:rsidP="00712D42">
            <w:pPr>
              <w:ind w:left="340"/>
              <w:jc w:val="left"/>
              <w:rPr>
                <w:sz w:val="15"/>
                <w:szCs w:val="15"/>
              </w:rPr>
            </w:pPr>
            <w:r w:rsidRPr="00B93EE1">
              <w:rPr>
                <w:sz w:val="15"/>
                <w:szCs w:val="15"/>
              </w:rPr>
              <w:t>General government</w:t>
            </w:r>
          </w:p>
        </w:tc>
        <w:tc>
          <w:tcPr>
            <w:tcW w:w="964" w:type="dxa"/>
            <w:noWrap/>
            <w:hideMark/>
          </w:tcPr>
          <w:p w14:paraId="2B39B247" w14:textId="77777777" w:rsidR="00120717" w:rsidRPr="00B93EE1" w:rsidRDefault="00120717" w:rsidP="00712D42">
            <w:pPr>
              <w:ind w:right="113"/>
              <w:jc w:val="right"/>
              <w:rPr>
                <w:sz w:val="15"/>
                <w:szCs w:val="15"/>
              </w:rPr>
            </w:pPr>
            <w:r w:rsidRPr="00B93EE1">
              <w:rPr>
                <w:sz w:val="15"/>
                <w:szCs w:val="15"/>
              </w:rPr>
              <w:t>639</w:t>
            </w:r>
          </w:p>
        </w:tc>
        <w:tc>
          <w:tcPr>
            <w:tcW w:w="965" w:type="dxa"/>
            <w:noWrap/>
            <w:hideMark/>
          </w:tcPr>
          <w:p w14:paraId="5F7929A7" w14:textId="77777777" w:rsidR="00120717" w:rsidRPr="00B93EE1" w:rsidRDefault="00120717" w:rsidP="00712D42">
            <w:pPr>
              <w:ind w:right="113"/>
              <w:jc w:val="right"/>
              <w:rPr>
                <w:sz w:val="15"/>
                <w:szCs w:val="15"/>
              </w:rPr>
            </w:pPr>
            <w:r w:rsidRPr="00B93EE1">
              <w:rPr>
                <w:sz w:val="15"/>
                <w:szCs w:val="15"/>
              </w:rPr>
              <w:t>688</w:t>
            </w:r>
          </w:p>
        </w:tc>
        <w:tc>
          <w:tcPr>
            <w:tcW w:w="965" w:type="dxa"/>
            <w:noWrap/>
            <w:hideMark/>
          </w:tcPr>
          <w:p w14:paraId="463FE008" w14:textId="77777777" w:rsidR="00120717" w:rsidRPr="00B93EE1" w:rsidRDefault="00120717" w:rsidP="00712D42">
            <w:pPr>
              <w:ind w:right="113"/>
              <w:jc w:val="right"/>
              <w:rPr>
                <w:sz w:val="15"/>
                <w:szCs w:val="15"/>
              </w:rPr>
            </w:pPr>
            <w:r w:rsidRPr="00B93EE1">
              <w:rPr>
                <w:sz w:val="15"/>
                <w:szCs w:val="15"/>
              </w:rPr>
              <w:t>647</w:t>
            </w:r>
          </w:p>
        </w:tc>
        <w:tc>
          <w:tcPr>
            <w:tcW w:w="964" w:type="dxa"/>
            <w:noWrap/>
            <w:hideMark/>
          </w:tcPr>
          <w:p w14:paraId="1B82701F" w14:textId="77777777" w:rsidR="00120717" w:rsidRPr="00B93EE1" w:rsidRDefault="00120717" w:rsidP="00712D42">
            <w:pPr>
              <w:ind w:right="113"/>
              <w:jc w:val="right"/>
              <w:rPr>
                <w:sz w:val="15"/>
                <w:szCs w:val="15"/>
              </w:rPr>
            </w:pPr>
            <w:r w:rsidRPr="00B93EE1">
              <w:rPr>
                <w:sz w:val="15"/>
                <w:szCs w:val="15"/>
              </w:rPr>
              <w:t>684</w:t>
            </w:r>
          </w:p>
        </w:tc>
        <w:tc>
          <w:tcPr>
            <w:tcW w:w="965" w:type="dxa"/>
            <w:noWrap/>
            <w:hideMark/>
          </w:tcPr>
          <w:p w14:paraId="7614073C" w14:textId="77777777" w:rsidR="00120717" w:rsidRPr="00B93EE1" w:rsidRDefault="00120717" w:rsidP="00712D42">
            <w:pPr>
              <w:ind w:right="113"/>
              <w:jc w:val="right"/>
              <w:rPr>
                <w:sz w:val="15"/>
                <w:szCs w:val="15"/>
              </w:rPr>
            </w:pPr>
            <w:r w:rsidRPr="00B93EE1">
              <w:rPr>
                <w:sz w:val="15"/>
                <w:szCs w:val="15"/>
              </w:rPr>
              <w:t>766</w:t>
            </w:r>
          </w:p>
        </w:tc>
        <w:tc>
          <w:tcPr>
            <w:tcW w:w="965" w:type="dxa"/>
            <w:noWrap/>
            <w:hideMark/>
          </w:tcPr>
          <w:p w14:paraId="79668EEA" w14:textId="77777777" w:rsidR="00120717" w:rsidRPr="00B93EE1" w:rsidRDefault="00120717" w:rsidP="00712D42">
            <w:pPr>
              <w:ind w:right="113"/>
              <w:jc w:val="right"/>
              <w:rPr>
                <w:sz w:val="15"/>
                <w:szCs w:val="15"/>
              </w:rPr>
            </w:pPr>
            <w:r w:rsidRPr="00B93EE1">
              <w:rPr>
                <w:sz w:val="15"/>
                <w:szCs w:val="15"/>
              </w:rPr>
              <w:t>867</w:t>
            </w:r>
          </w:p>
        </w:tc>
        <w:tc>
          <w:tcPr>
            <w:tcW w:w="965" w:type="dxa"/>
            <w:noWrap/>
            <w:hideMark/>
          </w:tcPr>
          <w:p w14:paraId="6E85AC9A" w14:textId="77777777" w:rsidR="00120717" w:rsidRPr="00B93EE1" w:rsidRDefault="00120717" w:rsidP="00712D42">
            <w:pPr>
              <w:ind w:right="113"/>
              <w:jc w:val="right"/>
              <w:rPr>
                <w:sz w:val="15"/>
                <w:szCs w:val="15"/>
              </w:rPr>
            </w:pPr>
            <w:r w:rsidRPr="00B93EE1">
              <w:rPr>
                <w:sz w:val="15"/>
                <w:szCs w:val="15"/>
              </w:rPr>
              <w:t>857</w:t>
            </w:r>
          </w:p>
        </w:tc>
      </w:tr>
      <w:tr w:rsidR="00120717" w:rsidRPr="00B93EE1" w14:paraId="286B0AF4" w14:textId="77777777" w:rsidTr="00712D42">
        <w:tc>
          <w:tcPr>
            <w:tcW w:w="2263" w:type="dxa"/>
            <w:noWrap/>
            <w:hideMark/>
          </w:tcPr>
          <w:p w14:paraId="1C525C59" w14:textId="77777777" w:rsidR="00120717" w:rsidRPr="00B93EE1" w:rsidRDefault="00120717" w:rsidP="00712D42">
            <w:pPr>
              <w:ind w:left="340"/>
              <w:jc w:val="left"/>
              <w:rPr>
                <w:sz w:val="15"/>
                <w:szCs w:val="15"/>
              </w:rPr>
            </w:pPr>
            <w:r w:rsidRPr="00B93EE1">
              <w:rPr>
                <w:sz w:val="15"/>
                <w:szCs w:val="15"/>
              </w:rPr>
              <w:t>Other sectors</w:t>
            </w:r>
          </w:p>
        </w:tc>
        <w:tc>
          <w:tcPr>
            <w:tcW w:w="964" w:type="dxa"/>
            <w:noWrap/>
            <w:hideMark/>
          </w:tcPr>
          <w:p w14:paraId="1EAD8805" w14:textId="77777777" w:rsidR="00120717" w:rsidRPr="00B93EE1" w:rsidRDefault="00120717" w:rsidP="00712D42">
            <w:pPr>
              <w:ind w:right="113"/>
              <w:jc w:val="right"/>
              <w:rPr>
                <w:sz w:val="15"/>
                <w:szCs w:val="15"/>
              </w:rPr>
            </w:pPr>
            <w:r w:rsidRPr="00B93EE1">
              <w:rPr>
                <w:sz w:val="15"/>
                <w:szCs w:val="15"/>
              </w:rPr>
              <w:t>1,670</w:t>
            </w:r>
          </w:p>
        </w:tc>
        <w:tc>
          <w:tcPr>
            <w:tcW w:w="965" w:type="dxa"/>
            <w:noWrap/>
            <w:hideMark/>
          </w:tcPr>
          <w:p w14:paraId="0247D873" w14:textId="77777777" w:rsidR="00120717" w:rsidRPr="00B93EE1" w:rsidRDefault="00120717" w:rsidP="00712D42">
            <w:pPr>
              <w:ind w:right="113"/>
              <w:jc w:val="right"/>
              <w:rPr>
                <w:sz w:val="15"/>
                <w:szCs w:val="15"/>
              </w:rPr>
            </w:pPr>
            <w:r w:rsidRPr="00B93EE1">
              <w:rPr>
                <w:sz w:val="15"/>
                <w:szCs w:val="15"/>
              </w:rPr>
              <w:t>1,744</w:t>
            </w:r>
          </w:p>
        </w:tc>
        <w:tc>
          <w:tcPr>
            <w:tcW w:w="965" w:type="dxa"/>
            <w:noWrap/>
            <w:hideMark/>
          </w:tcPr>
          <w:p w14:paraId="194762D6" w14:textId="77777777" w:rsidR="00120717" w:rsidRPr="00B93EE1" w:rsidRDefault="00120717" w:rsidP="00712D42">
            <w:pPr>
              <w:ind w:right="113"/>
              <w:jc w:val="right"/>
              <w:rPr>
                <w:sz w:val="15"/>
                <w:szCs w:val="15"/>
              </w:rPr>
            </w:pPr>
            <w:r w:rsidRPr="00B93EE1">
              <w:rPr>
                <w:sz w:val="15"/>
                <w:szCs w:val="15"/>
              </w:rPr>
              <w:t>1,864</w:t>
            </w:r>
          </w:p>
        </w:tc>
        <w:tc>
          <w:tcPr>
            <w:tcW w:w="964" w:type="dxa"/>
            <w:noWrap/>
            <w:hideMark/>
          </w:tcPr>
          <w:p w14:paraId="62A761EA" w14:textId="77777777" w:rsidR="00120717" w:rsidRPr="00B93EE1" w:rsidRDefault="00120717" w:rsidP="00712D42">
            <w:pPr>
              <w:ind w:right="113"/>
              <w:jc w:val="right"/>
              <w:rPr>
                <w:sz w:val="15"/>
                <w:szCs w:val="15"/>
              </w:rPr>
            </w:pPr>
            <w:r w:rsidRPr="00B93EE1">
              <w:rPr>
                <w:sz w:val="15"/>
                <w:szCs w:val="15"/>
              </w:rPr>
              <w:t>2,012</w:t>
            </w:r>
          </w:p>
        </w:tc>
        <w:tc>
          <w:tcPr>
            <w:tcW w:w="965" w:type="dxa"/>
            <w:noWrap/>
            <w:hideMark/>
          </w:tcPr>
          <w:p w14:paraId="4A644B5D" w14:textId="77777777" w:rsidR="00120717" w:rsidRPr="00B93EE1" w:rsidRDefault="00120717" w:rsidP="00712D42">
            <w:pPr>
              <w:ind w:right="113"/>
              <w:jc w:val="right"/>
              <w:rPr>
                <w:sz w:val="15"/>
                <w:szCs w:val="15"/>
              </w:rPr>
            </w:pPr>
            <w:r w:rsidRPr="00B93EE1">
              <w:rPr>
                <w:sz w:val="15"/>
                <w:szCs w:val="15"/>
              </w:rPr>
              <w:t>2,242</w:t>
            </w:r>
          </w:p>
        </w:tc>
        <w:tc>
          <w:tcPr>
            <w:tcW w:w="965" w:type="dxa"/>
            <w:noWrap/>
            <w:hideMark/>
          </w:tcPr>
          <w:p w14:paraId="04AC0435" w14:textId="77777777" w:rsidR="00120717" w:rsidRPr="00B93EE1" w:rsidRDefault="00120717" w:rsidP="00712D42">
            <w:pPr>
              <w:ind w:right="113"/>
              <w:jc w:val="right"/>
              <w:rPr>
                <w:sz w:val="15"/>
                <w:szCs w:val="15"/>
              </w:rPr>
            </w:pPr>
            <w:r w:rsidRPr="00B93EE1">
              <w:rPr>
                <w:sz w:val="15"/>
                <w:szCs w:val="15"/>
              </w:rPr>
              <w:t>2,351</w:t>
            </w:r>
          </w:p>
        </w:tc>
        <w:tc>
          <w:tcPr>
            <w:tcW w:w="965" w:type="dxa"/>
            <w:noWrap/>
            <w:hideMark/>
          </w:tcPr>
          <w:p w14:paraId="562A1B6D" w14:textId="77777777" w:rsidR="00120717" w:rsidRPr="00B93EE1" w:rsidRDefault="00120717" w:rsidP="00712D42">
            <w:pPr>
              <w:ind w:right="113"/>
              <w:jc w:val="right"/>
              <w:rPr>
                <w:sz w:val="15"/>
                <w:szCs w:val="15"/>
              </w:rPr>
            </w:pPr>
            <w:r w:rsidRPr="00B93EE1">
              <w:rPr>
                <w:sz w:val="15"/>
                <w:szCs w:val="15"/>
              </w:rPr>
              <w:t>2,098</w:t>
            </w:r>
          </w:p>
        </w:tc>
      </w:tr>
      <w:tr w:rsidR="00120717" w:rsidRPr="00B93EE1" w14:paraId="08A174C3"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2D8FEAC3" w14:textId="77777777" w:rsidR="00120717" w:rsidRPr="00B93EE1" w:rsidRDefault="00120717" w:rsidP="00712D42">
            <w:pPr>
              <w:jc w:val="left"/>
              <w:rPr>
                <w:b/>
                <w:bCs/>
                <w:sz w:val="15"/>
                <w:szCs w:val="15"/>
              </w:rPr>
            </w:pPr>
            <w:r w:rsidRPr="00B93EE1">
              <w:rPr>
                <w:b/>
                <w:bCs/>
                <w:sz w:val="15"/>
                <w:szCs w:val="15"/>
              </w:rPr>
              <w:t>Capital account</w:t>
            </w:r>
          </w:p>
        </w:tc>
        <w:tc>
          <w:tcPr>
            <w:tcW w:w="964" w:type="dxa"/>
            <w:noWrap/>
            <w:hideMark/>
          </w:tcPr>
          <w:p w14:paraId="052E168E" w14:textId="77777777" w:rsidR="00120717" w:rsidRPr="00B93EE1" w:rsidRDefault="00120717" w:rsidP="00712D42">
            <w:pPr>
              <w:ind w:right="113"/>
              <w:jc w:val="right"/>
              <w:rPr>
                <w:sz w:val="15"/>
                <w:szCs w:val="15"/>
              </w:rPr>
            </w:pPr>
            <w:r w:rsidRPr="00B93EE1">
              <w:rPr>
                <w:sz w:val="15"/>
                <w:szCs w:val="15"/>
              </w:rPr>
              <w:t>37</w:t>
            </w:r>
          </w:p>
        </w:tc>
        <w:tc>
          <w:tcPr>
            <w:tcW w:w="965" w:type="dxa"/>
            <w:noWrap/>
            <w:hideMark/>
          </w:tcPr>
          <w:p w14:paraId="542405A6" w14:textId="77777777" w:rsidR="00120717" w:rsidRPr="00B93EE1" w:rsidRDefault="00120717" w:rsidP="00712D42">
            <w:pPr>
              <w:ind w:right="113"/>
              <w:jc w:val="right"/>
              <w:rPr>
                <w:sz w:val="15"/>
                <w:szCs w:val="15"/>
              </w:rPr>
            </w:pPr>
            <w:r w:rsidRPr="00B93EE1">
              <w:rPr>
                <w:sz w:val="15"/>
                <w:szCs w:val="15"/>
              </w:rPr>
              <w:t>346</w:t>
            </w:r>
          </w:p>
        </w:tc>
        <w:tc>
          <w:tcPr>
            <w:tcW w:w="965" w:type="dxa"/>
            <w:noWrap/>
            <w:hideMark/>
          </w:tcPr>
          <w:p w14:paraId="04F996C3" w14:textId="77777777" w:rsidR="00120717" w:rsidRPr="00B93EE1" w:rsidRDefault="00120717" w:rsidP="00712D42">
            <w:pPr>
              <w:ind w:right="113"/>
              <w:jc w:val="right"/>
              <w:rPr>
                <w:sz w:val="15"/>
                <w:szCs w:val="15"/>
              </w:rPr>
            </w:pPr>
            <w:r w:rsidRPr="00B93EE1">
              <w:rPr>
                <w:sz w:val="15"/>
                <w:szCs w:val="15"/>
              </w:rPr>
              <w:t>2,095</w:t>
            </w:r>
          </w:p>
        </w:tc>
        <w:tc>
          <w:tcPr>
            <w:tcW w:w="964" w:type="dxa"/>
            <w:noWrap/>
            <w:hideMark/>
          </w:tcPr>
          <w:p w14:paraId="76196811" w14:textId="77777777" w:rsidR="00120717" w:rsidRPr="00B93EE1" w:rsidRDefault="00120717" w:rsidP="00712D42">
            <w:pPr>
              <w:ind w:right="113"/>
              <w:jc w:val="right"/>
              <w:rPr>
                <w:sz w:val="15"/>
                <w:szCs w:val="15"/>
              </w:rPr>
            </w:pPr>
            <w:r w:rsidRPr="00B93EE1">
              <w:rPr>
                <w:sz w:val="15"/>
                <w:szCs w:val="15"/>
              </w:rPr>
              <w:t>122</w:t>
            </w:r>
          </w:p>
        </w:tc>
        <w:tc>
          <w:tcPr>
            <w:tcW w:w="965" w:type="dxa"/>
            <w:noWrap/>
            <w:hideMark/>
          </w:tcPr>
          <w:p w14:paraId="47BA3AFA" w14:textId="77777777" w:rsidR="00120717" w:rsidRPr="00B93EE1" w:rsidRDefault="00120717" w:rsidP="00712D42">
            <w:pPr>
              <w:ind w:right="113"/>
              <w:jc w:val="right"/>
              <w:rPr>
                <w:sz w:val="15"/>
                <w:szCs w:val="15"/>
              </w:rPr>
            </w:pPr>
            <w:r w:rsidRPr="00B93EE1">
              <w:rPr>
                <w:sz w:val="15"/>
                <w:szCs w:val="15"/>
              </w:rPr>
              <w:t>-39</w:t>
            </w:r>
          </w:p>
        </w:tc>
        <w:tc>
          <w:tcPr>
            <w:tcW w:w="965" w:type="dxa"/>
            <w:noWrap/>
            <w:hideMark/>
          </w:tcPr>
          <w:p w14:paraId="4E756AC0" w14:textId="77777777" w:rsidR="00120717" w:rsidRPr="00B93EE1" w:rsidRDefault="00120717" w:rsidP="00712D42">
            <w:pPr>
              <w:ind w:right="113"/>
              <w:jc w:val="right"/>
              <w:rPr>
                <w:sz w:val="15"/>
                <w:szCs w:val="15"/>
              </w:rPr>
            </w:pPr>
            <w:r w:rsidRPr="00B93EE1">
              <w:rPr>
                <w:sz w:val="15"/>
                <w:szCs w:val="15"/>
              </w:rPr>
              <w:t>-58</w:t>
            </w:r>
          </w:p>
        </w:tc>
        <w:tc>
          <w:tcPr>
            <w:tcW w:w="965" w:type="dxa"/>
            <w:noWrap/>
            <w:hideMark/>
          </w:tcPr>
          <w:p w14:paraId="098D311A" w14:textId="77777777" w:rsidR="00120717" w:rsidRPr="00B93EE1" w:rsidRDefault="00120717" w:rsidP="00712D42">
            <w:pPr>
              <w:ind w:right="113"/>
              <w:jc w:val="right"/>
              <w:rPr>
                <w:sz w:val="15"/>
                <w:szCs w:val="15"/>
              </w:rPr>
            </w:pPr>
            <w:r w:rsidRPr="00B93EE1">
              <w:rPr>
                <w:sz w:val="15"/>
                <w:szCs w:val="15"/>
              </w:rPr>
              <w:t>-29</w:t>
            </w:r>
          </w:p>
        </w:tc>
      </w:tr>
      <w:tr w:rsidR="00120717" w:rsidRPr="00B93EE1" w14:paraId="53955F0A" w14:textId="77777777" w:rsidTr="00712D42">
        <w:tc>
          <w:tcPr>
            <w:tcW w:w="2263" w:type="dxa"/>
            <w:noWrap/>
            <w:hideMark/>
          </w:tcPr>
          <w:p w14:paraId="350906CD" w14:textId="77777777" w:rsidR="00120717" w:rsidRPr="00B93EE1" w:rsidRDefault="00120717" w:rsidP="00712D42">
            <w:pPr>
              <w:jc w:val="left"/>
              <w:rPr>
                <w:b/>
                <w:bCs/>
                <w:sz w:val="15"/>
                <w:szCs w:val="15"/>
              </w:rPr>
            </w:pPr>
            <w:r w:rsidRPr="00B93EE1">
              <w:rPr>
                <w:b/>
                <w:bCs/>
                <w:sz w:val="15"/>
                <w:szCs w:val="15"/>
              </w:rPr>
              <w:t>Financial account</w:t>
            </w:r>
          </w:p>
        </w:tc>
        <w:tc>
          <w:tcPr>
            <w:tcW w:w="964" w:type="dxa"/>
            <w:noWrap/>
            <w:hideMark/>
          </w:tcPr>
          <w:p w14:paraId="3656B586" w14:textId="77777777" w:rsidR="00120717" w:rsidRPr="00B93EE1" w:rsidRDefault="00120717" w:rsidP="00712D42">
            <w:pPr>
              <w:ind w:right="113"/>
              <w:jc w:val="right"/>
              <w:rPr>
                <w:sz w:val="15"/>
                <w:szCs w:val="15"/>
              </w:rPr>
            </w:pPr>
            <w:r w:rsidRPr="00B93EE1">
              <w:rPr>
                <w:sz w:val="15"/>
                <w:szCs w:val="15"/>
              </w:rPr>
              <w:t>1,259</w:t>
            </w:r>
          </w:p>
        </w:tc>
        <w:tc>
          <w:tcPr>
            <w:tcW w:w="965" w:type="dxa"/>
            <w:noWrap/>
            <w:hideMark/>
          </w:tcPr>
          <w:p w14:paraId="377EA15C" w14:textId="77777777" w:rsidR="00120717" w:rsidRPr="00B93EE1" w:rsidRDefault="00120717" w:rsidP="00712D42">
            <w:pPr>
              <w:ind w:right="113"/>
              <w:jc w:val="right"/>
              <w:rPr>
                <w:sz w:val="15"/>
                <w:szCs w:val="15"/>
              </w:rPr>
            </w:pPr>
            <w:r w:rsidRPr="00B93EE1">
              <w:rPr>
                <w:sz w:val="15"/>
                <w:szCs w:val="15"/>
              </w:rPr>
              <w:t>3,677</w:t>
            </w:r>
          </w:p>
        </w:tc>
        <w:tc>
          <w:tcPr>
            <w:tcW w:w="965" w:type="dxa"/>
            <w:noWrap/>
            <w:hideMark/>
          </w:tcPr>
          <w:p w14:paraId="10010B6F" w14:textId="77777777" w:rsidR="00120717" w:rsidRPr="00B93EE1" w:rsidRDefault="00120717" w:rsidP="00712D42">
            <w:pPr>
              <w:ind w:right="113"/>
              <w:jc w:val="right"/>
              <w:rPr>
                <w:sz w:val="15"/>
                <w:szCs w:val="15"/>
              </w:rPr>
            </w:pPr>
            <w:r w:rsidRPr="00B93EE1">
              <w:rPr>
                <w:sz w:val="15"/>
                <w:szCs w:val="15"/>
              </w:rPr>
              <w:t>5,432</w:t>
            </w:r>
          </w:p>
        </w:tc>
        <w:tc>
          <w:tcPr>
            <w:tcW w:w="964" w:type="dxa"/>
            <w:noWrap/>
            <w:hideMark/>
          </w:tcPr>
          <w:p w14:paraId="13205FF8" w14:textId="77777777" w:rsidR="00120717" w:rsidRPr="00B93EE1" w:rsidRDefault="00120717" w:rsidP="00712D42">
            <w:pPr>
              <w:ind w:right="113"/>
              <w:jc w:val="right"/>
              <w:rPr>
                <w:sz w:val="15"/>
                <w:szCs w:val="15"/>
              </w:rPr>
            </w:pPr>
            <w:r w:rsidRPr="00B93EE1">
              <w:rPr>
                <w:sz w:val="15"/>
                <w:szCs w:val="15"/>
              </w:rPr>
              <w:t>3,137</w:t>
            </w:r>
          </w:p>
        </w:tc>
        <w:tc>
          <w:tcPr>
            <w:tcW w:w="965" w:type="dxa"/>
            <w:noWrap/>
            <w:hideMark/>
          </w:tcPr>
          <w:p w14:paraId="5C0E5AE0" w14:textId="77777777" w:rsidR="00120717" w:rsidRPr="00B93EE1" w:rsidRDefault="00120717" w:rsidP="00712D42">
            <w:pPr>
              <w:ind w:right="113"/>
              <w:jc w:val="right"/>
              <w:rPr>
                <w:sz w:val="15"/>
                <w:szCs w:val="15"/>
              </w:rPr>
            </w:pPr>
            <w:r w:rsidRPr="00B93EE1">
              <w:rPr>
                <w:sz w:val="15"/>
                <w:szCs w:val="15"/>
              </w:rPr>
              <w:t>2,569</w:t>
            </w:r>
          </w:p>
        </w:tc>
        <w:tc>
          <w:tcPr>
            <w:tcW w:w="965" w:type="dxa"/>
            <w:noWrap/>
            <w:hideMark/>
          </w:tcPr>
          <w:p w14:paraId="2DC11C8B" w14:textId="77777777" w:rsidR="00120717" w:rsidRPr="00B93EE1" w:rsidRDefault="00120717" w:rsidP="00712D42">
            <w:pPr>
              <w:ind w:right="113"/>
              <w:jc w:val="right"/>
              <w:rPr>
                <w:sz w:val="15"/>
                <w:szCs w:val="15"/>
              </w:rPr>
            </w:pPr>
            <w:r w:rsidRPr="00B93EE1">
              <w:rPr>
                <w:sz w:val="15"/>
                <w:szCs w:val="15"/>
              </w:rPr>
              <w:t>-776</w:t>
            </w:r>
          </w:p>
        </w:tc>
        <w:tc>
          <w:tcPr>
            <w:tcW w:w="965" w:type="dxa"/>
            <w:noWrap/>
            <w:hideMark/>
          </w:tcPr>
          <w:p w14:paraId="6470B9D0" w14:textId="77777777" w:rsidR="00120717" w:rsidRPr="00B93EE1" w:rsidRDefault="00120717" w:rsidP="00712D42">
            <w:pPr>
              <w:ind w:right="113"/>
              <w:jc w:val="right"/>
              <w:rPr>
                <w:sz w:val="15"/>
                <w:szCs w:val="15"/>
              </w:rPr>
            </w:pPr>
            <w:r w:rsidRPr="00B93EE1">
              <w:rPr>
                <w:sz w:val="15"/>
                <w:szCs w:val="15"/>
              </w:rPr>
              <w:t>13,396</w:t>
            </w:r>
          </w:p>
        </w:tc>
      </w:tr>
      <w:tr w:rsidR="00120717" w:rsidRPr="00B93EE1" w14:paraId="32BC693A"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246BF3DA" w14:textId="77777777" w:rsidR="00120717" w:rsidRPr="00B93EE1" w:rsidRDefault="00120717" w:rsidP="00712D42">
            <w:pPr>
              <w:ind w:left="170"/>
              <w:jc w:val="left"/>
              <w:rPr>
                <w:sz w:val="15"/>
                <w:szCs w:val="15"/>
              </w:rPr>
            </w:pPr>
            <w:r w:rsidRPr="00B93EE1">
              <w:rPr>
                <w:sz w:val="15"/>
                <w:szCs w:val="15"/>
              </w:rPr>
              <w:t>New Zealand investment abroad</w:t>
            </w:r>
          </w:p>
        </w:tc>
        <w:tc>
          <w:tcPr>
            <w:tcW w:w="964" w:type="dxa"/>
            <w:noWrap/>
            <w:hideMark/>
          </w:tcPr>
          <w:p w14:paraId="5C76B747" w14:textId="77777777" w:rsidR="00120717" w:rsidRPr="00B93EE1" w:rsidRDefault="00120717" w:rsidP="00712D42">
            <w:pPr>
              <w:ind w:right="113"/>
              <w:jc w:val="right"/>
              <w:rPr>
                <w:sz w:val="15"/>
                <w:szCs w:val="15"/>
              </w:rPr>
            </w:pPr>
            <w:r w:rsidRPr="00B93EE1">
              <w:rPr>
                <w:sz w:val="15"/>
                <w:szCs w:val="15"/>
              </w:rPr>
              <w:t>9,959</w:t>
            </w:r>
          </w:p>
        </w:tc>
        <w:tc>
          <w:tcPr>
            <w:tcW w:w="965" w:type="dxa"/>
            <w:noWrap/>
            <w:hideMark/>
          </w:tcPr>
          <w:p w14:paraId="51620AC4" w14:textId="77777777" w:rsidR="00120717" w:rsidRPr="00B93EE1" w:rsidRDefault="00120717" w:rsidP="00712D42">
            <w:pPr>
              <w:ind w:right="113"/>
              <w:jc w:val="right"/>
              <w:rPr>
                <w:sz w:val="15"/>
                <w:szCs w:val="15"/>
              </w:rPr>
            </w:pPr>
            <w:r w:rsidRPr="00B93EE1">
              <w:rPr>
                <w:sz w:val="15"/>
                <w:szCs w:val="15"/>
              </w:rPr>
              <w:t>-4,452</w:t>
            </w:r>
          </w:p>
        </w:tc>
        <w:tc>
          <w:tcPr>
            <w:tcW w:w="965" w:type="dxa"/>
            <w:noWrap/>
            <w:hideMark/>
          </w:tcPr>
          <w:p w14:paraId="3943D13A" w14:textId="77777777" w:rsidR="00120717" w:rsidRPr="00B93EE1" w:rsidRDefault="00120717" w:rsidP="00712D42">
            <w:pPr>
              <w:ind w:right="113"/>
              <w:jc w:val="right"/>
              <w:rPr>
                <w:sz w:val="15"/>
                <w:szCs w:val="15"/>
              </w:rPr>
            </w:pPr>
            <w:r w:rsidRPr="00B93EE1">
              <w:rPr>
                <w:sz w:val="15"/>
                <w:szCs w:val="15"/>
              </w:rPr>
              <w:t>-103</w:t>
            </w:r>
          </w:p>
        </w:tc>
        <w:tc>
          <w:tcPr>
            <w:tcW w:w="964" w:type="dxa"/>
            <w:noWrap/>
            <w:hideMark/>
          </w:tcPr>
          <w:p w14:paraId="79BE779B" w14:textId="77777777" w:rsidR="00120717" w:rsidRPr="00B93EE1" w:rsidRDefault="00120717" w:rsidP="00712D42">
            <w:pPr>
              <w:ind w:right="113"/>
              <w:jc w:val="right"/>
              <w:rPr>
                <w:sz w:val="15"/>
                <w:szCs w:val="15"/>
              </w:rPr>
            </w:pPr>
            <w:r w:rsidRPr="00B93EE1">
              <w:rPr>
                <w:sz w:val="15"/>
                <w:szCs w:val="15"/>
              </w:rPr>
              <w:t>-170</w:t>
            </w:r>
          </w:p>
        </w:tc>
        <w:tc>
          <w:tcPr>
            <w:tcW w:w="965" w:type="dxa"/>
            <w:noWrap/>
            <w:hideMark/>
          </w:tcPr>
          <w:p w14:paraId="1AFF77D6" w14:textId="77777777" w:rsidR="00120717" w:rsidRPr="00B93EE1" w:rsidRDefault="00120717" w:rsidP="00712D42">
            <w:pPr>
              <w:ind w:right="113"/>
              <w:jc w:val="right"/>
              <w:rPr>
                <w:sz w:val="15"/>
                <w:szCs w:val="15"/>
              </w:rPr>
            </w:pPr>
            <w:r w:rsidRPr="00B93EE1">
              <w:rPr>
                <w:sz w:val="15"/>
                <w:szCs w:val="15"/>
              </w:rPr>
              <w:t>-2,192</w:t>
            </w:r>
          </w:p>
        </w:tc>
        <w:tc>
          <w:tcPr>
            <w:tcW w:w="965" w:type="dxa"/>
            <w:noWrap/>
            <w:hideMark/>
          </w:tcPr>
          <w:p w14:paraId="55A51067" w14:textId="77777777" w:rsidR="00120717" w:rsidRPr="00B93EE1" w:rsidRDefault="00120717" w:rsidP="00712D42">
            <w:pPr>
              <w:ind w:right="113"/>
              <w:jc w:val="right"/>
              <w:rPr>
                <w:sz w:val="15"/>
                <w:szCs w:val="15"/>
              </w:rPr>
            </w:pPr>
            <w:r w:rsidRPr="00B93EE1">
              <w:rPr>
                <w:sz w:val="15"/>
                <w:szCs w:val="15"/>
              </w:rPr>
              <w:t>3,335</w:t>
            </w:r>
          </w:p>
        </w:tc>
        <w:tc>
          <w:tcPr>
            <w:tcW w:w="965" w:type="dxa"/>
            <w:noWrap/>
            <w:hideMark/>
          </w:tcPr>
          <w:p w14:paraId="38731A15" w14:textId="77777777" w:rsidR="00120717" w:rsidRPr="00B93EE1" w:rsidRDefault="00120717" w:rsidP="00712D42">
            <w:pPr>
              <w:ind w:right="113"/>
              <w:jc w:val="right"/>
              <w:rPr>
                <w:sz w:val="15"/>
                <w:szCs w:val="15"/>
              </w:rPr>
            </w:pPr>
            <w:r w:rsidRPr="00B93EE1">
              <w:rPr>
                <w:sz w:val="15"/>
                <w:szCs w:val="15"/>
              </w:rPr>
              <w:t>-19,341</w:t>
            </w:r>
          </w:p>
        </w:tc>
      </w:tr>
      <w:tr w:rsidR="00120717" w:rsidRPr="00B93EE1" w14:paraId="66551CA8" w14:textId="77777777" w:rsidTr="00712D42">
        <w:tc>
          <w:tcPr>
            <w:tcW w:w="2263" w:type="dxa"/>
            <w:noWrap/>
            <w:hideMark/>
          </w:tcPr>
          <w:p w14:paraId="011DA87F" w14:textId="77777777" w:rsidR="00120717" w:rsidRPr="00B93EE1" w:rsidRDefault="00120717" w:rsidP="00712D42">
            <w:pPr>
              <w:ind w:left="340"/>
              <w:jc w:val="left"/>
              <w:rPr>
                <w:sz w:val="15"/>
                <w:szCs w:val="15"/>
              </w:rPr>
            </w:pPr>
            <w:r w:rsidRPr="00B93EE1">
              <w:rPr>
                <w:sz w:val="15"/>
                <w:szCs w:val="15"/>
              </w:rPr>
              <w:t>Direct investment</w:t>
            </w:r>
          </w:p>
        </w:tc>
        <w:tc>
          <w:tcPr>
            <w:tcW w:w="964" w:type="dxa"/>
            <w:noWrap/>
            <w:hideMark/>
          </w:tcPr>
          <w:p w14:paraId="69D5BC1E" w14:textId="77777777" w:rsidR="00120717" w:rsidRPr="00B93EE1" w:rsidRDefault="00120717" w:rsidP="00712D42">
            <w:pPr>
              <w:ind w:right="113"/>
              <w:jc w:val="right"/>
              <w:rPr>
                <w:sz w:val="15"/>
                <w:szCs w:val="15"/>
              </w:rPr>
            </w:pPr>
            <w:r w:rsidRPr="00B93EE1">
              <w:rPr>
                <w:sz w:val="15"/>
                <w:szCs w:val="15"/>
              </w:rPr>
              <w:t>1,411</w:t>
            </w:r>
          </w:p>
        </w:tc>
        <w:tc>
          <w:tcPr>
            <w:tcW w:w="965" w:type="dxa"/>
            <w:noWrap/>
            <w:hideMark/>
          </w:tcPr>
          <w:p w14:paraId="479EBCA4" w14:textId="77777777" w:rsidR="00120717" w:rsidRPr="00B93EE1" w:rsidRDefault="00120717" w:rsidP="00712D42">
            <w:pPr>
              <w:ind w:right="113"/>
              <w:jc w:val="right"/>
              <w:rPr>
                <w:sz w:val="15"/>
                <w:szCs w:val="15"/>
              </w:rPr>
            </w:pPr>
            <w:r w:rsidRPr="00B93EE1">
              <w:rPr>
                <w:sz w:val="15"/>
                <w:szCs w:val="15"/>
              </w:rPr>
              <w:t>995</w:t>
            </w:r>
          </w:p>
        </w:tc>
        <w:tc>
          <w:tcPr>
            <w:tcW w:w="965" w:type="dxa"/>
            <w:noWrap/>
            <w:hideMark/>
          </w:tcPr>
          <w:p w14:paraId="2FB7BA8B" w14:textId="77777777" w:rsidR="00120717" w:rsidRPr="00B93EE1" w:rsidRDefault="00120717" w:rsidP="00712D42">
            <w:pPr>
              <w:ind w:right="113"/>
              <w:jc w:val="right"/>
              <w:rPr>
                <w:sz w:val="15"/>
                <w:szCs w:val="15"/>
              </w:rPr>
            </w:pPr>
            <w:r w:rsidRPr="00B93EE1">
              <w:rPr>
                <w:sz w:val="15"/>
                <w:szCs w:val="15"/>
              </w:rPr>
              <w:t>-1,151</w:t>
            </w:r>
          </w:p>
        </w:tc>
        <w:tc>
          <w:tcPr>
            <w:tcW w:w="964" w:type="dxa"/>
            <w:noWrap/>
            <w:hideMark/>
          </w:tcPr>
          <w:p w14:paraId="367C2D9B" w14:textId="77777777" w:rsidR="00120717" w:rsidRPr="00B93EE1" w:rsidRDefault="00120717" w:rsidP="00712D42">
            <w:pPr>
              <w:ind w:right="113"/>
              <w:jc w:val="right"/>
              <w:rPr>
                <w:sz w:val="15"/>
                <w:szCs w:val="15"/>
              </w:rPr>
            </w:pPr>
            <w:r w:rsidRPr="00B93EE1">
              <w:rPr>
                <w:sz w:val="15"/>
                <w:szCs w:val="15"/>
              </w:rPr>
              <w:t>-1,804</w:t>
            </w:r>
          </w:p>
        </w:tc>
        <w:tc>
          <w:tcPr>
            <w:tcW w:w="965" w:type="dxa"/>
            <w:noWrap/>
            <w:hideMark/>
          </w:tcPr>
          <w:p w14:paraId="54EE553F" w14:textId="77777777" w:rsidR="00120717" w:rsidRPr="00B93EE1" w:rsidRDefault="00120717" w:rsidP="00712D42">
            <w:pPr>
              <w:ind w:right="113"/>
              <w:jc w:val="right"/>
              <w:rPr>
                <w:sz w:val="15"/>
                <w:szCs w:val="15"/>
              </w:rPr>
            </w:pPr>
            <w:r w:rsidRPr="00B93EE1">
              <w:rPr>
                <w:sz w:val="15"/>
                <w:szCs w:val="15"/>
              </w:rPr>
              <w:t>737</w:t>
            </w:r>
          </w:p>
        </w:tc>
        <w:tc>
          <w:tcPr>
            <w:tcW w:w="965" w:type="dxa"/>
            <w:noWrap/>
            <w:hideMark/>
          </w:tcPr>
          <w:p w14:paraId="564925BB" w14:textId="77777777" w:rsidR="00120717" w:rsidRPr="00B93EE1" w:rsidRDefault="00120717" w:rsidP="00712D42">
            <w:pPr>
              <w:ind w:right="113"/>
              <w:jc w:val="right"/>
              <w:rPr>
                <w:sz w:val="15"/>
                <w:szCs w:val="15"/>
              </w:rPr>
            </w:pPr>
            <w:r w:rsidRPr="00B93EE1">
              <w:rPr>
                <w:sz w:val="15"/>
                <w:szCs w:val="15"/>
              </w:rPr>
              <w:t>-812</w:t>
            </w:r>
          </w:p>
        </w:tc>
        <w:tc>
          <w:tcPr>
            <w:tcW w:w="965" w:type="dxa"/>
            <w:noWrap/>
            <w:hideMark/>
          </w:tcPr>
          <w:p w14:paraId="4F395A96" w14:textId="77777777" w:rsidR="00120717" w:rsidRPr="00B93EE1" w:rsidRDefault="00120717" w:rsidP="00712D42">
            <w:pPr>
              <w:ind w:right="113"/>
              <w:jc w:val="right"/>
              <w:rPr>
                <w:sz w:val="15"/>
                <w:szCs w:val="15"/>
              </w:rPr>
            </w:pPr>
            <w:r w:rsidRPr="00B93EE1">
              <w:rPr>
                <w:sz w:val="15"/>
                <w:szCs w:val="15"/>
              </w:rPr>
              <w:t>1,134</w:t>
            </w:r>
          </w:p>
        </w:tc>
      </w:tr>
      <w:tr w:rsidR="00120717" w:rsidRPr="00B93EE1" w14:paraId="51A7E9DA"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6A395602" w14:textId="77777777" w:rsidR="00120717" w:rsidRPr="00B93EE1" w:rsidRDefault="00120717" w:rsidP="00712D42">
            <w:pPr>
              <w:ind w:left="340"/>
              <w:jc w:val="left"/>
              <w:rPr>
                <w:sz w:val="15"/>
                <w:szCs w:val="15"/>
              </w:rPr>
            </w:pPr>
            <w:r w:rsidRPr="00B93EE1">
              <w:rPr>
                <w:sz w:val="15"/>
                <w:szCs w:val="15"/>
              </w:rPr>
              <w:t>Portfolio investment</w:t>
            </w:r>
          </w:p>
        </w:tc>
        <w:tc>
          <w:tcPr>
            <w:tcW w:w="964" w:type="dxa"/>
            <w:noWrap/>
            <w:hideMark/>
          </w:tcPr>
          <w:p w14:paraId="34A58A08" w14:textId="77777777" w:rsidR="00120717" w:rsidRPr="00B93EE1" w:rsidRDefault="00120717" w:rsidP="00712D42">
            <w:pPr>
              <w:ind w:right="113"/>
              <w:jc w:val="right"/>
              <w:rPr>
                <w:sz w:val="15"/>
                <w:szCs w:val="15"/>
              </w:rPr>
            </w:pPr>
            <w:r w:rsidRPr="00B93EE1">
              <w:rPr>
                <w:sz w:val="15"/>
                <w:szCs w:val="15"/>
              </w:rPr>
              <w:t>11,410</w:t>
            </w:r>
          </w:p>
        </w:tc>
        <w:tc>
          <w:tcPr>
            <w:tcW w:w="965" w:type="dxa"/>
            <w:noWrap/>
            <w:hideMark/>
          </w:tcPr>
          <w:p w14:paraId="4DAD1FAF" w14:textId="77777777" w:rsidR="00120717" w:rsidRPr="00B93EE1" w:rsidRDefault="00120717" w:rsidP="00712D42">
            <w:pPr>
              <w:ind w:right="113"/>
              <w:jc w:val="right"/>
              <w:rPr>
                <w:sz w:val="15"/>
                <w:szCs w:val="15"/>
              </w:rPr>
            </w:pPr>
            <w:r w:rsidRPr="00B93EE1">
              <w:rPr>
                <w:sz w:val="15"/>
                <w:szCs w:val="15"/>
              </w:rPr>
              <w:t>4,829</w:t>
            </w:r>
          </w:p>
        </w:tc>
        <w:tc>
          <w:tcPr>
            <w:tcW w:w="965" w:type="dxa"/>
            <w:noWrap/>
            <w:hideMark/>
          </w:tcPr>
          <w:p w14:paraId="05A5610F" w14:textId="77777777" w:rsidR="00120717" w:rsidRPr="00B93EE1" w:rsidRDefault="00120717" w:rsidP="00712D42">
            <w:pPr>
              <w:ind w:right="113"/>
              <w:jc w:val="right"/>
              <w:rPr>
                <w:sz w:val="15"/>
                <w:szCs w:val="15"/>
              </w:rPr>
            </w:pPr>
            <w:r w:rsidRPr="00B93EE1">
              <w:rPr>
                <w:sz w:val="15"/>
                <w:szCs w:val="15"/>
              </w:rPr>
              <w:t>10,081</w:t>
            </w:r>
          </w:p>
        </w:tc>
        <w:tc>
          <w:tcPr>
            <w:tcW w:w="964" w:type="dxa"/>
            <w:noWrap/>
            <w:hideMark/>
          </w:tcPr>
          <w:p w14:paraId="34891FD1" w14:textId="77777777" w:rsidR="00120717" w:rsidRPr="00B93EE1" w:rsidRDefault="00120717" w:rsidP="00712D42">
            <w:pPr>
              <w:ind w:right="113"/>
              <w:jc w:val="right"/>
              <w:rPr>
                <w:sz w:val="15"/>
                <w:szCs w:val="15"/>
              </w:rPr>
            </w:pPr>
            <w:r w:rsidRPr="00B93EE1">
              <w:rPr>
                <w:sz w:val="15"/>
                <w:szCs w:val="15"/>
              </w:rPr>
              <w:t>4,705</w:t>
            </w:r>
          </w:p>
        </w:tc>
        <w:tc>
          <w:tcPr>
            <w:tcW w:w="965" w:type="dxa"/>
            <w:noWrap/>
            <w:hideMark/>
          </w:tcPr>
          <w:p w14:paraId="0B966494" w14:textId="77777777" w:rsidR="00120717" w:rsidRPr="00B93EE1" w:rsidRDefault="00120717" w:rsidP="00712D42">
            <w:pPr>
              <w:ind w:right="113"/>
              <w:jc w:val="right"/>
              <w:rPr>
                <w:sz w:val="15"/>
                <w:szCs w:val="15"/>
              </w:rPr>
            </w:pPr>
            <w:r w:rsidRPr="00B93EE1">
              <w:rPr>
                <w:sz w:val="15"/>
                <w:szCs w:val="15"/>
              </w:rPr>
              <w:t>5,384</w:t>
            </w:r>
          </w:p>
        </w:tc>
        <w:tc>
          <w:tcPr>
            <w:tcW w:w="965" w:type="dxa"/>
            <w:noWrap/>
            <w:hideMark/>
          </w:tcPr>
          <w:p w14:paraId="239D3877" w14:textId="77777777" w:rsidR="00120717" w:rsidRPr="00B93EE1" w:rsidRDefault="00120717" w:rsidP="00712D42">
            <w:pPr>
              <w:ind w:right="113"/>
              <w:jc w:val="right"/>
              <w:rPr>
                <w:sz w:val="15"/>
                <w:szCs w:val="15"/>
              </w:rPr>
            </w:pPr>
            <w:r w:rsidRPr="00B93EE1">
              <w:rPr>
                <w:sz w:val="15"/>
                <w:szCs w:val="15"/>
              </w:rPr>
              <w:t>-5,968</w:t>
            </w:r>
          </w:p>
        </w:tc>
        <w:tc>
          <w:tcPr>
            <w:tcW w:w="965" w:type="dxa"/>
            <w:noWrap/>
            <w:hideMark/>
          </w:tcPr>
          <w:p w14:paraId="618BF7A2" w14:textId="77777777" w:rsidR="00120717" w:rsidRPr="00B93EE1" w:rsidRDefault="00120717" w:rsidP="00712D42">
            <w:pPr>
              <w:ind w:right="113"/>
              <w:jc w:val="right"/>
              <w:rPr>
                <w:sz w:val="15"/>
                <w:szCs w:val="15"/>
              </w:rPr>
            </w:pPr>
            <w:r w:rsidRPr="00B93EE1">
              <w:rPr>
                <w:sz w:val="15"/>
                <w:szCs w:val="15"/>
              </w:rPr>
              <w:t>30,139</w:t>
            </w:r>
          </w:p>
        </w:tc>
      </w:tr>
      <w:tr w:rsidR="00120717" w:rsidRPr="00B93EE1" w14:paraId="2BB37BE3" w14:textId="77777777" w:rsidTr="00712D42">
        <w:tc>
          <w:tcPr>
            <w:tcW w:w="2263" w:type="dxa"/>
            <w:noWrap/>
            <w:hideMark/>
          </w:tcPr>
          <w:p w14:paraId="31C32E88" w14:textId="77777777" w:rsidR="00120717" w:rsidRPr="00B93EE1" w:rsidRDefault="00120717" w:rsidP="00712D42">
            <w:pPr>
              <w:ind w:left="340"/>
              <w:jc w:val="left"/>
              <w:rPr>
                <w:sz w:val="15"/>
                <w:szCs w:val="15"/>
              </w:rPr>
            </w:pPr>
            <w:r w:rsidRPr="00B93EE1">
              <w:rPr>
                <w:sz w:val="15"/>
                <w:szCs w:val="15"/>
              </w:rPr>
              <w:t>Financial derivatives</w:t>
            </w:r>
          </w:p>
        </w:tc>
        <w:tc>
          <w:tcPr>
            <w:tcW w:w="964" w:type="dxa"/>
            <w:noWrap/>
            <w:hideMark/>
          </w:tcPr>
          <w:p w14:paraId="27DCE52F" w14:textId="77777777" w:rsidR="00120717" w:rsidRPr="00B93EE1" w:rsidRDefault="00120717" w:rsidP="00712D42">
            <w:pPr>
              <w:ind w:right="113"/>
              <w:jc w:val="right"/>
              <w:rPr>
                <w:sz w:val="15"/>
                <w:szCs w:val="15"/>
              </w:rPr>
            </w:pPr>
            <w:r w:rsidRPr="00B93EE1">
              <w:rPr>
                <w:sz w:val="15"/>
                <w:szCs w:val="15"/>
              </w:rPr>
              <w:t>-3,889</w:t>
            </w:r>
          </w:p>
        </w:tc>
        <w:tc>
          <w:tcPr>
            <w:tcW w:w="965" w:type="dxa"/>
            <w:noWrap/>
            <w:hideMark/>
          </w:tcPr>
          <w:p w14:paraId="60510461" w14:textId="77777777" w:rsidR="00120717" w:rsidRPr="00B93EE1" w:rsidRDefault="00120717" w:rsidP="00712D42">
            <w:pPr>
              <w:ind w:right="113"/>
              <w:jc w:val="right"/>
              <w:rPr>
                <w:sz w:val="15"/>
                <w:szCs w:val="15"/>
              </w:rPr>
            </w:pPr>
            <w:r w:rsidRPr="00B93EE1">
              <w:rPr>
                <w:sz w:val="15"/>
                <w:szCs w:val="15"/>
              </w:rPr>
              <w:t>-6,724</w:t>
            </w:r>
          </w:p>
        </w:tc>
        <w:tc>
          <w:tcPr>
            <w:tcW w:w="965" w:type="dxa"/>
            <w:noWrap/>
            <w:hideMark/>
          </w:tcPr>
          <w:p w14:paraId="1F21E1F2" w14:textId="77777777" w:rsidR="00120717" w:rsidRPr="00B93EE1" w:rsidRDefault="00120717" w:rsidP="00712D42">
            <w:pPr>
              <w:ind w:right="113"/>
              <w:jc w:val="right"/>
              <w:rPr>
                <w:sz w:val="15"/>
                <w:szCs w:val="15"/>
              </w:rPr>
            </w:pPr>
            <w:r w:rsidRPr="00B93EE1">
              <w:rPr>
                <w:sz w:val="15"/>
                <w:szCs w:val="15"/>
              </w:rPr>
              <w:t>-5,318</w:t>
            </w:r>
          </w:p>
        </w:tc>
        <w:tc>
          <w:tcPr>
            <w:tcW w:w="964" w:type="dxa"/>
            <w:noWrap/>
            <w:hideMark/>
          </w:tcPr>
          <w:p w14:paraId="71E5B92F" w14:textId="77777777" w:rsidR="00120717" w:rsidRPr="00B93EE1" w:rsidRDefault="00120717" w:rsidP="00712D42">
            <w:pPr>
              <w:ind w:right="113"/>
              <w:jc w:val="right"/>
              <w:rPr>
                <w:sz w:val="15"/>
                <w:szCs w:val="15"/>
              </w:rPr>
            </w:pPr>
            <w:r w:rsidRPr="00B93EE1">
              <w:rPr>
                <w:sz w:val="15"/>
                <w:szCs w:val="15"/>
              </w:rPr>
              <w:t>-4,756</w:t>
            </w:r>
          </w:p>
        </w:tc>
        <w:tc>
          <w:tcPr>
            <w:tcW w:w="965" w:type="dxa"/>
            <w:noWrap/>
            <w:hideMark/>
          </w:tcPr>
          <w:p w14:paraId="14FE29BA" w14:textId="77777777" w:rsidR="00120717" w:rsidRPr="00B93EE1" w:rsidRDefault="00120717" w:rsidP="00712D42">
            <w:pPr>
              <w:ind w:right="113"/>
              <w:jc w:val="right"/>
              <w:rPr>
                <w:sz w:val="15"/>
                <w:szCs w:val="15"/>
              </w:rPr>
            </w:pPr>
            <w:r w:rsidRPr="00B93EE1">
              <w:rPr>
                <w:sz w:val="15"/>
                <w:szCs w:val="15"/>
              </w:rPr>
              <w:t>-4,664</w:t>
            </w:r>
          </w:p>
        </w:tc>
        <w:tc>
          <w:tcPr>
            <w:tcW w:w="965" w:type="dxa"/>
            <w:noWrap/>
            <w:hideMark/>
          </w:tcPr>
          <w:p w14:paraId="75937C8A" w14:textId="77777777" w:rsidR="00120717" w:rsidRPr="00B93EE1" w:rsidRDefault="00120717" w:rsidP="00712D42">
            <w:pPr>
              <w:ind w:right="113"/>
              <w:jc w:val="right"/>
              <w:rPr>
                <w:sz w:val="15"/>
                <w:szCs w:val="15"/>
              </w:rPr>
            </w:pPr>
            <w:r w:rsidRPr="00B93EE1">
              <w:rPr>
                <w:sz w:val="15"/>
                <w:szCs w:val="15"/>
              </w:rPr>
              <w:t>-6,229</w:t>
            </w:r>
          </w:p>
        </w:tc>
        <w:tc>
          <w:tcPr>
            <w:tcW w:w="965" w:type="dxa"/>
            <w:noWrap/>
            <w:hideMark/>
          </w:tcPr>
          <w:p w14:paraId="361DAE46" w14:textId="77777777" w:rsidR="00120717" w:rsidRPr="00B93EE1" w:rsidRDefault="00120717" w:rsidP="00712D42">
            <w:pPr>
              <w:ind w:right="113"/>
              <w:jc w:val="right"/>
              <w:rPr>
                <w:sz w:val="15"/>
                <w:szCs w:val="15"/>
              </w:rPr>
            </w:pPr>
            <w:r w:rsidRPr="00B93EE1">
              <w:rPr>
                <w:sz w:val="15"/>
                <w:szCs w:val="15"/>
              </w:rPr>
              <w:t>-17,142</w:t>
            </w:r>
          </w:p>
        </w:tc>
      </w:tr>
      <w:tr w:rsidR="00120717" w:rsidRPr="00B93EE1" w14:paraId="0430F914"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1FA47FBF" w14:textId="77777777" w:rsidR="00120717" w:rsidRPr="00B93EE1" w:rsidRDefault="00120717" w:rsidP="00712D42">
            <w:pPr>
              <w:ind w:left="340"/>
              <w:jc w:val="left"/>
              <w:rPr>
                <w:sz w:val="15"/>
                <w:szCs w:val="15"/>
              </w:rPr>
            </w:pPr>
            <w:r w:rsidRPr="00B93EE1">
              <w:rPr>
                <w:sz w:val="15"/>
                <w:szCs w:val="15"/>
              </w:rPr>
              <w:t>Other investment</w:t>
            </w:r>
          </w:p>
        </w:tc>
        <w:tc>
          <w:tcPr>
            <w:tcW w:w="964" w:type="dxa"/>
            <w:noWrap/>
            <w:hideMark/>
          </w:tcPr>
          <w:p w14:paraId="04C5726B" w14:textId="77777777" w:rsidR="00120717" w:rsidRPr="00B93EE1" w:rsidRDefault="00120717" w:rsidP="00712D42">
            <w:pPr>
              <w:ind w:right="113"/>
              <w:jc w:val="right"/>
              <w:rPr>
                <w:sz w:val="15"/>
                <w:szCs w:val="15"/>
              </w:rPr>
            </w:pPr>
            <w:r w:rsidRPr="00B93EE1">
              <w:rPr>
                <w:sz w:val="15"/>
                <w:szCs w:val="15"/>
              </w:rPr>
              <w:t>-910</w:t>
            </w:r>
          </w:p>
        </w:tc>
        <w:tc>
          <w:tcPr>
            <w:tcW w:w="965" w:type="dxa"/>
            <w:noWrap/>
            <w:hideMark/>
          </w:tcPr>
          <w:p w14:paraId="25C336E8" w14:textId="77777777" w:rsidR="00120717" w:rsidRPr="00B93EE1" w:rsidRDefault="00120717" w:rsidP="00712D42">
            <w:pPr>
              <w:ind w:right="113"/>
              <w:jc w:val="right"/>
              <w:rPr>
                <w:sz w:val="15"/>
                <w:szCs w:val="15"/>
              </w:rPr>
            </w:pPr>
            <w:r w:rsidRPr="00B93EE1">
              <w:rPr>
                <w:sz w:val="15"/>
                <w:szCs w:val="15"/>
              </w:rPr>
              <w:t>-336</w:t>
            </w:r>
          </w:p>
        </w:tc>
        <w:tc>
          <w:tcPr>
            <w:tcW w:w="965" w:type="dxa"/>
            <w:noWrap/>
            <w:hideMark/>
          </w:tcPr>
          <w:p w14:paraId="4D1E396C" w14:textId="77777777" w:rsidR="00120717" w:rsidRPr="00B93EE1" w:rsidRDefault="00120717" w:rsidP="00712D42">
            <w:pPr>
              <w:ind w:right="113"/>
              <w:jc w:val="right"/>
              <w:rPr>
                <w:sz w:val="15"/>
                <w:szCs w:val="15"/>
              </w:rPr>
            </w:pPr>
            <w:r w:rsidRPr="00B93EE1">
              <w:rPr>
                <w:sz w:val="15"/>
                <w:szCs w:val="15"/>
              </w:rPr>
              <w:t>-6,670</w:t>
            </w:r>
          </w:p>
        </w:tc>
        <w:tc>
          <w:tcPr>
            <w:tcW w:w="964" w:type="dxa"/>
            <w:noWrap/>
            <w:hideMark/>
          </w:tcPr>
          <w:p w14:paraId="1B8DC798" w14:textId="77777777" w:rsidR="00120717" w:rsidRPr="00B93EE1" w:rsidRDefault="00120717" w:rsidP="00712D42">
            <w:pPr>
              <w:ind w:right="113"/>
              <w:jc w:val="right"/>
              <w:rPr>
                <w:sz w:val="15"/>
                <w:szCs w:val="15"/>
              </w:rPr>
            </w:pPr>
            <w:r w:rsidRPr="00B93EE1">
              <w:rPr>
                <w:sz w:val="15"/>
                <w:szCs w:val="15"/>
              </w:rPr>
              <w:t>-1,033</w:t>
            </w:r>
          </w:p>
        </w:tc>
        <w:tc>
          <w:tcPr>
            <w:tcW w:w="965" w:type="dxa"/>
            <w:noWrap/>
            <w:hideMark/>
          </w:tcPr>
          <w:p w14:paraId="292EC027" w14:textId="77777777" w:rsidR="00120717" w:rsidRPr="00B93EE1" w:rsidRDefault="00120717" w:rsidP="00712D42">
            <w:pPr>
              <w:ind w:right="113"/>
              <w:jc w:val="right"/>
              <w:rPr>
                <w:sz w:val="15"/>
                <w:szCs w:val="15"/>
              </w:rPr>
            </w:pPr>
            <w:r w:rsidRPr="00B93EE1">
              <w:rPr>
                <w:sz w:val="15"/>
                <w:szCs w:val="15"/>
              </w:rPr>
              <w:t>-742</w:t>
            </w:r>
          </w:p>
        </w:tc>
        <w:tc>
          <w:tcPr>
            <w:tcW w:w="965" w:type="dxa"/>
            <w:noWrap/>
            <w:hideMark/>
          </w:tcPr>
          <w:p w14:paraId="018E58E9" w14:textId="77777777" w:rsidR="00120717" w:rsidRPr="00B93EE1" w:rsidRDefault="00120717" w:rsidP="00712D42">
            <w:pPr>
              <w:ind w:right="113"/>
              <w:jc w:val="right"/>
              <w:rPr>
                <w:sz w:val="15"/>
                <w:szCs w:val="15"/>
              </w:rPr>
            </w:pPr>
            <w:r w:rsidRPr="00B93EE1">
              <w:rPr>
                <w:sz w:val="15"/>
                <w:szCs w:val="15"/>
              </w:rPr>
              <w:t>8,003</w:t>
            </w:r>
          </w:p>
        </w:tc>
        <w:tc>
          <w:tcPr>
            <w:tcW w:w="965" w:type="dxa"/>
            <w:noWrap/>
            <w:hideMark/>
          </w:tcPr>
          <w:p w14:paraId="4CF593B9" w14:textId="77777777" w:rsidR="00120717" w:rsidRPr="00B93EE1" w:rsidRDefault="00120717" w:rsidP="00712D42">
            <w:pPr>
              <w:ind w:right="113"/>
              <w:jc w:val="right"/>
              <w:rPr>
                <w:sz w:val="15"/>
                <w:szCs w:val="15"/>
              </w:rPr>
            </w:pPr>
            <w:r w:rsidRPr="00B93EE1">
              <w:rPr>
                <w:sz w:val="15"/>
                <w:szCs w:val="15"/>
              </w:rPr>
              <w:t>-15,348</w:t>
            </w:r>
          </w:p>
        </w:tc>
      </w:tr>
      <w:tr w:rsidR="00120717" w:rsidRPr="00B93EE1" w14:paraId="6DA5EB50" w14:textId="77777777" w:rsidTr="00712D42">
        <w:tc>
          <w:tcPr>
            <w:tcW w:w="2263" w:type="dxa"/>
            <w:noWrap/>
            <w:hideMark/>
          </w:tcPr>
          <w:p w14:paraId="65D01D2D" w14:textId="77777777" w:rsidR="00120717" w:rsidRPr="00B93EE1" w:rsidRDefault="00120717" w:rsidP="00712D42">
            <w:pPr>
              <w:ind w:left="340"/>
              <w:jc w:val="left"/>
              <w:rPr>
                <w:sz w:val="15"/>
                <w:szCs w:val="15"/>
              </w:rPr>
            </w:pPr>
            <w:r w:rsidRPr="00B93EE1">
              <w:rPr>
                <w:sz w:val="15"/>
                <w:szCs w:val="15"/>
              </w:rPr>
              <w:t>Reserve assets</w:t>
            </w:r>
          </w:p>
        </w:tc>
        <w:tc>
          <w:tcPr>
            <w:tcW w:w="964" w:type="dxa"/>
            <w:noWrap/>
            <w:hideMark/>
          </w:tcPr>
          <w:p w14:paraId="7BFC27ED" w14:textId="77777777" w:rsidR="00120717" w:rsidRPr="00B93EE1" w:rsidRDefault="00120717" w:rsidP="00712D42">
            <w:pPr>
              <w:ind w:right="113"/>
              <w:jc w:val="right"/>
              <w:rPr>
                <w:sz w:val="15"/>
                <w:szCs w:val="15"/>
              </w:rPr>
            </w:pPr>
            <w:r w:rsidRPr="00B93EE1">
              <w:rPr>
                <w:sz w:val="15"/>
                <w:szCs w:val="15"/>
              </w:rPr>
              <w:t>1,936</w:t>
            </w:r>
          </w:p>
        </w:tc>
        <w:tc>
          <w:tcPr>
            <w:tcW w:w="965" w:type="dxa"/>
            <w:noWrap/>
            <w:hideMark/>
          </w:tcPr>
          <w:p w14:paraId="1394B479" w14:textId="77777777" w:rsidR="00120717" w:rsidRPr="00B93EE1" w:rsidRDefault="00120717" w:rsidP="00712D42">
            <w:pPr>
              <w:ind w:right="113"/>
              <w:jc w:val="right"/>
              <w:rPr>
                <w:sz w:val="15"/>
                <w:szCs w:val="15"/>
              </w:rPr>
            </w:pPr>
            <w:r w:rsidRPr="00B93EE1">
              <w:rPr>
                <w:sz w:val="15"/>
                <w:szCs w:val="15"/>
              </w:rPr>
              <w:t>-3,216</w:t>
            </w:r>
          </w:p>
        </w:tc>
        <w:tc>
          <w:tcPr>
            <w:tcW w:w="965" w:type="dxa"/>
            <w:noWrap/>
            <w:hideMark/>
          </w:tcPr>
          <w:p w14:paraId="4ADC45B8" w14:textId="77777777" w:rsidR="00120717" w:rsidRPr="00B93EE1" w:rsidRDefault="00120717" w:rsidP="00712D42">
            <w:pPr>
              <w:ind w:right="113"/>
              <w:jc w:val="right"/>
              <w:rPr>
                <w:sz w:val="15"/>
                <w:szCs w:val="15"/>
              </w:rPr>
            </w:pPr>
            <w:r w:rsidRPr="00B93EE1">
              <w:rPr>
                <w:sz w:val="15"/>
                <w:szCs w:val="15"/>
              </w:rPr>
              <w:t>2,955</w:t>
            </w:r>
          </w:p>
        </w:tc>
        <w:tc>
          <w:tcPr>
            <w:tcW w:w="964" w:type="dxa"/>
            <w:noWrap/>
            <w:hideMark/>
          </w:tcPr>
          <w:p w14:paraId="7F6B93C8" w14:textId="77777777" w:rsidR="00120717" w:rsidRPr="00B93EE1" w:rsidRDefault="00120717" w:rsidP="00712D42">
            <w:pPr>
              <w:ind w:right="113"/>
              <w:jc w:val="right"/>
              <w:rPr>
                <w:sz w:val="15"/>
                <w:szCs w:val="15"/>
              </w:rPr>
            </w:pPr>
            <w:r w:rsidRPr="00B93EE1">
              <w:rPr>
                <w:sz w:val="15"/>
                <w:szCs w:val="15"/>
              </w:rPr>
              <w:t>2,719</w:t>
            </w:r>
          </w:p>
        </w:tc>
        <w:tc>
          <w:tcPr>
            <w:tcW w:w="965" w:type="dxa"/>
            <w:noWrap/>
            <w:hideMark/>
          </w:tcPr>
          <w:p w14:paraId="5D116E18" w14:textId="77777777" w:rsidR="00120717" w:rsidRPr="00B93EE1" w:rsidRDefault="00120717" w:rsidP="00712D42">
            <w:pPr>
              <w:ind w:right="113"/>
              <w:jc w:val="right"/>
              <w:rPr>
                <w:sz w:val="15"/>
                <w:szCs w:val="15"/>
              </w:rPr>
            </w:pPr>
            <w:r w:rsidRPr="00B93EE1">
              <w:rPr>
                <w:sz w:val="15"/>
                <w:szCs w:val="15"/>
              </w:rPr>
              <w:t>-2,907</w:t>
            </w:r>
          </w:p>
        </w:tc>
        <w:tc>
          <w:tcPr>
            <w:tcW w:w="965" w:type="dxa"/>
            <w:noWrap/>
            <w:hideMark/>
          </w:tcPr>
          <w:p w14:paraId="00B9741A" w14:textId="77777777" w:rsidR="00120717" w:rsidRPr="00B93EE1" w:rsidRDefault="00120717" w:rsidP="00712D42">
            <w:pPr>
              <w:ind w:right="113"/>
              <w:jc w:val="right"/>
              <w:rPr>
                <w:sz w:val="15"/>
                <w:szCs w:val="15"/>
              </w:rPr>
            </w:pPr>
            <w:r w:rsidRPr="00B93EE1">
              <w:rPr>
                <w:sz w:val="15"/>
                <w:szCs w:val="15"/>
              </w:rPr>
              <w:t>8,340</w:t>
            </w:r>
          </w:p>
        </w:tc>
        <w:tc>
          <w:tcPr>
            <w:tcW w:w="965" w:type="dxa"/>
            <w:noWrap/>
            <w:hideMark/>
          </w:tcPr>
          <w:p w14:paraId="65A7B3B4" w14:textId="77777777" w:rsidR="00120717" w:rsidRPr="00B93EE1" w:rsidRDefault="00120717" w:rsidP="00712D42">
            <w:pPr>
              <w:ind w:right="113"/>
              <w:jc w:val="right"/>
              <w:rPr>
                <w:sz w:val="15"/>
                <w:szCs w:val="15"/>
              </w:rPr>
            </w:pPr>
            <w:r w:rsidRPr="00B93EE1">
              <w:rPr>
                <w:sz w:val="15"/>
                <w:szCs w:val="15"/>
              </w:rPr>
              <w:t>-18,124</w:t>
            </w:r>
          </w:p>
        </w:tc>
      </w:tr>
      <w:tr w:rsidR="00120717" w:rsidRPr="00B93EE1" w14:paraId="1A1655A2"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11414916" w14:textId="77777777" w:rsidR="00120717" w:rsidRPr="00B93EE1" w:rsidRDefault="00120717" w:rsidP="00712D42">
            <w:pPr>
              <w:ind w:left="170"/>
              <w:jc w:val="left"/>
              <w:rPr>
                <w:sz w:val="15"/>
                <w:szCs w:val="15"/>
              </w:rPr>
            </w:pPr>
            <w:r w:rsidRPr="00B93EE1">
              <w:rPr>
                <w:sz w:val="15"/>
                <w:szCs w:val="15"/>
              </w:rPr>
              <w:t>Foreign investment in New Zealand</w:t>
            </w:r>
          </w:p>
        </w:tc>
        <w:tc>
          <w:tcPr>
            <w:tcW w:w="964" w:type="dxa"/>
            <w:noWrap/>
            <w:hideMark/>
          </w:tcPr>
          <w:p w14:paraId="109D8F8F" w14:textId="77777777" w:rsidR="00120717" w:rsidRPr="00B93EE1" w:rsidRDefault="00120717" w:rsidP="00712D42">
            <w:pPr>
              <w:ind w:right="113"/>
              <w:jc w:val="right"/>
              <w:rPr>
                <w:sz w:val="15"/>
                <w:szCs w:val="15"/>
              </w:rPr>
            </w:pPr>
            <w:r w:rsidRPr="00B93EE1">
              <w:rPr>
                <w:sz w:val="15"/>
                <w:szCs w:val="15"/>
              </w:rPr>
              <w:t>11,218</w:t>
            </w:r>
          </w:p>
        </w:tc>
        <w:tc>
          <w:tcPr>
            <w:tcW w:w="965" w:type="dxa"/>
            <w:noWrap/>
            <w:hideMark/>
          </w:tcPr>
          <w:p w14:paraId="07992E21" w14:textId="77777777" w:rsidR="00120717" w:rsidRPr="00B93EE1" w:rsidRDefault="00120717" w:rsidP="00712D42">
            <w:pPr>
              <w:ind w:right="113"/>
              <w:jc w:val="right"/>
              <w:rPr>
                <w:sz w:val="15"/>
                <w:szCs w:val="15"/>
              </w:rPr>
            </w:pPr>
            <w:r w:rsidRPr="00B93EE1">
              <w:rPr>
                <w:sz w:val="15"/>
                <w:szCs w:val="15"/>
              </w:rPr>
              <w:t>-776</w:t>
            </w:r>
          </w:p>
        </w:tc>
        <w:tc>
          <w:tcPr>
            <w:tcW w:w="965" w:type="dxa"/>
            <w:noWrap/>
            <w:hideMark/>
          </w:tcPr>
          <w:p w14:paraId="1A8B5EEA" w14:textId="77777777" w:rsidR="00120717" w:rsidRPr="00B93EE1" w:rsidRDefault="00120717" w:rsidP="00712D42">
            <w:pPr>
              <w:ind w:right="113"/>
              <w:jc w:val="right"/>
              <w:rPr>
                <w:sz w:val="15"/>
                <w:szCs w:val="15"/>
              </w:rPr>
            </w:pPr>
            <w:r w:rsidRPr="00B93EE1">
              <w:rPr>
                <w:sz w:val="15"/>
                <w:szCs w:val="15"/>
              </w:rPr>
              <w:t>5,329</w:t>
            </w:r>
          </w:p>
        </w:tc>
        <w:tc>
          <w:tcPr>
            <w:tcW w:w="964" w:type="dxa"/>
            <w:noWrap/>
            <w:hideMark/>
          </w:tcPr>
          <w:p w14:paraId="6FC4EFF3" w14:textId="77777777" w:rsidR="00120717" w:rsidRPr="00B93EE1" w:rsidRDefault="00120717" w:rsidP="00712D42">
            <w:pPr>
              <w:ind w:right="113"/>
              <w:jc w:val="right"/>
              <w:rPr>
                <w:sz w:val="15"/>
                <w:szCs w:val="15"/>
              </w:rPr>
            </w:pPr>
            <w:r w:rsidRPr="00B93EE1">
              <w:rPr>
                <w:sz w:val="15"/>
                <w:szCs w:val="15"/>
              </w:rPr>
              <w:t>2,967</w:t>
            </w:r>
          </w:p>
        </w:tc>
        <w:tc>
          <w:tcPr>
            <w:tcW w:w="965" w:type="dxa"/>
            <w:noWrap/>
            <w:hideMark/>
          </w:tcPr>
          <w:p w14:paraId="71363F46" w14:textId="77777777" w:rsidR="00120717" w:rsidRPr="00B93EE1" w:rsidRDefault="00120717" w:rsidP="00712D42">
            <w:pPr>
              <w:ind w:right="113"/>
              <w:jc w:val="right"/>
              <w:rPr>
                <w:sz w:val="15"/>
                <w:szCs w:val="15"/>
              </w:rPr>
            </w:pPr>
            <w:r w:rsidRPr="00B93EE1">
              <w:rPr>
                <w:sz w:val="15"/>
                <w:szCs w:val="15"/>
              </w:rPr>
              <w:t>377</w:t>
            </w:r>
          </w:p>
        </w:tc>
        <w:tc>
          <w:tcPr>
            <w:tcW w:w="965" w:type="dxa"/>
            <w:noWrap/>
            <w:hideMark/>
          </w:tcPr>
          <w:p w14:paraId="49266654" w14:textId="77777777" w:rsidR="00120717" w:rsidRPr="00B93EE1" w:rsidRDefault="00120717" w:rsidP="00712D42">
            <w:pPr>
              <w:ind w:right="113"/>
              <w:jc w:val="right"/>
              <w:rPr>
                <w:sz w:val="15"/>
                <w:szCs w:val="15"/>
              </w:rPr>
            </w:pPr>
            <w:r w:rsidRPr="00B93EE1">
              <w:rPr>
                <w:sz w:val="15"/>
                <w:szCs w:val="15"/>
              </w:rPr>
              <w:t>2,559</w:t>
            </w:r>
          </w:p>
        </w:tc>
        <w:tc>
          <w:tcPr>
            <w:tcW w:w="965" w:type="dxa"/>
            <w:noWrap/>
            <w:hideMark/>
          </w:tcPr>
          <w:p w14:paraId="61306EC5" w14:textId="77777777" w:rsidR="00120717" w:rsidRPr="00B93EE1" w:rsidRDefault="00120717" w:rsidP="00712D42">
            <w:pPr>
              <w:ind w:right="113"/>
              <w:jc w:val="right"/>
              <w:rPr>
                <w:sz w:val="15"/>
                <w:szCs w:val="15"/>
              </w:rPr>
            </w:pPr>
            <w:r w:rsidRPr="00B93EE1">
              <w:rPr>
                <w:sz w:val="15"/>
                <w:szCs w:val="15"/>
              </w:rPr>
              <w:t>-5,945</w:t>
            </w:r>
          </w:p>
        </w:tc>
      </w:tr>
      <w:tr w:rsidR="00120717" w:rsidRPr="00B93EE1" w14:paraId="7AC72DE1" w14:textId="77777777" w:rsidTr="00712D42">
        <w:tc>
          <w:tcPr>
            <w:tcW w:w="2263" w:type="dxa"/>
            <w:noWrap/>
            <w:hideMark/>
          </w:tcPr>
          <w:p w14:paraId="65DFE810" w14:textId="77777777" w:rsidR="00120717" w:rsidRPr="00B93EE1" w:rsidRDefault="00120717" w:rsidP="00712D42">
            <w:pPr>
              <w:ind w:left="340"/>
              <w:jc w:val="left"/>
              <w:rPr>
                <w:sz w:val="15"/>
                <w:szCs w:val="15"/>
              </w:rPr>
            </w:pPr>
            <w:r w:rsidRPr="00B93EE1">
              <w:rPr>
                <w:sz w:val="15"/>
                <w:szCs w:val="15"/>
              </w:rPr>
              <w:t>Direct investment</w:t>
            </w:r>
          </w:p>
        </w:tc>
        <w:tc>
          <w:tcPr>
            <w:tcW w:w="964" w:type="dxa"/>
            <w:noWrap/>
            <w:hideMark/>
          </w:tcPr>
          <w:p w14:paraId="59D6A133" w14:textId="77777777" w:rsidR="00120717" w:rsidRPr="00B93EE1" w:rsidRDefault="00120717" w:rsidP="00712D42">
            <w:pPr>
              <w:ind w:right="113"/>
              <w:jc w:val="right"/>
              <w:rPr>
                <w:sz w:val="15"/>
                <w:szCs w:val="15"/>
              </w:rPr>
            </w:pPr>
            <w:r w:rsidRPr="00B93EE1">
              <w:rPr>
                <w:sz w:val="15"/>
                <w:szCs w:val="15"/>
              </w:rPr>
              <w:t>3,984</w:t>
            </w:r>
          </w:p>
        </w:tc>
        <w:tc>
          <w:tcPr>
            <w:tcW w:w="965" w:type="dxa"/>
            <w:noWrap/>
            <w:hideMark/>
          </w:tcPr>
          <w:p w14:paraId="19F3173E" w14:textId="77777777" w:rsidR="00120717" w:rsidRPr="00B93EE1" w:rsidRDefault="00120717" w:rsidP="00712D42">
            <w:pPr>
              <w:ind w:right="113"/>
              <w:jc w:val="right"/>
              <w:rPr>
                <w:sz w:val="15"/>
                <w:szCs w:val="15"/>
              </w:rPr>
            </w:pPr>
            <w:r w:rsidRPr="00B93EE1">
              <w:rPr>
                <w:sz w:val="15"/>
                <w:szCs w:val="15"/>
              </w:rPr>
              <w:t>1,009</w:t>
            </w:r>
          </w:p>
        </w:tc>
        <w:tc>
          <w:tcPr>
            <w:tcW w:w="965" w:type="dxa"/>
            <w:noWrap/>
            <w:hideMark/>
          </w:tcPr>
          <w:p w14:paraId="1DCF66B7" w14:textId="77777777" w:rsidR="00120717" w:rsidRPr="00B93EE1" w:rsidRDefault="00120717" w:rsidP="00712D42">
            <w:pPr>
              <w:ind w:right="113"/>
              <w:jc w:val="right"/>
              <w:rPr>
                <w:sz w:val="15"/>
                <w:szCs w:val="15"/>
              </w:rPr>
            </w:pPr>
            <w:r w:rsidRPr="00B93EE1">
              <w:rPr>
                <w:sz w:val="15"/>
                <w:szCs w:val="15"/>
              </w:rPr>
              <w:t>1,826</w:t>
            </w:r>
          </w:p>
        </w:tc>
        <w:tc>
          <w:tcPr>
            <w:tcW w:w="964" w:type="dxa"/>
            <w:noWrap/>
            <w:hideMark/>
          </w:tcPr>
          <w:p w14:paraId="38A42F02" w14:textId="77777777" w:rsidR="00120717" w:rsidRPr="00B93EE1" w:rsidRDefault="00120717" w:rsidP="00712D42">
            <w:pPr>
              <w:ind w:right="113"/>
              <w:jc w:val="right"/>
              <w:rPr>
                <w:sz w:val="15"/>
                <w:szCs w:val="15"/>
              </w:rPr>
            </w:pPr>
            <w:r w:rsidRPr="00B93EE1">
              <w:rPr>
                <w:sz w:val="15"/>
                <w:szCs w:val="15"/>
              </w:rPr>
              <w:t>2,988</w:t>
            </w:r>
          </w:p>
        </w:tc>
        <w:tc>
          <w:tcPr>
            <w:tcW w:w="965" w:type="dxa"/>
            <w:noWrap/>
            <w:hideMark/>
          </w:tcPr>
          <w:p w14:paraId="0DAC1FDE" w14:textId="77777777" w:rsidR="00120717" w:rsidRPr="00B93EE1" w:rsidRDefault="00120717" w:rsidP="00712D42">
            <w:pPr>
              <w:ind w:right="113"/>
              <w:jc w:val="right"/>
              <w:rPr>
                <w:sz w:val="15"/>
                <w:szCs w:val="15"/>
              </w:rPr>
            </w:pPr>
            <w:r w:rsidRPr="00B93EE1">
              <w:rPr>
                <w:sz w:val="15"/>
                <w:szCs w:val="15"/>
              </w:rPr>
              <w:t>2,201</w:t>
            </w:r>
          </w:p>
        </w:tc>
        <w:tc>
          <w:tcPr>
            <w:tcW w:w="965" w:type="dxa"/>
            <w:noWrap/>
            <w:hideMark/>
          </w:tcPr>
          <w:p w14:paraId="1F4F4DB5" w14:textId="77777777" w:rsidR="00120717" w:rsidRPr="00B93EE1" w:rsidRDefault="00120717" w:rsidP="00712D42">
            <w:pPr>
              <w:ind w:right="113"/>
              <w:jc w:val="right"/>
              <w:rPr>
                <w:sz w:val="15"/>
                <w:szCs w:val="15"/>
              </w:rPr>
            </w:pPr>
            <w:r w:rsidRPr="00B93EE1">
              <w:rPr>
                <w:sz w:val="15"/>
                <w:szCs w:val="15"/>
              </w:rPr>
              <w:t>6,590</w:t>
            </w:r>
          </w:p>
        </w:tc>
        <w:tc>
          <w:tcPr>
            <w:tcW w:w="965" w:type="dxa"/>
            <w:noWrap/>
            <w:hideMark/>
          </w:tcPr>
          <w:p w14:paraId="4064EC39" w14:textId="77777777" w:rsidR="00120717" w:rsidRPr="00B93EE1" w:rsidRDefault="00120717" w:rsidP="00712D42">
            <w:pPr>
              <w:ind w:right="113"/>
              <w:jc w:val="right"/>
              <w:rPr>
                <w:sz w:val="15"/>
                <w:szCs w:val="15"/>
              </w:rPr>
            </w:pPr>
            <w:r w:rsidRPr="00B93EE1">
              <w:rPr>
                <w:sz w:val="15"/>
                <w:szCs w:val="15"/>
              </w:rPr>
              <w:t>7,365</w:t>
            </w:r>
          </w:p>
        </w:tc>
      </w:tr>
      <w:tr w:rsidR="00120717" w:rsidRPr="00B93EE1" w14:paraId="5DF1E2D7"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46381583" w14:textId="77777777" w:rsidR="00120717" w:rsidRPr="00B93EE1" w:rsidRDefault="00120717" w:rsidP="00712D42">
            <w:pPr>
              <w:ind w:left="340"/>
              <w:jc w:val="left"/>
              <w:rPr>
                <w:sz w:val="15"/>
                <w:szCs w:val="15"/>
              </w:rPr>
            </w:pPr>
            <w:r w:rsidRPr="00B93EE1">
              <w:rPr>
                <w:sz w:val="15"/>
                <w:szCs w:val="15"/>
              </w:rPr>
              <w:t>Portfolio investment</w:t>
            </w:r>
          </w:p>
        </w:tc>
        <w:tc>
          <w:tcPr>
            <w:tcW w:w="964" w:type="dxa"/>
            <w:noWrap/>
            <w:hideMark/>
          </w:tcPr>
          <w:p w14:paraId="709E1755" w14:textId="77777777" w:rsidR="00120717" w:rsidRPr="00B93EE1" w:rsidRDefault="00120717" w:rsidP="00712D42">
            <w:pPr>
              <w:ind w:right="113"/>
              <w:jc w:val="right"/>
              <w:rPr>
                <w:sz w:val="15"/>
                <w:szCs w:val="15"/>
              </w:rPr>
            </w:pPr>
            <w:r w:rsidRPr="00B93EE1">
              <w:rPr>
                <w:sz w:val="15"/>
                <w:szCs w:val="15"/>
              </w:rPr>
              <w:t>16,070</w:t>
            </w:r>
          </w:p>
        </w:tc>
        <w:tc>
          <w:tcPr>
            <w:tcW w:w="965" w:type="dxa"/>
            <w:noWrap/>
            <w:hideMark/>
          </w:tcPr>
          <w:p w14:paraId="7BF2026C" w14:textId="77777777" w:rsidR="00120717" w:rsidRPr="00B93EE1" w:rsidRDefault="00120717" w:rsidP="00712D42">
            <w:pPr>
              <w:ind w:right="113"/>
              <w:jc w:val="right"/>
              <w:rPr>
                <w:sz w:val="15"/>
                <w:szCs w:val="15"/>
              </w:rPr>
            </w:pPr>
            <w:r w:rsidRPr="00B93EE1">
              <w:rPr>
                <w:sz w:val="15"/>
                <w:szCs w:val="15"/>
              </w:rPr>
              <w:t>9,166</w:t>
            </w:r>
          </w:p>
        </w:tc>
        <w:tc>
          <w:tcPr>
            <w:tcW w:w="965" w:type="dxa"/>
            <w:noWrap/>
            <w:hideMark/>
          </w:tcPr>
          <w:p w14:paraId="0E53F4D4" w14:textId="77777777" w:rsidR="00120717" w:rsidRPr="00B93EE1" w:rsidRDefault="00120717" w:rsidP="00712D42">
            <w:pPr>
              <w:ind w:right="113"/>
              <w:jc w:val="right"/>
              <w:rPr>
                <w:sz w:val="15"/>
                <w:szCs w:val="15"/>
              </w:rPr>
            </w:pPr>
            <w:r w:rsidRPr="00B93EE1">
              <w:rPr>
                <w:sz w:val="15"/>
                <w:szCs w:val="15"/>
              </w:rPr>
              <w:t>15,693</w:t>
            </w:r>
          </w:p>
        </w:tc>
        <w:tc>
          <w:tcPr>
            <w:tcW w:w="964" w:type="dxa"/>
            <w:noWrap/>
            <w:hideMark/>
          </w:tcPr>
          <w:p w14:paraId="45E42BC7" w14:textId="77777777" w:rsidR="00120717" w:rsidRPr="00B93EE1" w:rsidRDefault="00120717" w:rsidP="00712D42">
            <w:pPr>
              <w:ind w:right="113"/>
              <w:jc w:val="right"/>
              <w:rPr>
                <w:sz w:val="15"/>
                <w:szCs w:val="15"/>
              </w:rPr>
            </w:pPr>
            <w:r w:rsidRPr="00B93EE1">
              <w:rPr>
                <w:sz w:val="15"/>
                <w:szCs w:val="15"/>
              </w:rPr>
              <w:t>5,170</w:t>
            </w:r>
          </w:p>
        </w:tc>
        <w:tc>
          <w:tcPr>
            <w:tcW w:w="965" w:type="dxa"/>
            <w:noWrap/>
            <w:hideMark/>
          </w:tcPr>
          <w:p w14:paraId="5D704510" w14:textId="77777777" w:rsidR="00120717" w:rsidRPr="00B93EE1" w:rsidRDefault="00120717" w:rsidP="00712D42">
            <w:pPr>
              <w:ind w:right="113"/>
              <w:jc w:val="right"/>
              <w:rPr>
                <w:sz w:val="15"/>
                <w:szCs w:val="15"/>
              </w:rPr>
            </w:pPr>
            <w:r w:rsidRPr="00B93EE1">
              <w:rPr>
                <w:sz w:val="15"/>
                <w:szCs w:val="15"/>
              </w:rPr>
              <w:t>5,969</w:t>
            </w:r>
          </w:p>
        </w:tc>
        <w:tc>
          <w:tcPr>
            <w:tcW w:w="965" w:type="dxa"/>
            <w:noWrap/>
            <w:hideMark/>
          </w:tcPr>
          <w:p w14:paraId="37165380" w14:textId="77777777" w:rsidR="00120717" w:rsidRPr="00B93EE1" w:rsidRDefault="00120717" w:rsidP="00712D42">
            <w:pPr>
              <w:ind w:right="113"/>
              <w:jc w:val="right"/>
              <w:rPr>
                <w:sz w:val="15"/>
                <w:szCs w:val="15"/>
              </w:rPr>
            </w:pPr>
            <w:r w:rsidRPr="00B93EE1">
              <w:rPr>
                <w:sz w:val="15"/>
                <w:szCs w:val="15"/>
              </w:rPr>
              <w:t>5,373</w:t>
            </w:r>
          </w:p>
        </w:tc>
        <w:tc>
          <w:tcPr>
            <w:tcW w:w="965" w:type="dxa"/>
            <w:noWrap/>
            <w:hideMark/>
          </w:tcPr>
          <w:p w14:paraId="6E8E236C" w14:textId="77777777" w:rsidR="00120717" w:rsidRPr="00B93EE1" w:rsidRDefault="00120717" w:rsidP="00712D42">
            <w:pPr>
              <w:ind w:right="113"/>
              <w:jc w:val="right"/>
              <w:rPr>
                <w:sz w:val="15"/>
                <w:szCs w:val="15"/>
              </w:rPr>
            </w:pPr>
            <w:r w:rsidRPr="00B93EE1">
              <w:rPr>
                <w:sz w:val="15"/>
                <w:szCs w:val="15"/>
              </w:rPr>
              <w:t>144</w:t>
            </w:r>
          </w:p>
        </w:tc>
      </w:tr>
      <w:tr w:rsidR="00120717" w:rsidRPr="00B93EE1" w14:paraId="2997A270" w14:textId="77777777" w:rsidTr="00712D42">
        <w:tc>
          <w:tcPr>
            <w:tcW w:w="2263" w:type="dxa"/>
            <w:noWrap/>
            <w:hideMark/>
          </w:tcPr>
          <w:p w14:paraId="23982EA5" w14:textId="77777777" w:rsidR="00120717" w:rsidRPr="00B93EE1" w:rsidRDefault="00120717" w:rsidP="00712D42">
            <w:pPr>
              <w:ind w:left="340"/>
              <w:jc w:val="left"/>
              <w:rPr>
                <w:sz w:val="15"/>
                <w:szCs w:val="15"/>
              </w:rPr>
            </w:pPr>
            <w:r w:rsidRPr="00B93EE1">
              <w:rPr>
                <w:sz w:val="15"/>
                <w:szCs w:val="15"/>
              </w:rPr>
              <w:t>Financial derivatives</w:t>
            </w:r>
          </w:p>
        </w:tc>
        <w:tc>
          <w:tcPr>
            <w:tcW w:w="964" w:type="dxa"/>
            <w:noWrap/>
            <w:hideMark/>
          </w:tcPr>
          <w:p w14:paraId="20422FEF" w14:textId="77777777" w:rsidR="00120717" w:rsidRPr="00B93EE1" w:rsidRDefault="00120717" w:rsidP="00712D42">
            <w:pPr>
              <w:ind w:right="113"/>
              <w:jc w:val="right"/>
              <w:rPr>
                <w:sz w:val="15"/>
                <w:szCs w:val="15"/>
              </w:rPr>
            </w:pPr>
            <w:r w:rsidRPr="00B93EE1">
              <w:rPr>
                <w:sz w:val="15"/>
                <w:szCs w:val="15"/>
              </w:rPr>
              <w:t>-4,799</w:t>
            </w:r>
          </w:p>
        </w:tc>
        <w:tc>
          <w:tcPr>
            <w:tcW w:w="965" w:type="dxa"/>
            <w:noWrap/>
            <w:hideMark/>
          </w:tcPr>
          <w:p w14:paraId="26359BF3" w14:textId="77777777" w:rsidR="00120717" w:rsidRPr="00B93EE1" w:rsidRDefault="00120717" w:rsidP="00712D42">
            <w:pPr>
              <w:ind w:right="113"/>
              <w:jc w:val="right"/>
              <w:rPr>
                <w:sz w:val="15"/>
                <w:szCs w:val="15"/>
              </w:rPr>
            </w:pPr>
            <w:r w:rsidRPr="00B93EE1">
              <w:rPr>
                <w:sz w:val="15"/>
                <w:szCs w:val="15"/>
              </w:rPr>
              <w:t>-9,339</w:t>
            </w:r>
          </w:p>
        </w:tc>
        <w:tc>
          <w:tcPr>
            <w:tcW w:w="965" w:type="dxa"/>
            <w:noWrap/>
            <w:hideMark/>
          </w:tcPr>
          <w:p w14:paraId="71AC6EA0" w14:textId="77777777" w:rsidR="00120717" w:rsidRPr="00B93EE1" w:rsidRDefault="00120717" w:rsidP="00712D42">
            <w:pPr>
              <w:ind w:right="113"/>
              <w:jc w:val="right"/>
              <w:rPr>
                <w:sz w:val="15"/>
                <w:szCs w:val="15"/>
              </w:rPr>
            </w:pPr>
            <w:r w:rsidRPr="00B93EE1">
              <w:rPr>
                <w:sz w:val="15"/>
                <w:szCs w:val="15"/>
              </w:rPr>
              <w:t>-4,356</w:t>
            </w:r>
          </w:p>
        </w:tc>
        <w:tc>
          <w:tcPr>
            <w:tcW w:w="964" w:type="dxa"/>
            <w:noWrap/>
            <w:hideMark/>
          </w:tcPr>
          <w:p w14:paraId="7F1CD68C" w14:textId="77777777" w:rsidR="00120717" w:rsidRPr="00B93EE1" w:rsidRDefault="00120717" w:rsidP="00712D42">
            <w:pPr>
              <w:ind w:right="113"/>
              <w:jc w:val="right"/>
              <w:rPr>
                <w:sz w:val="15"/>
                <w:szCs w:val="15"/>
              </w:rPr>
            </w:pPr>
            <w:r w:rsidRPr="00B93EE1">
              <w:rPr>
                <w:sz w:val="15"/>
                <w:szCs w:val="15"/>
              </w:rPr>
              <w:t>-5,307</w:t>
            </w:r>
          </w:p>
        </w:tc>
        <w:tc>
          <w:tcPr>
            <w:tcW w:w="965" w:type="dxa"/>
            <w:noWrap/>
            <w:hideMark/>
          </w:tcPr>
          <w:p w14:paraId="105FC4C1" w14:textId="77777777" w:rsidR="00120717" w:rsidRPr="00B93EE1" w:rsidRDefault="00120717" w:rsidP="00712D42">
            <w:pPr>
              <w:ind w:right="113"/>
              <w:jc w:val="right"/>
              <w:rPr>
                <w:sz w:val="15"/>
                <w:szCs w:val="15"/>
              </w:rPr>
            </w:pPr>
            <w:r w:rsidRPr="00B93EE1">
              <w:rPr>
                <w:sz w:val="15"/>
                <w:szCs w:val="15"/>
              </w:rPr>
              <w:t>-6,590</w:t>
            </w:r>
          </w:p>
        </w:tc>
        <w:tc>
          <w:tcPr>
            <w:tcW w:w="965" w:type="dxa"/>
            <w:noWrap/>
            <w:hideMark/>
          </w:tcPr>
          <w:p w14:paraId="450BD862" w14:textId="77777777" w:rsidR="00120717" w:rsidRPr="00B93EE1" w:rsidRDefault="00120717" w:rsidP="00712D42">
            <w:pPr>
              <w:ind w:right="113"/>
              <w:jc w:val="right"/>
              <w:rPr>
                <w:sz w:val="15"/>
                <w:szCs w:val="15"/>
              </w:rPr>
            </w:pPr>
            <w:r w:rsidRPr="00B93EE1">
              <w:rPr>
                <w:sz w:val="15"/>
                <w:szCs w:val="15"/>
              </w:rPr>
              <w:t>-8,956</w:t>
            </w:r>
          </w:p>
        </w:tc>
        <w:tc>
          <w:tcPr>
            <w:tcW w:w="965" w:type="dxa"/>
            <w:noWrap/>
            <w:hideMark/>
          </w:tcPr>
          <w:p w14:paraId="7279113F" w14:textId="77777777" w:rsidR="00120717" w:rsidRPr="00B93EE1" w:rsidRDefault="00120717" w:rsidP="00712D42">
            <w:pPr>
              <w:ind w:right="113"/>
              <w:jc w:val="right"/>
              <w:rPr>
                <w:sz w:val="15"/>
                <w:szCs w:val="15"/>
              </w:rPr>
            </w:pPr>
            <w:r w:rsidRPr="00B93EE1">
              <w:rPr>
                <w:sz w:val="15"/>
                <w:szCs w:val="15"/>
              </w:rPr>
              <w:t>-5,506</w:t>
            </w:r>
          </w:p>
        </w:tc>
      </w:tr>
      <w:tr w:rsidR="00120717" w:rsidRPr="00B93EE1" w14:paraId="366A6747"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393F629A" w14:textId="77777777" w:rsidR="00120717" w:rsidRPr="00B93EE1" w:rsidRDefault="00120717" w:rsidP="00712D42">
            <w:pPr>
              <w:ind w:left="340"/>
              <w:jc w:val="left"/>
              <w:rPr>
                <w:sz w:val="15"/>
                <w:szCs w:val="15"/>
              </w:rPr>
            </w:pPr>
            <w:r w:rsidRPr="00B93EE1">
              <w:rPr>
                <w:sz w:val="15"/>
                <w:szCs w:val="15"/>
              </w:rPr>
              <w:t>Other investment</w:t>
            </w:r>
          </w:p>
        </w:tc>
        <w:tc>
          <w:tcPr>
            <w:tcW w:w="964" w:type="dxa"/>
            <w:noWrap/>
            <w:hideMark/>
          </w:tcPr>
          <w:p w14:paraId="4FB68576" w14:textId="77777777" w:rsidR="00120717" w:rsidRPr="00B93EE1" w:rsidRDefault="00120717" w:rsidP="00712D42">
            <w:pPr>
              <w:ind w:right="113"/>
              <w:jc w:val="right"/>
              <w:rPr>
                <w:sz w:val="15"/>
                <w:szCs w:val="15"/>
              </w:rPr>
            </w:pPr>
            <w:r w:rsidRPr="00B93EE1">
              <w:rPr>
                <w:sz w:val="15"/>
                <w:szCs w:val="15"/>
              </w:rPr>
              <w:t>-4,038</w:t>
            </w:r>
          </w:p>
        </w:tc>
        <w:tc>
          <w:tcPr>
            <w:tcW w:w="965" w:type="dxa"/>
            <w:noWrap/>
            <w:hideMark/>
          </w:tcPr>
          <w:p w14:paraId="282ADFB4" w14:textId="77777777" w:rsidR="00120717" w:rsidRPr="00B93EE1" w:rsidRDefault="00120717" w:rsidP="00712D42">
            <w:pPr>
              <w:ind w:right="113"/>
              <w:jc w:val="right"/>
              <w:rPr>
                <w:sz w:val="15"/>
                <w:szCs w:val="15"/>
              </w:rPr>
            </w:pPr>
            <w:r w:rsidRPr="00B93EE1">
              <w:rPr>
                <w:sz w:val="15"/>
                <w:szCs w:val="15"/>
              </w:rPr>
              <w:t>-1,612</w:t>
            </w:r>
          </w:p>
        </w:tc>
        <w:tc>
          <w:tcPr>
            <w:tcW w:w="965" w:type="dxa"/>
            <w:noWrap/>
            <w:hideMark/>
          </w:tcPr>
          <w:p w14:paraId="0FD4BC15" w14:textId="77777777" w:rsidR="00120717" w:rsidRPr="00B93EE1" w:rsidRDefault="00120717" w:rsidP="00712D42">
            <w:pPr>
              <w:ind w:right="113"/>
              <w:jc w:val="right"/>
              <w:rPr>
                <w:sz w:val="15"/>
                <w:szCs w:val="15"/>
              </w:rPr>
            </w:pPr>
            <w:r w:rsidRPr="00B93EE1">
              <w:rPr>
                <w:sz w:val="15"/>
                <w:szCs w:val="15"/>
              </w:rPr>
              <w:t>-7,834</w:t>
            </w:r>
          </w:p>
        </w:tc>
        <w:tc>
          <w:tcPr>
            <w:tcW w:w="964" w:type="dxa"/>
            <w:noWrap/>
            <w:hideMark/>
          </w:tcPr>
          <w:p w14:paraId="6F40343D" w14:textId="77777777" w:rsidR="00120717" w:rsidRPr="00B93EE1" w:rsidRDefault="00120717" w:rsidP="00712D42">
            <w:pPr>
              <w:ind w:right="113"/>
              <w:jc w:val="right"/>
              <w:rPr>
                <w:sz w:val="15"/>
                <w:szCs w:val="15"/>
              </w:rPr>
            </w:pPr>
            <w:r w:rsidRPr="00B93EE1">
              <w:rPr>
                <w:sz w:val="15"/>
                <w:szCs w:val="15"/>
              </w:rPr>
              <w:t>116</w:t>
            </w:r>
          </w:p>
        </w:tc>
        <w:tc>
          <w:tcPr>
            <w:tcW w:w="965" w:type="dxa"/>
            <w:noWrap/>
            <w:hideMark/>
          </w:tcPr>
          <w:p w14:paraId="0D20F45C" w14:textId="77777777" w:rsidR="00120717" w:rsidRPr="00B93EE1" w:rsidRDefault="00120717" w:rsidP="00712D42">
            <w:pPr>
              <w:ind w:right="113"/>
              <w:jc w:val="right"/>
              <w:rPr>
                <w:sz w:val="15"/>
                <w:szCs w:val="15"/>
              </w:rPr>
            </w:pPr>
            <w:r w:rsidRPr="00B93EE1">
              <w:rPr>
                <w:sz w:val="15"/>
                <w:szCs w:val="15"/>
              </w:rPr>
              <w:t>-1,203</w:t>
            </w:r>
          </w:p>
        </w:tc>
        <w:tc>
          <w:tcPr>
            <w:tcW w:w="965" w:type="dxa"/>
            <w:noWrap/>
            <w:hideMark/>
          </w:tcPr>
          <w:p w14:paraId="444B2BFD" w14:textId="77777777" w:rsidR="00120717" w:rsidRPr="00B93EE1" w:rsidRDefault="00120717" w:rsidP="00712D42">
            <w:pPr>
              <w:ind w:right="113"/>
              <w:jc w:val="right"/>
              <w:rPr>
                <w:sz w:val="15"/>
                <w:szCs w:val="15"/>
              </w:rPr>
            </w:pPr>
            <w:r w:rsidRPr="00B93EE1">
              <w:rPr>
                <w:sz w:val="15"/>
                <w:szCs w:val="15"/>
              </w:rPr>
              <w:t>-448</w:t>
            </w:r>
          </w:p>
        </w:tc>
        <w:tc>
          <w:tcPr>
            <w:tcW w:w="965" w:type="dxa"/>
            <w:noWrap/>
            <w:hideMark/>
          </w:tcPr>
          <w:p w14:paraId="12E35617" w14:textId="77777777" w:rsidR="00120717" w:rsidRPr="00B93EE1" w:rsidRDefault="00120717" w:rsidP="00712D42">
            <w:pPr>
              <w:ind w:right="113"/>
              <w:jc w:val="right"/>
              <w:rPr>
                <w:sz w:val="15"/>
                <w:szCs w:val="15"/>
              </w:rPr>
            </w:pPr>
            <w:r w:rsidRPr="00B93EE1">
              <w:rPr>
                <w:sz w:val="15"/>
                <w:szCs w:val="15"/>
              </w:rPr>
              <w:t>-7,949</w:t>
            </w:r>
          </w:p>
        </w:tc>
      </w:tr>
      <w:tr w:rsidR="00120717" w:rsidRPr="00B93EE1" w14:paraId="73BD498C" w14:textId="77777777" w:rsidTr="00712D42">
        <w:tc>
          <w:tcPr>
            <w:tcW w:w="2263" w:type="dxa"/>
            <w:noWrap/>
            <w:hideMark/>
          </w:tcPr>
          <w:p w14:paraId="2B08EE1A" w14:textId="77777777" w:rsidR="00120717" w:rsidRPr="00B93EE1" w:rsidRDefault="00120717" w:rsidP="00712D42">
            <w:pPr>
              <w:jc w:val="left"/>
              <w:rPr>
                <w:color w:val="000000"/>
                <w:sz w:val="15"/>
                <w:szCs w:val="15"/>
              </w:rPr>
            </w:pPr>
            <w:r w:rsidRPr="00B93EE1">
              <w:rPr>
                <w:color w:val="000000"/>
                <w:sz w:val="15"/>
                <w:szCs w:val="15"/>
              </w:rPr>
              <w:t>Net errors and omission</w:t>
            </w:r>
          </w:p>
        </w:tc>
        <w:tc>
          <w:tcPr>
            <w:tcW w:w="964" w:type="dxa"/>
            <w:noWrap/>
            <w:hideMark/>
          </w:tcPr>
          <w:p w14:paraId="10A33716" w14:textId="77777777" w:rsidR="00120717" w:rsidRPr="00B93EE1" w:rsidRDefault="00120717" w:rsidP="00712D42">
            <w:pPr>
              <w:ind w:right="113"/>
              <w:jc w:val="right"/>
              <w:rPr>
                <w:sz w:val="15"/>
                <w:szCs w:val="15"/>
              </w:rPr>
            </w:pPr>
            <w:r w:rsidRPr="00B93EE1">
              <w:rPr>
                <w:sz w:val="15"/>
                <w:szCs w:val="15"/>
              </w:rPr>
              <w:t>6,873</w:t>
            </w:r>
          </w:p>
        </w:tc>
        <w:tc>
          <w:tcPr>
            <w:tcW w:w="965" w:type="dxa"/>
            <w:noWrap/>
            <w:hideMark/>
          </w:tcPr>
          <w:p w14:paraId="60850016" w14:textId="77777777" w:rsidR="00120717" w:rsidRPr="00B93EE1" w:rsidRDefault="00120717" w:rsidP="00712D42">
            <w:pPr>
              <w:ind w:right="113"/>
              <w:jc w:val="right"/>
              <w:rPr>
                <w:sz w:val="15"/>
                <w:szCs w:val="15"/>
              </w:rPr>
            </w:pPr>
            <w:r w:rsidRPr="00B93EE1">
              <w:rPr>
                <w:sz w:val="15"/>
                <w:szCs w:val="15"/>
              </w:rPr>
              <w:t>2,283</w:t>
            </w:r>
          </w:p>
        </w:tc>
        <w:tc>
          <w:tcPr>
            <w:tcW w:w="965" w:type="dxa"/>
            <w:noWrap/>
            <w:hideMark/>
          </w:tcPr>
          <w:p w14:paraId="69613590" w14:textId="77777777" w:rsidR="00120717" w:rsidRPr="00B93EE1" w:rsidRDefault="00120717" w:rsidP="00712D42">
            <w:pPr>
              <w:ind w:right="113"/>
              <w:jc w:val="right"/>
              <w:rPr>
                <w:sz w:val="15"/>
                <w:szCs w:val="15"/>
              </w:rPr>
            </w:pPr>
            <w:r w:rsidRPr="00B93EE1">
              <w:rPr>
                <w:sz w:val="15"/>
                <w:szCs w:val="15"/>
              </w:rPr>
              <w:t>-686</w:t>
            </w:r>
          </w:p>
        </w:tc>
        <w:tc>
          <w:tcPr>
            <w:tcW w:w="964" w:type="dxa"/>
            <w:noWrap/>
            <w:hideMark/>
          </w:tcPr>
          <w:p w14:paraId="5150D2E4" w14:textId="77777777" w:rsidR="00120717" w:rsidRPr="00B93EE1" w:rsidRDefault="00120717" w:rsidP="00712D42">
            <w:pPr>
              <w:ind w:right="113"/>
              <w:jc w:val="right"/>
              <w:rPr>
                <w:sz w:val="15"/>
                <w:szCs w:val="15"/>
              </w:rPr>
            </w:pPr>
            <w:r w:rsidRPr="00B93EE1">
              <w:rPr>
                <w:sz w:val="15"/>
                <w:szCs w:val="15"/>
              </w:rPr>
              <w:t>5,277</w:t>
            </w:r>
          </w:p>
        </w:tc>
        <w:tc>
          <w:tcPr>
            <w:tcW w:w="965" w:type="dxa"/>
            <w:noWrap/>
            <w:hideMark/>
          </w:tcPr>
          <w:p w14:paraId="24B75F27" w14:textId="77777777" w:rsidR="00120717" w:rsidRPr="00B93EE1" w:rsidRDefault="00120717" w:rsidP="00712D42">
            <w:pPr>
              <w:ind w:right="113"/>
              <w:jc w:val="right"/>
              <w:rPr>
                <w:sz w:val="15"/>
                <w:szCs w:val="15"/>
              </w:rPr>
            </w:pPr>
            <w:r w:rsidRPr="00B93EE1">
              <w:rPr>
                <w:sz w:val="15"/>
                <w:szCs w:val="15"/>
              </w:rPr>
              <w:t>8,915</w:t>
            </w:r>
          </w:p>
        </w:tc>
        <w:tc>
          <w:tcPr>
            <w:tcW w:w="965" w:type="dxa"/>
            <w:noWrap/>
            <w:hideMark/>
          </w:tcPr>
          <w:p w14:paraId="29CA2B58" w14:textId="77777777" w:rsidR="00120717" w:rsidRPr="00B93EE1" w:rsidRDefault="00120717" w:rsidP="00712D42">
            <w:pPr>
              <w:ind w:right="113"/>
              <w:jc w:val="right"/>
              <w:rPr>
                <w:sz w:val="15"/>
                <w:szCs w:val="15"/>
              </w:rPr>
            </w:pPr>
            <w:r w:rsidRPr="00B93EE1">
              <w:rPr>
                <w:sz w:val="15"/>
                <w:szCs w:val="15"/>
              </w:rPr>
              <w:t>8,440</w:t>
            </w:r>
          </w:p>
        </w:tc>
        <w:tc>
          <w:tcPr>
            <w:tcW w:w="965" w:type="dxa"/>
            <w:noWrap/>
            <w:hideMark/>
          </w:tcPr>
          <w:p w14:paraId="4BED9015" w14:textId="77777777" w:rsidR="00120717" w:rsidRPr="00B93EE1" w:rsidRDefault="00120717" w:rsidP="00712D42">
            <w:pPr>
              <w:ind w:right="113"/>
              <w:jc w:val="right"/>
              <w:rPr>
                <w:sz w:val="15"/>
                <w:szCs w:val="15"/>
              </w:rPr>
            </w:pPr>
            <w:r w:rsidRPr="00B93EE1">
              <w:rPr>
                <w:sz w:val="15"/>
                <w:szCs w:val="15"/>
              </w:rPr>
              <w:t>-5,191</w:t>
            </w:r>
          </w:p>
        </w:tc>
      </w:tr>
      <w:tr w:rsidR="00120717" w:rsidRPr="00B93EE1" w14:paraId="0F20F5A3"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3FBB6A7C" w14:textId="77777777" w:rsidR="00120717" w:rsidRPr="00B93EE1" w:rsidRDefault="00120717" w:rsidP="00712D42">
            <w:pPr>
              <w:jc w:val="left"/>
              <w:rPr>
                <w:b/>
                <w:bCs/>
                <w:i/>
                <w:iCs/>
                <w:color w:val="000000"/>
                <w:sz w:val="15"/>
                <w:szCs w:val="15"/>
              </w:rPr>
            </w:pPr>
            <w:r w:rsidRPr="00B93EE1">
              <w:rPr>
                <w:b/>
                <w:bCs/>
                <w:i/>
                <w:iCs/>
                <w:color w:val="000000"/>
                <w:sz w:val="15"/>
                <w:szCs w:val="15"/>
              </w:rPr>
              <w:t>Memorandum:</w:t>
            </w:r>
          </w:p>
        </w:tc>
        <w:tc>
          <w:tcPr>
            <w:tcW w:w="964" w:type="dxa"/>
            <w:noWrap/>
            <w:hideMark/>
          </w:tcPr>
          <w:p w14:paraId="13F0DCCF" w14:textId="77777777" w:rsidR="00120717" w:rsidRPr="00B93EE1" w:rsidRDefault="00120717" w:rsidP="00712D42">
            <w:pPr>
              <w:ind w:right="113"/>
              <w:rPr>
                <w:b/>
                <w:bCs/>
                <w:i/>
                <w:iCs/>
                <w:color w:val="000000"/>
                <w:sz w:val="15"/>
                <w:szCs w:val="15"/>
              </w:rPr>
            </w:pPr>
          </w:p>
        </w:tc>
        <w:tc>
          <w:tcPr>
            <w:tcW w:w="965" w:type="dxa"/>
            <w:noWrap/>
            <w:hideMark/>
          </w:tcPr>
          <w:p w14:paraId="1A53A8CC" w14:textId="77777777" w:rsidR="00120717" w:rsidRPr="00B93EE1" w:rsidRDefault="00120717" w:rsidP="00712D42">
            <w:pPr>
              <w:ind w:right="113"/>
              <w:rPr>
                <w:sz w:val="15"/>
                <w:szCs w:val="15"/>
              </w:rPr>
            </w:pPr>
          </w:p>
        </w:tc>
        <w:tc>
          <w:tcPr>
            <w:tcW w:w="965" w:type="dxa"/>
            <w:noWrap/>
            <w:hideMark/>
          </w:tcPr>
          <w:p w14:paraId="167F6B69" w14:textId="77777777" w:rsidR="00120717" w:rsidRPr="00B93EE1" w:rsidRDefault="00120717" w:rsidP="00712D42">
            <w:pPr>
              <w:ind w:right="113"/>
              <w:rPr>
                <w:sz w:val="15"/>
                <w:szCs w:val="15"/>
              </w:rPr>
            </w:pPr>
          </w:p>
        </w:tc>
        <w:tc>
          <w:tcPr>
            <w:tcW w:w="964" w:type="dxa"/>
            <w:noWrap/>
            <w:hideMark/>
          </w:tcPr>
          <w:p w14:paraId="314851B2" w14:textId="77777777" w:rsidR="00120717" w:rsidRPr="00B93EE1" w:rsidRDefault="00120717" w:rsidP="00712D42">
            <w:pPr>
              <w:ind w:right="113"/>
              <w:rPr>
                <w:sz w:val="15"/>
                <w:szCs w:val="15"/>
              </w:rPr>
            </w:pPr>
          </w:p>
        </w:tc>
        <w:tc>
          <w:tcPr>
            <w:tcW w:w="965" w:type="dxa"/>
            <w:noWrap/>
            <w:hideMark/>
          </w:tcPr>
          <w:p w14:paraId="3E72D622" w14:textId="77777777" w:rsidR="00120717" w:rsidRPr="00B93EE1" w:rsidRDefault="00120717" w:rsidP="00712D42">
            <w:pPr>
              <w:ind w:right="113"/>
              <w:rPr>
                <w:sz w:val="15"/>
                <w:szCs w:val="15"/>
              </w:rPr>
            </w:pPr>
          </w:p>
        </w:tc>
        <w:tc>
          <w:tcPr>
            <w:tcW w:w="965" w:type="dxa"/>
            <w:noWrap/>
            <w:hideMark/>
          </w:tcPr>
          <w:p w14:paraId="568DA03B" w14:textId="77777777" w:rsidR="00120717" w:rsidRPr="00B93EE1" w:rsidRDefault="00120717" w:rsidP="00712D42">
            <w:pPr>
              <w:ind w:right="113"/>
              <w:rPr>
                <w:sz w:val="15"/>
                <w:szCs w:val="15"/>
              </w:rPr>
            </w:pPr>
          </w:p>
        </w:tc>
        <w:tc>
          <w:tcPr>
            <w:tcW w:w="965" w:type="dxa"/>
            <w:noWrap/>
            <w:hideMark/>
          </w:tcPr>
          <w:p w14:paraId="1248D506" w14:textId="77777777" w:rsidR="00120717" w:rsidRPr="00B93EE1" w:rsidRDefault="00120717" w:rsidP="00712D42">
            <w:pPr>
              <w:ind w:right="113"/>
              <w:rPr>
                <w:sz w:val="15"/>
                <w:szCs w:val="15"/>
              </w:rPr>
            </w:pPr>
          </w:p>
        </w:tc>
      </w:tr>
      <w:tr w:rsidR="00120717" w:rsidRPr="00B93EE1" w14:paraId="2935F75F" w14:textId="77777777" w:rsidTr="00712D42">
        <w:tc>
          <w:tcPr>
            <w:tcW w:w="2263" w:type="dxa"/>
            <w:noWrap/>
            <w:hideMark/>
          </w:tcPr>
          <w:p w14:paraId="7E7C395D" w14:textId="77777777" w:rsidR="00120717" w:rsidRPr="00B93EE1" w:rsidRDefault="00120717" w:rsidP="00712D42">
            <w:pPr>
              <w:ind w:left="170"/>
              <w:jc w:val="left"/>
              <w:rPr>
                <w:sz w:val="15"/>
                <w:szCs w:val="15"/>
              </w:rPr>
            </w:pPr>
            <w:r w:rsidRPr="00B93EE1">
              <w:rPr>
                <w:sz w:val="15"/>
                <w:szCs w:val="15"/>
              </w:rPr>
              <w:t>Current account as % of GDP</w:t>
            </w:r>
          </w:p>
        </w:tc>
        <w:tc>
          <w:tcPr>
            <w:tcW w:w="964" w:type="dxa"/>
            <w:noWrap/>
            <w:hideMark/>
          </w:tcPr>
          <w:p w14:paraId="7EB1AC1A" w14:textId="77777777" w:rsidR="00120717" w:rsidRPr="00B93EE1" w:rsidRDefault="00120717" w:rsidP="00712D42">
            <w:pPr>
              <w:ind w:right="113"/>
              <w:jc w:val="right"/>
              <w:rPr>
                <w:sz w:val="15"/>
                <w:szCs w:val="15"/>
              </w:rPr>
            </w:pPr>
            <w:r w:rsidRPr="00B93EE1">
              <w:rPr>
                <w:sz w:val="15"/>
                <w:szCs w:val="15"/>
              </w:rPr>
              <w:t>-3.4</w:t>
            </w:r>
          </w:p>
        </w:tc>
        <w:tc>
          <w:tcPr>
            <w:tcW w:w="965" w:type="dxa"/>
            <w:noWrap/>
            <w:hideMark/>
          </w:tcPr>
          <w:p w14:paraId="01246373" w14:textId="77777777" w:rsidR="00120717" w:rsidRPr="00B93EE1" w:rsidRDefault="00120717" w:rsidP="00712D42">
            <w:pPr>
              <w:ind w:right="113"/>
              <w:jc w:val="right"/>
              <w:rPr>
                <w:sz w:val="15"/>
                <w:szCs w:val="15"/>
              </w:rPr>
            </w:pPr>
            <w:r w:rsidRPr="00B93EE1">
              <w:rPr>
                <w:sz w:val="15"/>
                <w:szCs w:val="15"/>
              </w:rPr>
              <w:t>-2.5</w:t>
            </w:r>
          </w:p>
        </w:tc>
        <w:tc>
          <w:tcPr>
            <w:tcW w:w="965" w:type="dxa"/>
            <w:noWrap/>
            <w:hideMark/>
          </w:tcPr>
          <w:p w14:paraId="6C07EBF2" w14:textId="77777777" w:rsidR="00120717" w:rsidRPr="00B93EE1" w:rsidRDefault="00120717" w:rsidP="00712D42">
            <w:pPr>
              <w:ind w:right="113"/>
              <w:jc w:val="right"/>
              <w:rPr>
                <w:sz w:val="15"/>
                <w:szCs w:val="15"/>
              </w:rPr>
            </w:pPr>
            <w:r w:rsidRPr="00B93EE1">
              <w:rPr>
                <w:sz w:val="15"/>
                <w:szCs w:val="15"/>
              </w:rPr>
              <w:t>-2.5</w:t>
            </w:r>
          </w:p>
        </w:tc>
        <w:tc>
          <w:tcPr>
            <w:tcW w:w="964" w:type="dxa"/>
            <w:noWrap/>
            <w:hideMark/>
          </w:tcPr>
          <w:p w14:paraId="06F39376" w14:textId="77777777" w:rsidR="00120717" w:rsidRPr="00B93EE1" w:rsidRDefault="00120717" w:rsidP="00712D42">
            <w:pPr>
              <w:ind w:right="113"/>
              <w:jc w:val="right"/>
              <w:rPr>
                <w:sz w:val="15"/>
                <w:szCs w:val="15"/>
              </w:rPr>
            </w:pPr>
            <w:r w:rsidRPr="00B93EE1">
              <w:rPr>
                <w:sz w:val="15"/>
                <w:szCs w:val="15"/>
              </w:rPr>
              <w:t>-2.9</w:t>
            </w:r>
          </w:p>
        </w:tc>
        <w:tc>
          <w:tcPr>
            <w:tcW w:w="965" w:type="dxa"/>
            <w:noWrap/>
            <w:hideMark/>
          </w:tcPr>
          <w:p w14:paraId="496CCE23" w14:textId="77777777" w:rsidR="00120717" w:rsidRPr="00B93EE1" w:rsidRDefault="00120717" w:rsidP="00712D42">
            <w:pPr>
              <w:ind w:right="113"/>
              <w:jc w:val="right"/>
              <w:rPr>
                <w:sz w:val="15"/>
                <w:szCs w:val="15"/>
              </w:rPr>
            </w:pPr>
            <w:r w:rsidRPr="00B93EE1">
              <w:rPr>
                <w:sz w:val="15"/>
                <w:szCs w:val="15"/>
              </w:rPr>
              <w:t>-3.7</w:t>
            </w:r>
          </w:p>
        </w:tc>
        <w:tc>
          <w:tcPr>
            <w:tcW w:w="965" w:type="dxa"/>
            <w:noWrap/>
            <w:hideMark/>
          </w:tcPr>
          <w:p w14:paraId="6E2CFE5C" w14:textId="77777777" w:rsidR="00120717" w:rsidRPr="00B93EE1" w:rsidRDefault="00120717" w:rsidP="00712D42">
            <w:pPr>
              <w:ind w:right="113"/>
              <w:jc w:val="right"/>
              <w:rPr>
                <w:sz w:val="15"/>
                <w:szCs w:val="15"/>
              </w:rPr>
            </w:pPr>
            <w:r w:rsidRPr="00B93EE1">
              <w:rPr>
                <w:sz w:val="15"/>
                <w:szCs w:val="15"/>
              </w:rPr>
              <w:t>-2.3</w:t>
            </w:r>
          </w:p>
        </w:tc>
        <w:tc>
          <w:tcPr>
            <w:tcW w:w="965" w:type="dxa"/>
            <w:noWrap/>
            <w:hideMark/>
          </w:tcPr>
          <w:p w14:paraId="4F2713F8" w14:textId="77777777" w:rsidR="00120717" w:rsidRPr="00B93EE1" w:rsidRDefault="00120717" w:rsidP="00712D42">
            <w:pPr>
              <w:ind w:right="113"/>
              <w:jc w:val="right"/>
              <w:rPr>
                <w:sz w:val="15"/>
                <w:szCs w:val="15"/>
              </w:rPr>
            </w:pPr>
            <w:r w:rsidRPr="00B93EE1">
              <w:rPr>
                <w:sz w:val="15"/>
                <w:szCs w:val="15"/>
              </w:rPr>
              <w:t>-2.5</w:t>
            </w:r>
          </w:p>
        </w:tc>
      </w:tr>
      <w:tr w:rsidR="00120717" w:rsidRPr="00B93EE1" w14:paraId="696A2D28" w14:textId="77777777" w:rsidTr="00712D42">
        <w:trPr>
          <w:cnfStyle w:val="000000010000" w:firstRow="0" w:lastRow="0" w:firstColumn="0" w:lastColumn="0" w:oddVBand="0" w:evenVBand="0" w:oddHBand="0" w:evenHBand="1" w:firstRowFirstColumn="0" w:firstRowLastColumn="0" w:lastRowFirstColumn="0" w:lastRowLastColumn="0"/>
        </w:trPr>
        <w:tc>
          <w:tcPr>
            <w:tcW w:w="2263" w:type="dxa"/>
            <w:noWrap/>
            <w:hideMark/>
          </w:tcPr>
          <w:p w14:paraId="165FCF08" w14:textId="77777777" w:rsidR="00120717" w:rsidRPr="00B93EE1" w:rsidRDefault="00120717" w:rsidP="00712D42">
            <w:pPr>
              <w:ind w:left="170"/>
              <w:jc w:val="left"/>
              <w:rPr>
                <w:sz w:val="15"/>
                <w:szCs w:val="15"/>
              </w:rPr>
            </w:pPr>
            <w:r w:rsidRPr="00B93EE1">
              <w:rPr>
                <w:sz w:val="15"/>
                <w:szCs w:val="15"/>
              </w:rPr>
              <w:t>Balance of payment as % of GDP</w:t>
            </w:r>
          </w:p>
        </w:tc>
        <w:tc>
          <w:tcPr>
            <w:tcW w:w="964" w:type="dxa"/>
            <w:noWrap/>
            <w:hideMark/>
          </w:tcPr>
          <w:p w14:paraId="74961F60" w14:textId="77777777" w:rsidR="00120717" w:rsidRPr="00B93EE1" w:rsidRDefault="00120717" w:rsidP="00712D42">
            <w:pPr>
              <w:ind w:right="113"/>
              <w:jc w:val="right"/>
              <w:rPr>
                <w:sz w:val="15"/>
                <w:szCs w:val="15"/>
              </w:rPr>
            </w:pPr>
            <w:r w:rsidRPr="00B93EE1">
              <w:rPr>
                <w:sz w:val="15"/>
                <w:szCs w:val="15"/>
              </w:rPr>
              <w:t>-0.8</w:t>
            </w:r>
          </w:p>
        </w:tc>
        <w:tc>
          <w:tcPr>
            <w:tcW w:w="965" w:type="dxa"/>
            <w:noWrap/>
            <w:hideMark/>
          </w:tcPr>
          <w:p w14:paraId="3E3E8BEE" w14:textId="77777777" w:rsidR="00120717" w:rsidRPr="00B93EE1" w:rsidRDefault="00120717" w:rsidP="00712D42">
            <w:pPr>
              <w:ind w:right="113"/>
              <w:jc w:val="right"/>
              <w:rPr>
                <w:sz w:val="15"/>
                <w:szCs w:val="15"/>
              </w:rPr>
            </w:pPr>
            <w:r w:rsidRPr="00B93EE1">
              <w:rPr>
                <w:sz w:val="15"/>
                <w:szCs w:val="15"/>
              </w:rPr>
              <w:t>1.3</w:t>
            </w:r>
          </w:p>
        </w:tc>
        <w:tc>
          <w:tcPr>
            <w:tcW w:w="965" w:type="dxa"/>
            <w:noWrap/>
            <w:hideMark/>
          </w:tcPr>
          <w:p w14:paraId="008AEC3A" w14:textId="77777777" w:rsidR="00120717" w:rsidRPr="00B93EE1" w:rsidRDefault="00120717" w:rsidP="00712D42">
            <w:pPr>
              <w:ind w:right="113"/>
              <w:jc w:val="right"/>
              <w:rPr>
                <w:sz w:val="15"/>
                <w:szCs w:val="15"/>
              </w:rPr>
            </w:pPr>
            <w:r w:rsidRPr="00B93EE1">
              <w:rPr>
                <w:sz w:val="15"/>
                <w:szCs w:val="15"/>
              </w:rPr>
              <w:t>-1.1</w:t>
            </w:r>
          </w:p>
        </w:tc>
        <w:tc>
          <w:tcPr>
            <w:tcW w:w="964" w:type="dxa"/>
            <w:noWrap/>
            <w:hideMark/>
          </w:tcPr>
          <w:p w14:paraId="6C951A79" w14:textId="77777777" w:rsidR="00120717" w:rsidRPr="00B93EE1" w:rsidRDefault="00120717" w:rsidP="00712D42">
            <w:pPr>
              <w:ind w:right="113"/>
              <w:jc w:val="right"/>
              <w:rPr>
                <w:sz w:val="15"/>
                <w:szCs w:val="15"/>
              </w:rPr>
            </w:pPr>
            <w:r w:rsidRPr="00B93EE1">
              <w:rPr>
                <w:sz w:val="15"/>
                <w:szCs w:val="15"/>
              </w:rPr>
              <w:t>-0.9</w:t>
            </w:r>
          </w:p>
        </w:tc>
        <w:tc>
          <w:tcPr>
            <w:tcW w:w="965" w:type="dxa"/>
            <w:noWrap/>
            <w:hideMark/>
          </w:tcPr>
          <w:p w14:paraId="2F259702" w14:textId="77777777" w:rsidR="00120717" w:rsidRPr="00B93EE1" w:rsidRDefault="00120717" w:rsidP="00712D42">
            <w:pPr>
              <w:ind w:right="113"/>
              <w:jc w:val="right"/>
              <w:rPr>
                <w:sz w:val="15"/>
                <w:szCs w:val="15"/>
              </w:rPr>
            </w:pPr>
            <w:r w:rsidRPr="00B93EE1">
              <w:rPr>
                <w:sz w:val="15"/>
                <w:szCs w:val="15"/>
              </w:rPr>
              <w:t>0.9</w:t>
            </w:r>
          </w:p>
        </w:tc>
        <w:tc>
          <w:tcPr>
            <w:tcW w:w="965" w:type="dxa"/>
            <w:noWrap/>
            <w:hideMark/>
          </w:tcPr>
          <w:p w14:paraId="501F0144" w14:textId="77777777" w:rsidR="00120717" w:rsidRPr="00B93EE1" w:rsidRDefault="00120717" w:rsidP="00712D42">
            <w:pPr>
              <w:ind w:right="113"/>
              <w:jc w:val="right"/>
              <w:rPr>
                <w:sz w:val="15"/>
                <w:szCs w:val="15"/>
              </w:rPr>
            </w:pPr>
            <w:r w:rsidRPr="00B93EE1">
              <w:rPr>
                <w:sz w:val="15"/>
                <w:szCs w:val="15"/>
              </w:rPr>
              <w:t>-2.6</w:t>
            </w:r>
          </w:p>
        </w:tc>
        <w:tc>
          <w:tcPr>
            <w:tcW w:w="965" w:type="dxa"/>
            <w:noWrap/>
            <w:hideMark/>
          </w:tcPr>
          <w:p w14:paraId="508069DD" w14:textId="77777777" w:rsidR="00120717" w:rsidRPr="00B93EE1" w:rsidRDefault="00120717" w:rsidP="00712D42">
            <w:pPr>
              <w:ind w:right="113"/>
              <w:jc w:val="right"/>
              <w:rPr>
                <w:sz w:val="15"/>
                <w:szCs w:val="15"/>
              </w:rPr>
            </w:pPr>
            <w:r w:rsidRPr="00B93EE1">
              <w:rPr>
                <w:sz w:val="15"/>
                <w:szCs w:val="15"/>
              </w:rPr>
              <w:t>5.5</w:t>
            </w:r>
          </w:p>
        </w:tc>
      </w:tr>
    </w:tbl>
    <w:p w14:paraId="29534A9F" w14:textId="77777777" w:rsidR="00120717" w:rsidRPr="00B93EE1" w:rsidRDefault="00120717" w:rsidP="003C53A8">
      <w:pPr>
        <w:pStyle w:val="NoteText"/>
        <w:spacing w:before="120" w:after="240"/>
        <w:rPr>
          <w:rFonts w:eastAsia="Calibri"/>
        </w:rPr>
      </w:pPr>
      <w:r w:rsidRPr="00B93EE1">
        <w:rPr>
          <w:rFonts w:eastAsia="Calibri"/>
        </w:rPr>
        <w:t>Source:</w:t>
      </w:r>
      <w:r w:rsidRPr="00B93EE1">
        <w:rPr>
          <w:rFonts w:eastAsia="Calibri"/>
        </w:rPr>
        <w:tab/>
      </w:r>
      <w:r w:rsidRPr="00B93EE1">
        <w:t xml:space="preserve">Statistics New Zealand, </w:t>
      </w:r>
      <w:r w:rsidRPr="00B93EE1">
        <w:rPr>
          <w:i/>
          <w:iCs/>
        </w:rPr>
        <w:t>Balance of Payments</w:t>
      </w:r>
      <w:r w:rsidRPr="00B93EE1">
        <w:t xml:space="preserve">. Viewed at: </w:t>
      </w:r>
      <w:hyperlink r:id="rId21" w:history="1">
        <w:r w:rsidRPr="00B93EE1">
          <w:rPr>
            <w:rStyle w:val="Hyperlink"/>
          </w:rPr>
          <w:t>https://www.stats.govt.nz/topics/balance-of-payments</w:t>
        </w:r>
      </w:hyperlink>
      <w:r w:rsidRPr="00B93EE1">
        <w:t>.</w:t>
      </w:r>
    </w:p>
    <w:p w14:paraId="7B628F99" w14:textId="77777777" w:rsidR="00120717" w:rsidRPr="00F64A35" w:rsidRDefault="00120717" w:rsidP="0096000D">
      <w:pPr>
        <w:pStyle w:val="BodyText"/>
      </w:pPr>
      <w:r w:rsidRPr="00B93EE1">
        <w:t xml:space="preserve">The IMF estimates that New Zealand's current account deficit, as a share of GDP, ranged from 2.1% in 2016 to 4.0% in 2018. In 2020, it narrowed significantly to 0.8% of GDP driven by </w:t>
      </w:r>
      <w:r w:rsidRPr="00B93EE1">
        <w:lastRenderedPageBreak/>
        <w:t>stronger contraction in import than export volumes. Strong terms of trade due to higher food export prices, including for dairy products, also helped narrow down the current account deficit. According to the IMF, however, the deficit is expected to widen again in 2021 to 3.3% of GDP as the economy recovers significantly.</w:t>
      </w:r>
      <w:r w:rsidRPr="00B93EE1">
        <w:rPr>
          <w:rStyle w:val="FootnoteReference"/>
          <w:szCs w:val="20"/>
        </w:rPr>
        <w:footnoteReference w:id="36"/>
      </w:r>
      <w:r w:rsidRPr="00B93EE1">
        <w:t xml:space="preserve"> With relatively high exposure to international tourism, services exports will lag until borders open.</w:t>
      </w:r>
    </w:p>
    <w:p w14:paraId="0F2BD89F" w14:textId="77777777" w:rsidR="00120717" w:rsidRPr="00F64A35" w:rsidRDefault="00120717" w:rsidP="00DD5FD9">
      <w:pPr>
        <w:pStyle w:val="BodyText"/>
      </w:pPr>
      <w:r w:rsidRPr="00B93EE1">
        <w:t>New Zealand's net foreign liabilities as a percentage of GDP were reduced over the review period from a high of 62.0% in 2014/15 to 50.5% in 2020/21, largely because of lower interest payments offshore due to declining global interest rates (Table 1.1). Official external reserves fluctuated during the review period and stood at NZD 18.5 billion (or 5.7% of GDP) by 2020/21 (Table 1.1).</w:t>
      </w:r>
    </w:p>
    <w:p w14:paraId="2021FEF1" w14:textId="77777777" w:rsidR="00120717" w:rsidRPr="00F64A35" w:rsidRDefault="00120717" w:rsidP="00DD5FD9">
      <w:pPr>
        <w:pStyle w:val="BodyText"/>
      </w:pPr>
      <w:r w:rsidRPr="00B93EE1">
        <w:t>Total external debt, as a percentage of GDP, amounted to 88.9% in 2020/21, down from 102.6% in 2014/15 (Table 1.1). Most of external debt (about 80.0%) is held by the private sector.</w:t>
      </w:r>
    </w:p>
    <w:p w14:paraId="533E1959" w14:textId="77777777" w:rsidR="00120717" w:rsidRPr="00F64A35" w:rsidRDefault="00120717" w:rsidP="00B945A5">
      <w:pPr>
        <w:pStyle w:val="Heading2"/>
      </w:pPr>
      <w:bookmarkStart w:id="34" w:name="_Toc415735842"/>
      <w:bookmarkStart w:id="35" w:name="_Toc97800118"/>
      <w:r w:rsidRPr="00B93EE1">
        <w:t>Trade and Investment Performance</w:t>
      </w:r>
      <w:bookmarkEnd w:id="34"/>
      <w:bookmarkEnd w:id="35"/>
    </w:p>
    <w:p w14:paraId="105F5535" w14:textId="77777777" w:rsidR="00120717" w:rsidRPr="00F64A35" w:rsidRDefault="00120717" w:rsidP="00E962FF">
      <w:pPr>
        <w:pStyle w:val="Heading3"/>
        <w:numPr>
          <w:ilvl w:val="2"/>
          <w:numId w:val="20"/>
        </w:numPr>
      </w:pPr>
      <w:bookmarkStart w:id="36" w:name="_Toc97800119"/>
      <w:r w:rsidRPr="00B93EE1">
        <w:t>Trade in goods</w:t>
      </w:r>
      <w:bookmarkEnd w:id="36"/>
    </w:p>
    <w:p w14:paraId="34549EFB" w14:textId="77777777" w:rsidR="00120717" w:rsidRPr="00F64A35" w:rsidRDefault="00120717" w:rsidP="00DD5FD9">
      <w:pPr>
        <w:pStyle w:val="BodyText"/>
      </w:pPr>
      <w:r w:rsidRPr="00B93EE1">
        <w:t>Based on balance-of-payments figures, New Zealand's merchandise exports grew at an average annual rate of 3.3% between 2014/15 and 2019/20, while merchandise imports increased on average by 5.1% annually between the same years. As a result, the trade deficit increased from NZD 453 million in 2014/15 to NZD 3,006 million in 2019/20 (Table 1.2). During that period, the performance of New Zealand's merchandise trade was subject to important fluctuations in commodity prices and the exchange rate (Table 1.1).</w:t>
      </w:r>
    </w:p>
    <w:p w14:paraId="2D63DD06" w14:textId="77777777" w:rsidR="00120717" w:rsidRPr="00F64A35" w:rsidRDefault="00120717" w:rsidP="00DD5FD9">
      <w:pPr>
        <w:pStyle w:val="BodyText"/>
      </w:pPr>
      <w:r w:rsidRPr="00B93EE1">
        <w:t>The performance of New Zealand's exports through the COVID-19 pandemic was better than initially feared, providing much needed support to the economy during the worst of the economic disruption. Nonetheless, the global spread of the pandemic and the resulting containment measures took a heavy toll on New Zealand's merchandise exports and imports. Indeed, New Zealand's total two-way trade fell 17.0% in the year to March 2021, the largest annual fall since data began in the early 1970s.</w:t>
      </w:r>
      <w:r w:rsidRPr="00B93EE1">
        <w:rPr>
          <w:rStyle w:val="FootnoteReference"/>
          <w:szCs w:val="20"/>
        </w:rPr>
        <w:footnoteReference w:id="37"/>
      </w:r>
      <w:r w:rsidRPr="00B93EE1">
        <w:t xml:space="preserve"> Trade performance across New Zealand's key trading partners has varied widely through COVID</w:t>
      </w:r>
      <w:r w:rsidRPr="00B93EE1">
        <w:noBreakHyphen/>
        <w:t>19, based on a range of factors, including the partners' COVID-19 experience and the respective bilateral export/import product mix.</w:t>
      </w:r>
    </w:p>
    <w:p w14:paraId="6B2300D9" w14:textId="77777777" w:rsidR="00120717" w:rsidRPr="00F64A35" w:rsidRDefault="00120717" w:rsidP="00886709">
      <w:pPr>
        <w:pStyle w:val="BodyText"/>
      </w:pPr>
      <w:r w:rsidRPr="00B93EE1">
        <w:t xml:space="preserve">New Zealand's merchandise exports increased from USD 34.4 billion in 2015 to USD 44.8 billion in 2021, a big jump from USD 38.9 billion in 2020 (Table A1.1). </w:t>
      </w:r>
      <w:r w:rsidRPr="00B93EE1">
        <w:rPr>
          <w:rFonts w:eastAsia="Calibri"/>
        </w:rPr>
        <w:t xml:space="preserve">The primary sector continues to be the most important contributor to New Zealand's export earnings. Live animals and animal products, mainly dairy and meat products, </w:t>
      </w:r>
      <w:r w:rsidRPr="00B93EE1">
        <w:t>represented 45.9% of total merchandise exports in 2021 (compared with 42.6% in 2015). Next comes prepared food, beverages and tobacco, which contributed 11.7% of total merchandise exports in 2021 (10.1% in 2015). Vegetable products increased their share in total merchandise exports from 6.2% in 2015 to 7.6% in 2021 (Chart 1.3).</w:t>
      </w:r>
    </w:p>
    <w:p w14:paraId="38E48496" w14:textId="77777777" w:rsidR="00120717" w:rsidRPr="00F64A35" w:rsidRDefault="00120717" w:rsidP="00886709">
      <w:pPr>
        <w:pStyle w:val="BodyText"/>
      </w:pPr>
      <w:r w:rsidRPr="00B93EE1">
        <w:t xml:space="preserve">Merchandise exports also continue to be highly concentrated geographically. In 2021, 71.1% of total exports were shipped to Asia, compared with 62.9% in 2015 (Table A1.2). </w:t>
      </w:r>
      <w:r w:rsidRPr="00B93EE1">
        <w:rPr>
          <w:rFonts w:eastAsia="Calibri"/>
        </w:rPr>
        <w:t>China continues to be New Zealand's largest export market, taking 31.7% of total exports in 2021 (up from 17.6% in 2015)</w:t>
      </w:r>
      <w:r w:rsidRPr="00B93EE1">
        <w:t>, followed by Australia with 12.4%, and the United States with 10.6% (Chart 1.4)</w:t>
      </w:r>
      <w:r w:rsidRPr="00B93EE1">
        <w:rPr>
          <w:szCs w:val="18"/>
        </w:rPr>
        <w:t xml:space="preserve">. </w:t>
      </w:r>
      <w:r w:rsidRPr="00B93EE1">
        <w:rPr>
          <w:rFonts w:eastAsia="Calibri"/>
        </w:rPr>
        <w:t>Other important export destinations in 2021 were Japan (5.7%), the EU-27 (5.1%), and other economies in Asia, such as the Republic of Korea, Chinese Taipei, and Hong Kong, China.</w:t>
      </w:r>
    </w:p>
    <w:p w14:paraId="31BF3CCB" w14:textId="77777777" w:rsidR="00120717" w:rsidRPr="00F64A35" w:rsidRDefault="00120717" w:rsidP="00886709">
      <w:pPr>
        <w:pStyle w:val="BodyText"/>
      </w:pPr>
      <w:bookmarkStart w:id="37" w:name="_Toc415735934"/>
      <w:r w:rsidRPr="00B93EE1">
        <w:t xml:space="preserve">New Zealand's merchandise imports went from USD 36.5 billion in 2015 to USD 49.4 billion in 2021, a big increase after reaching USD 37.1 billion in 2020 (Table A1.3). Total </w:t>
      </w:r>
      <w:r w:rsidRPr="00B93EE1">
        <w:rPr>
          <w:rFonts w:eastAsia="Calibri"/>
        </w:rPr>
        <w:t>imports are dominated by manufactured products and raw materials, led by machinery and electrical equipment with 22.9% share in 2021 (up from 21.6% in 2015) and transport equipment (16.0% in 2021). Chemicals increased their participation in total merchandise imports to 9.8%, while petroleum and other mineral products decreased their participation to 8.1% (Chart 1.3).</w:t>
      </w:r>
    </w:p>
    <w:p w14:paraId="108C0A78" w14:textId="76B377B2" w:rsidR="00120717" w:rsidRPr="00B93EE1" w:rsidRDefault="00927DD0" w:rsidP="00133D67">
      <w:pPr>
        <w:pStyle w:val="Caption"/>
      </w:pPr>
      <w:bookmarkStart w:id="38" w:name="_Toc97792508"/>
      <w:r>
        <w:lastRenderedPageBreak/>
        <w:t xml:space="preserve">Chart </w:t>
      </w:r>
      <w:r w:rsidR="0012793B">
        <w:fldChar w:fldCharType="begin"/>
      </w:r>
      <w:r w:rsidR="0012793B">
        <w:instrText xml:space="preserve"> STYLEREF 1 \s </w:instrText>
      </w:r>
      <w:r w:rsidR="0012793B">
        <w:fldChar w:fldCharType="separate"/>
      </w:r>
      <w:r w:rsidR="00133D67">
        <w:rPr>
          <w:noProof/>
        </w:rPr>
        <w:t>1</w:t>
      </w:r>
      <w:r w:rsidR="0012793B">
        <w:rPr>
          <w:noProof/>
        </w:rPr>
        <w:fldChar w:fldCharType="end"/>
      </w:r>
      <w:r w:rsidR="00133D67">
        <w:t>.</w:t>
      </w:r>
      <w:r w:rsidR="0012793B">
        <w:fldChar w:fldCharType="begin"/>
      </w:r>
      <w:r w:rsidR="0012793B">
        <w:instrText xml:space="preserve"> SEQ Chart \* ARABIC \s 1 </w:instrText>
      </w:r>
      <w:r w:rsidR="0012793B">
        <w:fldChar w:fldCharType="separate"/>
      </w:r>
      <w:r w:rsidR="00133D67">
        <w:rPr>
          <w:noProof/>
        </w:rPr>
        <w:t>3</w:t>
      </w:r>
      <w:r w:rsidR="0012793B">
        <w:rPr>
          <w:noProof/>
        </w:rPr>
        <w:fldChar w:fldCharType="end"/>
      </w:r>
      <w:r w:rsidR="00120717" w:rsidRPr="00B93EE1">
        <w:t xml:space="preserve"> Product composition of merchandise trade by main HS section, 2015 and 202</w:t>
      </w:r>
      <w:bookmarkEnd w:id="37"/>
      <w:r w:rsidR="00120717" w:rsidRPr="00B93EE1">
        <w:t>1</w:t>
      </w:r>
      <w:bookmarkEnd w:id="38"/>
    </w:p>
    <w:p w14:paraId="677A6573" w14:textId="77777777" w:rsidR="00120717" w:rsidRPr="00B93EE1" w:rsidRDefault="00120717" w:rsidP="00241DC1">
      <w:r w:rsidRPr="00B93EE1">
        <w:rPr>
          <w:noProof/>
        </w:rPr>
        <w:drawing>
          <wp:inline distT="0" distB="0" distL="0" distR="0" wp14:anchorId="7DA7A69B" wp14:editId="23AF7661">
            <wp:extent cx="5731061" cy="566080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2619" b="18801"/>
                    <a:stretch/>
                  </pic:blipFill>
                  <pic:spPr bwMode="auto">
                    <a:xfrm>
                      <a:off x="0" y="0"/>
                      <a:ext cx="5731510" cy="5661247"/>
                    </a:xfrm>
                    <a:prstGeom prst="rect">
                      <a:avLst/>
                    </a:prstGeom>
                    <a:noFill/>
                    <a:ln>
                      <a:noFill/>
                    </a:ln>
                    <a:extLst>
                      <a:ext uri="{53640926-AAD7-44D8-BBD7-CCE9431645EC}">
                        <a14:shadowObscured xmlns:a14="http://schemas.microsoft.com/office/drawing/2010/main"/>
                      </a:ext>
                    </a:extLst>
                  </pic:spPr>
                </pic:pic>
              </a:graphicData>
            </a:graphic>
          </wp:inline>
        </w:drawing>
      </w:r>
    </w:p>
    <w:p w14:paraId="5D92CE08" w14:textId="77777777" w:rsidR="00120717" w:rsidRPr="00B93EE1" w:rsidRDefault="00120717" w:rsidP="003C53A8">
      <w:pPr>
        <w:pStyle w:val="NoteText"/>
        <w:spacing w:before="120" w:after="240"/>
        <w:rPr>
          <w:lang w:eastAsia="en-GB"/>
        </w:rPr>
      </w:pPr>
      <w:r w:rsidRPr="00B93EE1">
        <w:rPr>
          <w:rFonts w:eastAsia="Calibri"/>
          <w:lang w:eastAsia="en-GB"/>
        </w:rPr>
        <w:t>Source:</w:t>
      </w:r>
      <w:r w:rsidRPr="00B93EE1">
        <w:rPr>
          <w:rFonts w:eastAsia="Calibri"/>
          <w:lang w:eastAsia="en-GB"/>
        </w:rPr>
        <w:tab/>
      </w:r>
      <w:r w:rsidRPr="00B93EE1">
        <w:rPr>
          <w:lang w:eastAsia="en-GB"/>
        </w:rPr>
        <w:t>WTO Secretariat calculations, based on UN Comtrade database.</w:t>
      </w:r>
    </w:p>
    <w:p w14:paraId="63F70044" w14:textId="77777777" w:rsidR="00120717" w:rsidRPr="00F64A35" w:rsidRDefault="00120717" w:rsidP="00886709">
      <w:pPr>
        <w:pStyle w:val="BodyText"/>
      </w:pPr>
      <w:r w:rsidRPr="00B93EE1">
        <w:t>Asia was the source of 64.2% of total merchandise imports in 2021 (up from 60.7% in 2015), with China increasing its participation from 19.6% to 23.8% during the period. Led by Germany, the EU</w:t>
      </w:r>
      <w:r w:rsidRPr="00B93EE1">
        <w:noBreakHyphen/>
        <w:t xml:space="preserve">27 represented 15.7% of New Zealand's merchandise imports in 2021, compared with 15.1% in 2015. </w:t>
      </w:r>
      <w:r w:rsidRPr="00B93EE1">
        <w:rPr>
          <w:rFonts w:eastAsia="Calibri"/>
        </w:rPr>
        <w:t>Australia supplied 11.3% of total merchandise imports in 2021 (11.9% in 2015). T</w:t>
      </w:r>
      <w:r w:rsidRPr="00B93EE1">
        <w:t>he participation of the United States also decreased from 11.8% in 2015 to 8.6% in 2021, while that of Japan remained at 6.5% in the same years (Table A1.4 and Chart 1.4).</w:t>
      </w:r>
    </w:p>
    <w:p w14:paraId="15D2181B" w14:textId="6F82C26A" w:rsidR="00120717" w:rsidRPr="00B93EE1" w:rsidRDefault="00927DD0" w:rsidP="00927DD0">
      <w:pPr>
        <w:pStyle w:val="Caption"/>
      </w:pPr>
      <w:bookmarkStart w:id="39" w:name="_Toc415735935"/>
      <w:bookmarkStart w:id="40" w:name="_Toc97792509"/>
      <w:r>
        <w:lastRenderedPageBreak/>
        <w:t xml:space="preserve">Chart </w:t>
      </w:r>
      <w:r w:rsidR="0012793B">
        <w:fldChar w:fldCharType="begin"/>
      </w:r>
      <w:r w:rsidR="0012793B">
        <w:instrText xml:space="preserve"> STYLEREF 1 \s </w:instrText>
      </w:r>
      <w:r w:rsidR="0012793B">
        <w:fldChar w:fldCharType="separate"/>
      </w:r>
      <w:r w:rsidR="00133D67">
        <w:rPr>
          <w:noProof/>
        </w:rPr>
        <w:t>1</w:t>
      </w:r>
      <w:r w:rsidR="0012793B">
        <w:rPr>
          <w:noProof/>
        </w:rPr>
        <w:fldChar w:fldCharType="end"/>
      </w:r>
      <w:r w:rsidR="00133D67">
        <w:t>.</w:t>
      </w:r>
      <w:r w:rsidR="0012793B">
        <w:fldChar w:fldCharType="begin"/>
      </w:r>
      <w:r w:rsidR="0012793B">
        <w:instrText xml:space="preserve"> SEQ Chart \* ARABIC \s 1 </w:instrText>
      </w:r>
      <w:r w:rsidR="0012793B">
        <w:fldChar w:fldCharType="separate"/>
      </w:r>
      <w:r w:rsidR="00133D67">
        <w:rPr>
          <w:noProof/>
        </w:rPr>
        <w:t>4</w:t>
      </w:r>
      <w:r w:rsidR="0012793B">
        <w:rPr>
          <w:noProof/>
        </w:rPr>
        <w:fldChar w:fldCharType="end"/>
      </w:r>
      <w:r w:rsidR="00120717" w:rsidRPr="00B93EE1">
        <w:t xml:space="preserve"> Direction of merchandise trade, 2015 and 20</w:t>
      </w:r>
      <w:bookmarkEnd w:id="39"/>
      <w:r w:rsidR="00120717" w:rsidRPr="00B93EE1">
        <w:t>21</w:t>
      </w:r>
      <w:bookmarkEnd w:id="40"/>
    </w:p>
    <w:p w14:paraId="37F390C3" w14:textId="77777777" w:rsidR="00120717" w:rsidRPr="00B93EE1" w:rsidRDefault="00120717" w:rsidP="007D3F6A">
      <w:pPr>
        <w:rPr>
          <w:lang w:eastAsia="en-GB"/>
        </w:rPr>
      </w:pPr>
      <w:r w:rsidRPr="00B93EE1">
        <w:rPr>
          <w:noProof/>
        </w:rPr>
        <w:drawing>
          <wp:inline distT="0" distB="0" distL="0" distR="0" wp14:anchorId="1D5D3AA3" wp14:editId="1C9F3910">
            <wp:extent cx="5731510" cy="61341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2083" b="13576"/>
                    <a:stretch/>
                  </pic:blipFill>
                  <pic:spPr bwMode="auto">
                    <a:xfrm>
                      <a:off x="0" y="0"/>
                      <a:ext cx="5731510" cy="6134100"/>
                    </a:xfrm>
                    <a:prstGeom prst="rect">
                      <a:avLst/>
                    </a:prstGeom>
                    <a:noFill/>
                    <a:ln>
                      <a:noFill/>
                    </a:ln>
                    <a:extLst>
                      <a:ext uri="{53640926-AAD7-44D8-BBD7-CCE9431645EC}">
                        <a14:shadowObscured xmlns:a14="http://schemas.microsoft.com/office/drawing/2010/main"/>
                      </a:ext>
                    </a:extLst>
                  </pic:spPr>
                </pic:pic>
              </a:graphicData>
            </a:graphic>
          </wp:inline>
        </w:drawing>
      </w:r>
    </w:p>
    <w:p w14:paraId="16055139" w14:textId="77777777" w:rsidR="00120717" w:rsidRPr="00B93EE1" w:rsidRDefault="00120717" w:rsidP="003C53A8">
      <w:pPr>
        <w:pStyle w:val="NoteText"/>
        <w:spacing w:before="120" w:after="240"/>
        <w:rPr>
          <w:rFonts w:eastAsia="Calibri"/>
          <w:lang w:eastAsia="en-GB"/>
        </w:rPr>
      </w:pPr>
      <w:r w:rsidRPr="00B93EE1">
        <w:rPr>
          <w:rFonts w:eastAsia="Calibri"/>
          <w:lang w:eastAsia="en-GB"/>
        </w:rPr>
        <w:t>Source:</w:t>
      </w:r>
      <w:r w:rsidRPr="00B93EE1">
        <w:rPr>
          <w:rFonts w:eastAsia="Calibri"/>
          <w:lang w:eastAsia="en-GB"/>
        </w:rPr>
        <w:tab/>
      </w:r>
      <w:r w:rsidRPr="00B93EE1">
        <w:rPr>
          <w:lang w:eastAsia="en-GB"/>
        </w:rPr>
        <w:t>WTO Secretariat calculations, based on UN Comtrade database.</w:t>
      </w:r>
    </w:p>
    <w:p w14:paraId="6509BD04" w14:textId="77777777" w:rsidR="00120717" w:rsidRPr="00F64A35" w:rsidRDefault="00120717" w:rsidP="00B945A5">
      <w:pPr>
        <w:pStyle w:val="Heading3"/>
      </w:pPr>
      <w:bookmarkStart w:id="41" w:name="_Toc415735845"/>
      <w:bookmarkStart w:id="42" w:name="_Toc97800120"/>
      <w:r w:rsidRPr="00B93EE1">
        <w:t>Trade in services</w:t>
      </w:r>
      <w:bookmarkEnd w:id="41"/>
      <w:bookmarkEnd w:id="42"/>
    </w:p>
    <w:p w14:paraId="41A51CF7" w14:textId="77777777" w:rsidR="00120717" w:rsidRPr="00F64A35" w:rsidRDefault="00120717" w:rsidP="00DD5FD9">
      <w:pPr>
        <w:pStyle w:val="BodyText"/>
      </w:pPr>
      <w:r w:rsidRPr="00B93EE1">
        <w:t xml:space="preserve">New Zealand is a net exporter of services, </w:t>
      </w:r>
      <w:r w:rsidRPr="00B93EE1">
        <w:rPr>
          <w:rFonts w:eastAsia="Calibri"/>
        </w:rPr>
        <w:t xml:space="preserve">an important source of foreign exchange. </w:t>
      </w:r>
      <w:r w:rsidRPr="00B93EE1">
        <w:t>Unsurprisingly, the trading sectors hardest hit by the COVID-19 pandemic have been the services sectors, where restrictions on international travel have significantly impaired the ability to trade. Indeed, t</w:t>
      </w:r>
      <w:r w:rsidRPr="00B93EE1">
        <w:rPr>
          <w:rFonts w:eastAsia="Calibri"/>
        </w:rPr>
        <w:t xml:space="preserve">he services </w:t>
      </w:r>
      <w:r w:rsidRPr="00B93EE1">
        <w:t>surplus increased from NZD 2.4 billion in 2014/15 to a peak of NZD 5.5 billion in 2017/18 and declined to NZD 4.0 billion in 2019/20 (Table 1.2).</w:t>
      </w:r>
    </w:p>
    <w:p w14:paraId="765519C0" w14:textId="77777777" w:rsidR="00120717" w:rsidRPr="00F64A35" w:rsidRDefault="00120717" w:rsidP="00DD5FD9">
      <w:pPr>
        <w:pStyle w:val="BodyText"/>
      </w:pPr>
      <w:r w:rsidRPr="00B93EE1">
        <w:t>Despite the pandemic, travel (tourism) remains the most important services category, contributing 35.0% of total value of services exports in 2020/21 (Table 1.3). Other business services</w:t>
      </w:r>
      <w:r w:rsidRPr="00B93EE1">
        <w:rPr>
          <w:rFonts w:eastAsia="Calibri"/>
        </w:rPr>
        <w:t xml:space="preserve"> is the second-largest export service with a share of 15.8%, followed by telecommunication, computer and information services (11.6%). Imports of services are led by other business services, accounting for 26.0% of the total value of services imports in 2020/21, followed by transportation with 18.2% share, and telecommunication, computer and information services (15.3%).</w:t>
      </w:r>
    </w:p>
    <w:p w14:paraId="39C9DBC7" w14:textId="0F1906FF" w:rsidR="00120717" w:rsidRPr="00B93EE1" w:rsidRDefault="00E724E6" w:rsidP="00E724E6">
      <w:pPr>
        <w:pStyle w:val="Caption"/>
      </w:pPr>
      <w:bookmarkStart w:id="43" w:name="_Toc418783231"/>
      <w:bookmarkStart w:id="44" w:name="_Toc97793383"/>
      <w:r>
        <w:lastRenderedPageBreak/>
        <w:t xml:space="preserve">Table </w:t>
      </w:r>
      <w:r w:rsidR="0012793B">
        <w:fldChar w:fldCharType="begin"/>
      </w:r>
      <w:r w:rsidR="0012793B">
        <w:instrText xml:space="preserve"> STYLEREF 1 \s </w:instrText>
      </w:r>
      <w:r w:rsidR="0012793B">
        <w:fldChar w:fldCharType="separate"/>
      </w:r>
      <w:r w:rsidR="00D37A97">
        <w:rPr>
          <w:noProof/>
        </w:rPr>
        <w:t>1</w:t>
      </w:r>
      <w:r w:rsidR="0012793B">
        <w:rPr>
          <w:noProof/>
        </w:rPr>
        <w:fldChar w:fldCharType="end"/>
      </w:r>
      <w:r w:rsidR="00D37A97">
        <w:t>.</w:t>
      </w:r>
      <w:r w:rsidR="0012793B">
        <w:fldChar w:fldCharType="begin"/>
      </w:r>
      <w:r w:rsidR="0012793B">
        <w:instrText xml:space="preserve"> SEQ Table \* ARABIC \s 1 </w:instrText>
      </w:r>
      <w:r w:rsidR="0012793B">
        <w:fldChar w:fldCharType="separate"/>
      </w:r>
      <w:r w:rsidR="00D37A97">
        <w:rPr>
          <w:noProof/>
        </w:rPr>
        <w:t>3</w:t>
      </w:r>
      <w:r w:rsidR="0012793B">
        <w:rPr>
          <w:noProof/>
        </w:rPr>
        <w:fldChar w:fldCharType="end"/>
      </w:r>
      <w:r w:rsidR="00120717" w:rsidRPr="00B93EE1">
        <w:t xml:space="preserve"> Composition of trade in services, 2014/15-2020/2</w:t>
      </w:r>
      <w:bookmarkEnd w:id="43"/>
      <w:r w:rsidR="00120717" w:rsidRPr="00B93EE1">
        <w:t>1</w:t>
      </w:r>
      <w:bookmarkEnd w:id="44"/>
    </w:p>
    <w:tbl>
      <w:tblPr>
        <w:tblStyle w:val="WTOTable1"/>
        <w:tblW w:w="0" w:type="auto"/>
        <w:tblLayout w:type="fixed"/>
        <w:tblCellMar>
          <w:left w:w="85" w:type="dxa"/>
          <w:right w:w="85" w:type="dxa"/>
        </w:tblCellMar>
        <w:tblLook w:val="04A0" w:firstRow="1" w:lastRow="0" w:firstColumn="1" w:lastColumn="0" w:noHBand="0" w:noVBand="1"/>
      </w:tblPr>
      <w:tblGrid>
        <w:gridCol w:w="2547"/>
        <w:gridCol w:w="924"/>
        <w:gridCol w:w="923"/>
        <w:gridCol w:w="923"/>
        <w:gridCol w:w="923"/>
        <w:gridCol w:w="923"/>
        <w:gridCol w:w="923"/>
        <w:gridCol w:w="930"/>
      </w:tblGrid>
      <w:tr w:rsidR="00120717" w:rsidRPr="00B93EE1" w14:paraId="6E56B2A4" w14:textId="77777777" w:rsidTr="00D43564">
        <w:trPr>
          <w:cnfStyle w:val="100000000000" w:firstRow="1" w:lastRow="0" w:firstColumn="0" w:lastColumn="0" w:oddVBand="0" w:evenVBand="0" w:oddHBand="0" w:evenHBand="0" w:firstRowFirstColumn="0" w:firstRowLastColumn="0" w:lastRowFirstColumn="0" w:lastRowLastColumn="0"/>
        </w:trPr>
        <w:tc>
          <w:tcPr>
            <w:tcW w:w="2547" w:type="dxa"/>
            <w:noWrap/>
            <w:hideMark/>
          </w:tcPr>
          <w:p w14:paraId="1001330B" w14:textId="77777777" w:rsidR="00120717" w:rsidRPr="00B93EE1" w:rsidRDefault="00120717" w:rsidP="00D43564">
            <w:pPr>
              <w:jc w:val="left"/>
              <w:rPr>
                <w:rFonts w:eastAsia="SimSun"/>
                <w:bCs/>
                <w:color w:val="FFFFFF" w:themeColor="background1"/>
                <w:sz w:val="15"/>
                <w:szCs w:val="15"/>
              </w:rPr>
            </w:pPr>
            <w:r w:rsidRPr="00B93EE1">
              <w:rPr>
                <w:rFonts w:eastAsia="SimSun"/>
                <w:b w:val="0"/>
                <w:bCs/>
                <w:color w:val="FFFFFF" w:themeColor="background1"/>
                <w:sz w:val="15"/>
                <w:szCs w:val="15"/>
              </w:rPr>
              <w:t> </w:t>
            </w:r>
          </w:p>
        </w:tc>
        <w:tc>
          <w:tcPr>
            <w:tcW w:w="924" w:type="dxa"/>
            <w:noWrap/>
            <w:hideMark/>
          </w:tcPr>
          <w:p w14:paraId="190FE6FE" w14:textId="77777777" w:rsidR="00120717" w:rsidRPr="00B93EE1" w:rsidRDefault="00120717" w:rsidP="00D43564">
            <w:pPr>
              <w:jc w:val="center"/>
              <w:rPr>
                <w:rFonts w:eastAsia="SimSun"/>
                <w:b w:val="0"/>
                <w:color w:val="FFFFFF" w:themeColor="background1"/>
                <w:sz w:val="15"/>
                <w:szCs w:val="15"/>
              </w:rPr>
            </w:pPr>
            <w:r w:rsidRPr="00B93EE1">
              <w:rPr>
                <w:rFonts w:eastAsia="SimSun"/>
                <w:color w:val="FFFFFF" w:themeColor="background1"/>
                <w:sz w:val="15"/>
                <w:szCs w:val="15"/>
              </w:rPr>
              <w:t>2014/15</w:t>
            </w:r>
          </w:p>
        </w:tc>
        <w:tc>
          <w:tcPr>
            <w:tcW w:w="923" w:type="dxa"/>
            <w:noWrap/>
            <w:hideMark/>
          </w:tcPr>
          <w:p w14:paraId="121D6861" w14:textId="77777777" w:rsidR="00120717" w:rsidRPr="00B93EE1" w:rsidRDefault="00120717" w:rsidP="00D43564">
            <w:pPr>
              <w:jc w:val="center"/>
              <w:rPr>
                <w:rFonts w:eastAsia="SimSun"/>
                <w:color w:val="FFFFFF" w:themeColor="background1"/>
                <w:sz w:val="15"/>
                <w:szCs w:val="15"/>
              </w:rPr>
            </w:pPr>
            <w:r w:rsidRPr="00B93EE1">
              <w:rPr>
                <w:rFonts w:eastAsia="SimSun"/>
                <w:color w:val="FFFFFF" w:themeColor="background1"/>
                <w:sz w:val="15"/>
                <w:szCs w:val="15"/>
              </w:rPr>
              <w:t>2015/16</w:t>
            </w:r>
          </w:p>
        </w:tc>
        <w:tc>
          <w:tcPr>
            <w:tcW w:w="923" w:type="dxa"/>
            <w:noWrap/>
            <w:hideMark/>
          </w:tcPr>
          <w:p w14:paraId="0D3A1D5E" w14:textId="77777777" w:rsidR="00120717" w:rsidRPr="00B93EE1" w:rsidRDefault="00120717" w:rsidP="00D43564">
            <w:pPr>
              <w:jc w:val="center"/>
              <w:rPr>
                <w:rFonts w:eastAsia="SimSun"/>
                <w:color w:val="FFFFFF" w:themeColor="background1"/>
                <w:sz w:val="15"/>
                <w:szCs w:val="15"/>
              </w:rPr>
            </w:pPr>
            <w:r w:rsidRPr="00B93EE1">
              <w:rPr>
                <w:rFonts w:eastAsia="SimSun"/>
                <w:color w:val="FFFFFF" w:themeColor="background1"/>
                <w:sz w:val="15"/>
                <w:szCs w:val="15"/>
              </w:rPr>
              <w:t>2016/17</w:t>
            </w:r>
          </w:p>
        </w:tc>
        <w:tc>
          <w:tcPr>
            <w:tcW w:w="923" w:type="dxa"/>
            <w:noWrap/>
            <w:hideMark/>
          </w:tcPr>
          <w:p w14:paraId="0985679C" w14:textId="77777777" w:rsidR="00120717" w:rsidRPr="00B93EE1" w:rsidRDefault="00120717" w:rsidP="00D43564">
            <w:pPr>
              <w:jc w:val="center"/>
              <w:rPr>
                <w:rFonts w:eastAsia="SimSun"/>
                <w:color w:val="FFFFFF" w:themeColor="background1"/>
                <w:sz w:val="15"/>
                <w:szCs w:val="15"/>
              </w:rPr>
            </w:pPr>
            <w:r w:rsidRPr="00B93EE1">
              <w:rPr>
                <w:rFonts w:eastAsia="SimSun"/>
                <w:color w:val="FFFFFF" w:themeColor="background1"/>
                <w:sz w:val="15"/>
                <w:szCs w:val="15"/>
              </w:rPr>
              <w:t>2017/18</w:t>
            </w:r>
          </w:p>
        </w:tc>
        <w:tc>
          <w:tcPr>
            <w:tcW w:w="923" w:type="dxa"/>
            <w:noWrap/>
            <w:hideMark/>
          </w:tcPr>
          <w:p w14:paraId="5DE47196" w14:textId="77777777" w:rsidR="00120717" w:rsidRPr="00B93EE1" w:rsidRDefault="00120717" w:rsidP="00D43564">
            <w:pPr>
              <w:jc w:val="center"/>
              <w:rPr>
                <w:rFonts w:eastAsia="SimSun"/>
                <w:color w:val="FFFFFF" w:themeColor="background1"/>
                <w:sz w:val="15"/>
                <w:szCs w:val="15"/>
              </w:rPr>
            </w:pPr>
            <w:r w:rsidRPr="00B93EE1">
              <w:rPr>
                <w:rFonts w:eastAsia="SimSun"/>
                <w:color w:val="FFFFFF" w:themeColor="background1"/>
                <w:sz w:val="15"/>
                <w:szCs w:val="15"/>
              </w:rPr>
              <w:t>2018/19</w:t>
            </w:r>
          </w:p>
        </w:tc>
        <w:tc>
          <w:tcPr>
            <w:tcW w:w="923" w:type="dxa"/>
            <w:noWrap/>
            <w:hideMark/>
          </w:tcPr>
          <w:p w14:paraId="1FE65DE3" w14:textId="77777777" w:rsidR="00120717" w:rsidRPr="00B93EE1" w:rsidRDefault="00120717" w:rsidP="00D43564">
            <w:pPr>
              <w:jc w:val="center"/>
              <w:rPr>
                <w:rFonts w:eastAsia="SimSun"/>
                <w:color w:val="FFFFFF" w:themeColor="background1"/>
                <w:sz w:val="15"/>
                <w:szCs w:val="15"/>
              </w:rPr>
            </w:pPr>
            <w:r w:rsidRPr="00B93EE1">
              <w:rPr>
                <w:rFonts w:eastAsia="SimSun"/>
                <w:color w:val="FFFFFF" w:themeColor="background1"/>
                <w:sz w:val="15"/>
                <w:szCs w:val="15"/>
              </w:rPr>
              <w:t>2019/20</w:t>
            </w:r>
          </w:p>
        </w:tc>
        <w:tc>
          <w:tcPr>
            <w:tcW w:w="930" w:type="dxa"/>
            <w:noWrap/>
            <w:hideMark/>
          </w:tcPr>
          <w:p w14:paraId="63AC917F" w14:textId="77777777" w:rsidR="00120717" w:rsidRPr="00B93EE1" w:rsidRDefault="00120717" w:rsidP="00D43564">
            <w:pPr>
              <w:jc w:val="center"/>
              <w:rPr>
                <w:rFonts w:eastAsia="SimSun"/>
                <w:color w:val="FFFFFF" w:themeColor="background1"/>
                <w:sz w:val="15"/>
                <w:szCs w:val="15"/>
              </w:rPr>
            </w:pPr>
            <w:r w:rsidRPr="00B93EE1">
              <w:rPr>
                <w:rFonts w:eastAsia="SimSun"/>
                <w:color w:val="FFFFFF" w:themeColor="background1"/>
                <w:sz w:val="15"/>
                <w:szCs w:val="15"/>
              </w:rPr>
              <w:t>2020/21</w:t>
            </w:r>
          </w:p>
        </w:tc>
      </w:tr>
      <w:tr w:rsidR="00120717" w:rsidRPr="00B93EE1" w14:paraId="5120A6B3" w14:textId="77777777" w:rsidTr="00D43564">
        <w:tc>
          <w:tcPr>
            <w:tcW w:w="2547" w:type="dxa"/>
            <w:noWrap/>
            <w:hideMark/>
          </w:tcPr>
          <w:p w14:paraId="0F1020F0" w14:textId="77777777" w:rsidR="00120717" w:rsidRPr="00B93EE1" w:rsidRDefault="00120717" w:rsidP="00D43564">
            <w:pPr>
              <w:jc w:val="left"/>
              <w:rPr>
                <w:rFonts w:eastAsia="SimSun"/>
                <w:sz w:val="15"/>
                <w:szCs w:val="15"/>
              </w:rPr>
            </w:pPr>
            <w:r w:rsidRPr="00B93EE1">
              <w:rPr>
                <w:rFonts w:eastAsia="SimSun"/>
                <w:sz w:val="15"/>
                <w:szCs w:val="15"/>
              </w:rPr>
              <w:t>Total credit (NZD billion)</w:t>
            </w:r>
          </w:p>
        </w:tc>
        <w:tc>
          <w:tcPr>
            <w:tcW w:w="924" w:type="dxa"/>
            <w:noWrap/>
            <w:hideMark/>
          </w:tcPr>
          <w:p w14:paraId="78CC4544" w14:textId="77777777" w:rsidR="00120717" w:rsidRPr="00B93EE1" w:rsidRDefault="00120717" w:rsidP="00D43564">
            <w:pPr>
              <w:ind w:right="170"/>
              <w:jc w:val="right"/>
              <w:rPr>
                <w:rFonts w:eastAsia="SimSun"/>
                <w:sz w:val="15"/>
                <w:szCs w:val="15"/>
              </w:rPr>
            </w:pPr>
            <w:r w:rsidRPr="00B93EE1">
              <w:rPr>
                <w:rFonts w:eastAsia="SimSun"/>
                <w:sz w:val="15"/>
                <w:szCs w:val="15"/>
              </w:rPr>
              <w:t>18.7</w:t>
            </w:r>
          </w:p>
        </w:tc>
        <w:tc>
          <w:tcPr>
            <w:tcW w:w="923" w:type="dxa"/>
            <w:noWrap/>
            <w:hideMark/>
          </w:tcPr>
          <w:p w14:paraId="4F8A36BE" w14:textId="77777777" w:rsidR="00120717" w:rsidRPr="00B93EE1" w:rsidRDefault="00120717" w:rsidP="00D43564">
            <w:pPr>
              <w:ind w:right="170"/>
              <w:jc w:val="right"/>
              <w:rPr>
                <w:rFonts w:eastAsia="SimSun"/>
                <w:sz w:val="15"/>
                <w:szCs w:val="15"/>
              </w:rPr>
            </w:pPr>
            <w:r w:rsidRPr="00B93EE1">
              <w:rPr>
                <w:rFonts w:eastAsia="SimSun"/>
                <w:sz w:val="15"/>
                <w:szCs w:val="15"/>
              </w:rPr>
              <w:t>22.4</w:t>
            </w:r>
          </w:p>
        </w:tc>
        <w:tc>
          <w:tcPr>
            <w:tcW w:w="923" w:type="dxa"/>
            <w:noWrap/>
            <w:hideMark/>
          </w:tcPr>
          <w:p w14:paraId="0462E660" w14:textId="77777777" w:rsidR="00120717" w:rsidRPr="00B93EE1" w:rsidRDefault="00120717" w:rsidP="00D43564">
            <w:pPr>
              <w:ind w:right="170"/>
              <w:jc w:val="right"/>
              <w:rPr>
                <w:rFonts w:eastAsia="SimSun"/>
                <w:sz w:val="15"/>
                <w:szCs w:val="15"/>
              </w:rPr>
            </w:pPr>
            <w:r w:rsidRPr="00B93EE1">
              <w:rPr>
                <w:rFonts w:eastAsia="SimSun"/>
                <w:sz w:val="15"/>
                <w:szCs w:val="15"/>
              </w:rPr>
              <w:t>23.3</w:t>
            </w:r>
          </w:p>
        </w:tc>
        <w:tc>
          <w:tcPr>
            <w:tcW w:w="923" w:type="dxa"/>
            <w:noWrap/>
            <w:hideMark/>
          </w:tcPr>
          <w:p w14:paraId="612CB210" w14:textId="77777777" w:rsidR="00120717" w:rsidRPr="00B93EE1" w:rsidRDefault="00120717" w:rsidP="00D43564">
            <w:pPr>
              <w:ind w:right="170"/>
              <w:jc w:val="right"/>
              <w:rPr>
                <w:rFonts w:eastAsia="SimSun"/>
                <w:sz w:val="15"/>
                <w:szCs w:val="15"/>
              </w:rPr>
            </w:pPr>
            <w:r w:rsidRPr="00B93EE1">
              <w:rPr>
                <w:rFonts w:eastAsia="SimSun"/>
                <w:sz w:val="15"/>
                <w:szCs w:val="15"/>
              </w:rPr>
              <w:t>25.3</w:t>
            </w:r>
          </w:p>
        </w:tc>
        <w:tc>
          <w:tcPr>
            <w:tcW w:w="923" w:type="dxa"/>
            <w:noWrap/>
            <w:hideMark/>
          </w:tcPr>
          <w:p w14:paraId="0AB7EAB4" w14:textId="77777777" w:rsidR="00120717" w:rsidRPr="00B93EE1" w:rsidRDefault="00120717" w:rsidP="00D43564">
            <w:pPr>
              <w:ind w:right="170"/>
              <w:jc w:val="right"/>
              <w:rPr>
                <w:rFonts w:eastAsia="SimSun"/>
                <w:sz w:val="15"/>
                <w:szCs w:val="15"/>
              </w:rPr>
            </w:pPr>
            <w:r w:rsidRPr="00B93EE1">
              <w:rPr>
                <w:rFonts w:eastAsia="SimSun"/>
                <w:sz w:val="15"/>
                <w:szCs w:val="15"/>
              </w:rPr>
              <w:t>26.6</w:t>
            </w:r>
          </w:p>
        </w:tc>
        <w:tc>
          <w:tcPr>
            <w:tcW w:w="923" w:type="dxa"/>
            <w:noWrap/>
            <w:hideMark/>
          </w:tcPr>
          <w:p w14:paraId="4CB3BB87" w14:textId="77777777" w:rsidR="00120717" w:rsidRPr="00B93EE1" w:rsidRDefault="00120717" w:rsidP="00D43564">
            <w:pPr>
              <w:ind w:right="170"/>
              <w:jc w:val="right"/>
              <w:rPr>
                <w:rFonts w:eastAsia="SimSun"/>
                <w:sz w:val="15"/>
                <w:szCs w:val="15"/>
              </w:rPr>
            </w:pPr>
            <w:r w:rsidRPr="00B93EE1">
              <w:rPr>
                <w:rFonts w:eastAsia="SimSun"/>
                <w:sz w:val="15"/>
                <w:szCs w:val="15"/>
              </w:rPr>
              <w:t>27.6</w:t>
            </w:r>
          </w:p>
        </w:tc>
        <w:tc>
          <w:tcPr>
            <w:tcW w:w="930" w:type="dxa"/>
            <w:noWrap/>
            <w:hideMark/>
          </w:tcPr>
          <w:p w14:paraId="262E1677" w14:textId="77777777" w:rsidR="00120717" w:rsidRPr="00B93EE1" w:rsidRDefault="00120717" w:rsidP="00D43564">
            <w:pPr>
              <w:ind w:right="170"/>
              <w:jc w:val="right"/>
              <w:rPr>
                <w:rFonts w:eastAsia="SimSun"/>
                <w:sz w:val="15"/>
                <w:szCs w:val="15"/>
              </w:rPr>
            </w:pPr>
            <w:r w:rsidRPr="00B93EE1">
              <w:rPr>
                <w:rFonts w:eastAsia="SimSun"/>
                <w:sz w:val="15"/>
                <w:szCs w:val="15"/>
              </w:rPr>
              <w:t>13.1</w:t>
            </w:r>
          </w:p>
        </w:tc>
      </w:tr>
      <w:tr w:rsidR="00120717" w:rsidRPr="00B93EE1" w14:paraId="58860BB7"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6CA80834" w14:textId="77777777" w:rsidR="00120717" w:rsidRPr="00B93EE1" w:rsidRDefault="00120717" w:rsidP="00D43564">
            <w:pPr>
              <w:jc w:val="left"/>
              <w:rPr>
                <w:rFonts w:eastAsia="SimSun"/>
                <w:sz w:val="15"/>
                <w:szCs w:val="15"/>
              </w:rPr>
            </w:pPr>
          </w:p>
        </w:tc>
        <w:tc>
          <w:tcPr>
            <w:tcW w:w="6469" w:type="dxa"/>
            <w:gridSpan w:val="7"/>
            <w:noWrap/>
            <w:hideMark/>
          </w:tcPr>
          <w:p w14:paraId="054F914E" w14:textId="77777777" w:rsidR="00120717" w:rsidRPr="00B93EE1" w:rsidRDefault="00120717" w:rsidP="00D43564">
            <w:pPr>
              <w:jc w:val="center"/>
              <w:rPr>
                <w:rFonts w:eastAsia="SimSun"/>
                <w:b/>
                <w:bCs/>
                <w:sz w:val="15"/>
                <w:szCs w:val="15"/>
              </w:rPr>
            </w:pPr>
            <w:r w:rsidRPr="00B93EE1">
              <w:rPr>
                <w:rFonts w:eastAsia="SimSun"/>
                <w:b/>
                <w:bCs/>
                <w:sz w:val="15"/>
                <w:szCs w:val="15"/>
              </w:rPr>
              <w:t>(% of total credit)</w:t>
            </w:r>
          </w:p>
        </w:tc>
      </w:tr>
      <w:tr w:rsidR="00120717" w:rsidRPr="00B93EE1" w14:paraId="201DB9EA" w14:textId="77777777" w:rsidTr="00D43564">
        <w:tc>
          <w:tcPr>
            <w:tcW w:w="2547" w:type="dxa"/>
            <w:noWrap/>
            <w:hideMark/>
          </w:tcPr>
          <w:p w14:paraId="297C5608" w14:textId="77777777" w:rsidR="00120717" w:rsidRPr="00B93EE1" w:rsidRDefault="00120717" w:rsidP="00D43564">
            <w:pPr>
              <w:jc w:val="left"/>
              <w:rPr>
                <w:rFonts w:eastAsia="SimSun"/>
                <w:sz w:val="15"/>
                <w:szCs w:val="15"/>
              </w:rPr>
            </w:pPr>
            <w:r w:rsidRPr="00B93EE1">
              <w:rPr>
                <w:rFonts w:eastAsia="SimSun"/>
                <w:sz w:val="15"/>
                <w:szCs w:val="15"/>
              </w:rPr>
              <w:t xml:space="preserve">Maintenance and repair </w:t>
            </w:r>
          </w:p>
        </w:tc>
        <w:tc>
          <w:tcPr>
            <w:tcW w:w="924" w:type="dxa"/>
            <w:noWrap/>
            <w:hideMark/>
          </w:tcPr>
          <w:p w14:paraId="21FD2FA0"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0918C1E1"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15D2836C"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48087FEE"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0920A20F"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43F5CFB3"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30" w:type="dxa"/>
            <w:noWrap/>
            <w:hideMark/>
          </w:tcPr>
          <w:p w14:paraId="482DCCFC"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r>
      <w:tr w:rsidR="00120717" w:rsidRPr="00B93EE1" w14:paraId="0A383959"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2F71FBBC" w14:textId="77777777" w:rsidR="00120717" w:rsidRPr="00B93EE1" w:rsidRDefault="00120717" w:rsidP="00D43564">
            <w:pPr>
              <w:jc w:val="left"/>
              <w:rPr>
                <w:rFonts w:eastAsia="SimSun"/>
                <w:sz w:val="15"/>
                <w:szCs w:val="15"/>
              </w:rPr>
            </w:pPr>
            <w:r w:rsidRPr="00B93EE1">
              <w:rPr>
                <w:rFonts w:eastAsia="SimSun"/>
                <w:sz w:val="15"/>
                <w:szCs w:val="15"/>
              </w:rPr>
              <w:t>Transportation</w:t>
            </w:r>
          </w:p>
        </w:tc>
        <w:tc>
          <w:tcPr>
            <w:tcW w:w="924" w:type="dxa"/>
            <w:noWrap/>
            <w:hideMark/>
          </w:tcPr>
          <w:p w14:paraId="42D317D7" w14:textId="77777777" w:rsidR="00120717" w:rsidRPr="00B93EE1" w:rsidRDefault="00120717" w:rsidP="00D43564">
            <w:pPr>
              <w:ind w:right="170"/>
              <w:jc w:val="right"/>
              <w:rPr>
                <w:rFonts w:eastAsia="SimSun"/>
                <w:sz w:val="15"/>
                <w:szCs w:val="15"/>
              </w:rPr>
            </w:pPr>
            <w:r w:rsidRPr="00B93EE1">
              <w:rPr>
                <w:rFonts w:eastAsia="SimSun"/>
                <w:sz w:val="15"/>
                <w:szCs w:val="15"/>
              </w:rPr>
              <w:t>13.9</w:t>
            </w:r>
          </w:p>
        </w:tc>
        <w:tc>
          <w:tcPr>
            <w:tcW w:w="923" w:type="dxa"/>
            <w:noWrap/>
            <w:hideMark/>
          </w:tcPr>
          <w:p w14:paraId="374663F4" w14:textId="77777777" w:rsidR="00120717" w:rsidRPr="00B93EE1" w:rsidRDefault="00120717" w:rsidP="00D43564">
            <w:pPr>
              <w:ind w:right="170"/>
              <w:jc w:val="right"/>
              <w:rPr>
                <w:rFonts w:eastAsia="SimSun"/>
                <w:sz w:val="15"/>
                <w:szCs w:val="15"/>
              </w:rPr>
            </w:pPr>
            <w:r w:rsidRPr="00B93EE1">
              <w:rPr>
                <w:rFonts w:eastAsia="SimSun"/>
                <w:sz w:val="15"/>
                <w:szCs w:val="15"/>
              </w:rPr>
              <w:t>12.5</w:t>
            </w:r>
          </w:p>
        </w:tc>
        <w:tc>
          <w:tcPr>
            <w:tcW w:w="923" w:type="dxa"/>
            <w:noWrap/>
            <w:hideMark/>
          </w:tcPr>
          <w:p w14:paraId="2275611B" w14:textId="77777777" w:rsidR="00120717" w:rsidRPr="00B93EE1" w:rsidRDefault="00120717" w:rsidP="00D43564">
            <w:pPr>
              <w:ind w:right="170"/>
              <w:jc w:val="right"/>
              <w:rPr>
                <w:rFonts w:eastAsia="SimSun"/>
                <w:sz w:val="15"/>
                <w:szCs w:val="15"/>
              </w:rPr>
            </w:pPr>
            <w:r w:rsidRPr="00B93EE1">
              <w:rPr>
                <w:rFonts w:eastAsia="SimSun"/>
                <w:sz w:val="15"/>
                <w:szCs w:val="15"/>
              </w:rPr>
              <w:t>12.3</w:t>
            </w:r>
          </w:p>
        </w:tc>
        <w:tc>
          <w:tcPr>
            <w:tcW w:w="923" w:type="dxa"/>
            <w:noWrap/>
            <w:hideMark/>
          </w:tcPr>
          <w:p w14:paraId="0C1B1E01" w14:textId="77777777" w:rsidR="00120717" w:rsidRPr="00B93EE1" w:rsidRDefault="00120717" w:rsidP="00D43564">
            <w:pPr>
              <w:ind w:right="170"/>
              <w:jc w:val="right"/>
              <w:rPr>
                <w:rFonts w:eastAsia="SimSun"/>
                <w:sz w:val="15"/>
                <w:szCs w:val="15"/>
              </w:rPr>
            </w:pPr>
            <w:r w:rsidRPr="00B93EE1">
              <w:rPr>
                <w:rFonts w:eastAsia="SimSun"/>
                <w:sz w:val="15"/>
                <w:szCs w:val="15"/>
              </w:rPr>
              <w:t>12.5</w:t>
            </w:r>
          </w:p>
        </w:tc>
        <w:tc>
          <w:tcPr>
            <w:tcW w:w="923" w:type="dxa"/>
            <w:noWrap/>
            <w:hideMark/>
          </w:tcPr>
          <w:p w14:paraId="075AD400" w14:textId="77777777" w:rsidR="00120717" w:rsidRPr="00B93EE1" w:rsidRDefault="00120717" w:rsidP="00D43564">
            <w:pPr>
              <w:ind w:right="170"/>
              <w:jc w:val="right"/>
              <w:rPr>
                <w:rFonts w:eastAsia="SimSun"/>
                <w:sz w:val="15"/>
                <w:szCs w:val="15"/>
              </w:rPr>
            </w:pPr>
            <w:r w:rsidRPr="00B93EE1">
              <w:rPr>
                <w:rFonts w:eastAsia="SimSun"/>
                <w:sz w:val="15"/>
                <w:szCs w:val="15"/>
              </w:rPr>
              <w:t>12.7</w:t>
            </w:r>
          </w:p>
        </w:tc>
        <w:tc>
          <w:tcPr>
            <w:tcW w:w="923" w:type="dxa"/>
            <w:noWrap/>
            <w:hideMark/>
          </w:tcPr>
          <w:p w14:paraId="4283A9FD" w14:textId="77777777" w:rsidR="00120717" w:rsidRPr="00B93EE1" w:rsidRDefault="00120717" w:rsidP="00D43564">
            <w:pPr>
              <w:ind w:right="170"/>
              <w:jc w:val="right"/>
              <w:rPr>
                <w:rFonts w:eastAsia="SimSun"/>
                <w:sz w:val="15"/>
                <w:szCs w:val="15"/>
              </w:rPr>
            </w:pPr>
            <w:r w:rsidRPr="00B93EE1">
              <w:rPr>
                <w:rFonts w:eastAsia="SimSun"/>
                <w:sz w:val="15"/>
                <w:szCs w:val="15"/>
              </w:rPr>
              <w:t>12.5</w:t>
            </w:r>
          </w:p>
        </w:tc>
        <w:tc>
          <w:tcPr>
            <w:tcW w:w="930" w:type="dxa"/>
            <w:noWrap/>
            <w:hideMark/>
          </w:tcPr>
          <w:p w14:paraId="501D2C45" w14:textId="77777777" w:rsidR="00120717" w:rsidRPr="00B93EE1" w:rsidRDefault="00120717" w:rsidP="00D43564">
            <w:pPr>
              <w:ind w:right="170"/>
              <w:jc w:val="right"/>
              <w:rPr>
                <w:rFonts w:eastAsia="SimSun"/>
                <w:sz w:val="15"/>
                <w:szCs w:val="15"/>
              </w:rPr>
            </w:pPr>
            <w:r w:rsidRPr="00B93EE1">
              <w:rPr>
                <w:rFonts w:eastAsia="SimSun"/>
                <w:sz w:val="15"/>
                <w:szCs w:val="15"/>
              </w:rPr>
              <w:t>10.4</w:t>
            </w:r>
          </w:p>
        </w:tc>
      </w:tr>
      <w:tr w:rsidR="00120717" w:rsidRPr="00B93EE1" w14:paraId="1155703F" w14:textId="77777777" w:rsidTr="00D43564">
        <w:tc>
          <w:tcPr>
            <w:tcW w:w="2547" w:type="dxa"/>
            <w:noWrap/>
            <w:hideMark/>
          </w:tcPr>
          <w:p w14:paraId="29FCBC7D" w14:textId="77777777" w:rsidR="00120717" w:rsidRPr="00B93EE1" w:rsidRDefault="00120717" w:rsidP="00D43564">
            <w:pPr>
              <w:ind w:left="170"/>
              <w:jc w:val="left"/>
              <w:rPr>
                <w:rFonts w:eastAsia="SimSun"/>
                <w:sz w:val="15"/>
                <w:szCs w:val="15"/>
              </w:rPr>
            </w:pPr>
            <w:r w:rsidRPr="00B93EE1">
              <w:rPr>
                <w:rFonts w:eastAsia="SimSun"/>
                <w:sz w:val="15"/>
                <w:szCs w:val="15"/>
              </w:rPr>
              <w:t>Sea transport</w:t>
            </w:r>
          </w:p>
        </w:tc>
        <w:tc>
          <w:tcPr>
            <w:tcW w:w="924" w:type="dxa"/>
            <w:noWrap/>
            <w:hideMark/>
          </w:tcPr>
          <w:p w14:paraId="5FD7C0E1" w14:textId="77777777" w:rsidR="00120717" w:rsidRPr="00B93EE1" w:rsidRDefault="00120717" w:rsidP="00D43564">
            <w:pPr>
              <w:ind w:right="170"/>
              <w:jc w:val="right"/>
              <w:rPr>
                <w:rFonts w:eastAsia="SimSun"/>
                <w:sz w:val="15"/>
                <w:szCs w:val="15"/>
              </w:rPr>
            </w:pPr>
            <w:r w:rsidRPr="00B93EE1">
              <w:rPr>
                <w:rFonts w:eastAsia="SimSun"/>
                <w:sz w:val="15"/>
                <w:szCs w:val="15"/>
              </w:rPr>
              <w:t>2.8</w:t>
            </w:r>
          </w:p>
        </w:tc>
        <w:tc>
          <w:tcPr>
            <w:tcW w:w="923" w:type="dxa"/>
            <w:noWrap/>
            <w:hideMark/>
          </w:tcPr>
          <w:p w14:paraId="730F5DCA" w14:textId="77777777" w:rsidR="00120717" w:rsidRPr="00B93EE1" w:rsidRDefault="00120717" w:rsidP="00D43564">
            <w:pPr>
              <w:ind w:right="170"/>
              <w:jc w:val="right"/>
              <w:rPr>
                <w:rFonts w:eastAsia="SimSun"/>
                <w:sz w:val="15"/>
                <w:szCs w:val="15"/>
              </w:rPr>
            </w:pPr>
            <w:r w:rsidRPr="00B93EE1">
              <w:rPr>
                <w:rFonts w:eastAsia="SimSun"/>
                <w:sz w:val="15"/>
                <w:szCs w:val="15"/>
              </w:rPr>
              <w:t>2.4</w:t>
            </w:r>
          </w:p>
        </w:tc>
        <w:tc>
          <w:tcPr>
            <w:tcW w:w="923" w:type="dxa"/>
            <w:noWrap/>
            <w:hideMark/>
          </w:tcPr>
          <w:p w14:paraId="2F8DF75C" w14:textId="77777777" w:rsidR="00120717" w:rsidRPr="00B93EE1" w:rsidRDefault="00120717" w:rsidP="00D43564">
            <w:pPr>
              <w:ind w:right="170"/>
              <w:jc w:val="right"/>
              <w:rPr>
                <w:rFonts w:eastAsia="SimSun"/>
                <w:sz w:val="15"/>
                <w:szCs w:val="15"/>
              </w:rPr>
            </w:pPr>
            <w:r w:rsidRPr="00B93EE1">
              <w:rPr>
                <w:rFonts w:eastAsia="SimSun"/>
                <w:sz w:val="15"/>
                <w:szCs w:val="15"/>
              </w:rPr>
              <w:t>2.4</w:t>
            </w:r>
          </w:p>
        </w:tc>
        <w:tc>
          <w:tcPr>
            <w:tcW w:w="923" w:type="dxa"/>
            <w:noWrap/>
            <w:hideMark/>
          </w:tcPr>
          <w:p w14:paraId="74574A54" w14:textId="77777777" w:rsidR="00120717" w:rsidRPr="00B93EE1" w:rsidRDefault="00120717" w:rsidP="00D43564">
            <w:pPr>
              <w:ind w:right="170"/>
              <w:jc w:val="right"/>
              <w:rPr>
                <w:rFonts w:eastAsia="SimSun"/>
                <w:sz w:val="15"/>
                <w:szCs w:val="15"/>
              </w:rPr>
            </w:pPr>
            <w:r w:rsidRPr="00B93EE1">
              <w:rPr>
                <w:rFonts w:eastAsia="SimSun"/>
                <w:sz w:val="15"/>
                <w:szCs w:val="15"/>
              </w:rPr>
              <w:t>2.2</w:t>
            </w:r>
          </w:p>
        </w:tc>
        <w:tc>
          <w:tcPr>
            <w:tcW w:w="923" w:type="dxa"/>
            <w:noWrap/>
            <w:hideMark/>
          </w:tcPr>
          <w:p w14:paraId="53CB6469" w14:textId="77777777" w:rsidR="00120717" w:rsidRPr="00B93EE1" w:rsidRDefault="00120717" w:rsidP="00D43564">
            <w:pPr>
              <w:ind w:right="170"/>
              <w:jc w:val="right"/>
              <w:rPr>
                <w:rFonts w:eastAsia="SimSun"/>
                <w:sz w:val="15"/>
                <w:szCs w:val="15"/>
              </w:rPr>
            </w:pPr>
            <w:r w:rsidRPr="00B93EE1">
              <w:rPr>
                <w:rFonts w:eastAsia="SimSun"/>
                <w:sz w:val="15"/>
                <w:szCs w:val="15"/>
              </w:rPr>
              <w:t>2.3</w:t>
            </w:r>
          </w:p>
        </w:tc>
        <w:tc>
          <w:tcPr>
            <w:tcW w:w="923" w:type="dxa"/>
            <w:noWrap/>
            <w:hideMark/>
          </w:tcPr>
          <w:p w14:paraId="3CD7FF90" w14:textId="77777777" w:rsidR="00120717" w:rsidRPr="00B93EE1" w:rsidRDefault="00120717" w:rsidP="00D43564">
            <w:pPr>
              <w:ind w:right="170"/>
              <w:jc w:val="right"/>
              <w:rPr>
                <w:rFonts w:eastAsia="SimSun"/>
                <w:sz w:val="15"/>
                <w:szCs w:val="15"/>
              </w:rPr>
            </w:pPr>
            <w:r w:rsidRPr="00B93EE1">
              <w:rPr>
                <w:rFonts w:eastAsia="SimSun"/>
                <w:sz w:val="15"/>
                <w:szCs w:val="15"/>
              </w:rPr>
              <w:t>2.4</w:t>
            </w:r>
          </w:p>
        </w:tc>
        <w:tc>
          <w:tcPr>
            <w:tcW w:w="930" w:type="dxa"/>
            <w:noWrap/>
            <w:hideMark/>
          </w:tcPr>
          <w:p w14:paraId="457414F9" w14:textId="77777777" w:rsidR="00120717" w:rsidRPr="00B93EE1" w:rsidRDefault="00120717" w:rsidP="00D43564">
            <w:pPr>
              <w:ind w:right="170"/>
              <w:jc w:val="right"/>
              <w:rPr>
                <w:rFonts w:eastAsia="SimSun"/>
                <w:sz w:val="15"/>
                <w:szCs w:val="15"/>
              </w:rPr>
            </w:pPr>
            <w:r w:rsidRPr="00B93EE1">
              <w:rPr>
                <w:rFonts w:eastAsia="SimSun"/>
                <w:sz w:val="15"/>
                <w:szCs w:val="15"/>
              </w:rPr>
              <w:t>5.1</w:t>
            </w:r>
          </w:p>
        </w:tc>
      </w:tr>
      <w:tr w:rsidR="00120717" w:rsidRPr="00B93EE1" w14:paraId="75B5A575"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15BFE7EC" w14:textId="77777777" w:rsidR="00120717" w:rsidRPr="00B93EE1" w:rsidRDefault="00120717" w:rsidP="00D43564">
            <w:pPr>
              <w:ind w:left="170"/>
              <w:jc w:val="left"/>
              <w:rPr>
                <w:rFonts w:eastAsia="SimSun"/>
                <w:sz w:val="15"/>
                <w:szCs w:val="15"/>
              </w:rPr>
            </w:pPr>
            <w:r w:rsidRPr="00B93EE1">
              <w:rPr>
                <w:rFonts w:eastAsia="SimSun"/>
                <w:sz w:val="15"/>
                <w:szCs w:val="15"/>
              </w:rPr>
              <w:t>Air transport</w:t>
            </w:r>
          </w:p>
        </w:tc>
        <w:tc>
          <w:tcPr>
            <w:tcW w:w="924" w:type="dxa"/>
            <w:noWrap/>
            <w:hideMark/>
          </w:tcPr>
          <w:p w14:paraId="7E3103B3" w14:textId="77777777" w:rsidR="00120717" w:rsidRPr="00B93EE1" w:rsidRDefault="00120717" w:rsidP="00D43564">
            <w:pPr>
              <w:ind w:right="170"/>
              <w:jc w:val="right"/>
              <w:rPr>
                <w:rFonts w:eastAsia="SimSun"/>
                <w:sz w:val="15"/>
                <w:szCs w:val="15"/>
              </w:rPr>
            </w:pPr>
            <w:r w:rsidRPr="00B93EE1">
              <w:rPr>
                <w:rFonts w:eastAsia="SimSun"/>
                <w:sz w:val="15"/>
                <w:szCs w:val="15"/>
              </w:rPr>
              <w:t>10.8</w:t>
            </w:r>
          </w:p>
        </w:tc>
        <w:tc>
          <w:tcPr>
            <w:tcW w:w="923" w:type="dxa"/>
            <w:noWrap/>
            <w:hideMark/>
          </w:tcPr>
          <w:p w14:paraId="3967E85B" w14:textId="77777777" w:rsidR="00120717" w:rsidRPr="00B93EE1" w:rsidRDefault="00120717" w:rsidP="00D43564">
            <w:pPr>
              <w:ind w:right="170"/>
              <w:jc w:val="right"/>
              <w:rPr>
                <w:rFonts w:eastAsia="SimSun"/>
                <w:sz w:val="15"/>
                <w:szCs w:val="15"/>
              </w:rPr>
            </w:pPr>
            <w:r w:rsidRPr="00B93EE1">
              <w:rPr>
                <w:rFonts w:eastAsia="SimSun"/>
                <w:sz w:val="15"/>
                <w:szCs w:val="15"/>
              </w:rPr>
              <w:t>9.8</w:t>
            </w:r>
          </w:p>
        </w:tc>
        <w:tc>
          <w:tcPr>
            <w:tcW w:w="923" w:type="dxa"/>
            <w:noWrap/>
            <w:hideMark/>
          </w:tcPr>
          <w:p w14:paraId="6249CE7D" w14:textId="77777777" w:rsidR="00120717" w:rsidRPr="00B93EE1" w:rsidRDefault="00120717" w:rsidP="00D43564">
            <w:pPr>
              <w:ind w:right="170"/>
              <w:jc w:val="right"/>
              <w:rPr>
                <w:rFonts w:eastAsia="SimSun"/>
                <w:sz w:val="15"/>
                <w:szCs w:val="15"/>
              </w:rPr>
            </w:pPr>
            <w:r w:rsidRPr="00B93EE1">
              <w:rPr>
                <w:rFonts w:eastAsia="SimSun"/>
                <w:sz w:val="15"/>
                <w:szCs w:val="15"/>
              </w:rPr>
              <w:t>9.7</w:t>
            </w:r>
          </w:p>
        </w:tc>
        <w:tc>
          <w:tcPr>
            <w:tcW w:w="923" w:type="dxa"/>
            <w:noWrap/>
            <w:hideMark/>
          </w:tcPr>
          <w:p w14:paraId="44836CAC" w14:textId="77777777" w:rsidR="00120717" w:rsidRPr="00B93EE1" w:rsidRDefault="00120717" w:rsidP="00D43564">
            <w:pPr>
              <w:ind w:right="170"/>
              <w:jc w:val="right"/>
              <w:rPr>
                <w:rFonts w:eastAsia="SimSun"/>
                <w:sz w:val="15"/>
                <w:szCs w:val="15"/>
              </w:rPr>
            </w:pPr>
            <w:r w:rsidRPr="00B93EE1">
              <w:rPr>
                <w:rFonts w:eastAsia="SimSun"/>
                <w:sz w:val="15"/>
                <w:szCs w:val="15"/>
              </w:rPr>
              <w:t>10.1</w:t>
            </w:r>
          </w:p>
        </w:tc>
        <w:tc>
          <w:tcPr>
            <w:tcW w:w="923" w:type="dxa"/>
            <w:noWrap/>
            <w:hideMark/>
          </w:tcPr>
          <w:p w14:paraId="00ECE578" w14:textId="77777777" w:rsidR="00120717" w:rsidRPr="00B93EE1" w:rsidRDefault="00120717" w:rsidP="00D43564">
            <w:pPr>
              <w:ind w:right="170"/>
              <w:jc w:val="right"/>
              <w:rPr>
                <w:rFonts w:eastAsia="SimSun"/>
                <w:sz w:val="15"/>
                <w:szCs w:val="15"/>
              </w:rPr>
            </w:pPr>
            <w:r w:rsidRPr="00B93EE1">
              <w:rPr>
                <w:rFonts w:eastAsia="SimSun"/>
                <w:sz w:val="15"/>
                <w:szCs w:val="15"/>
              </w:rPr>
              <w:t>10.0</w:t>
            </w:r>
          </w:p>
        </w:tc>
        <w:tc>
          <w:tcPr>
            <w:tcW w:w="923" w:type="dxa"/>
            <w:noWrap/>
            <w:hideMark/>
          </w:tcPr>
          <w:p w14:paraId="1B2BDE0D" w14:textId="77777777" w:rsidR="00120717" w:rsidRPr="00B93EE1" w:rsidRDefault="00120717" w:rsidP="00D43564">
            <w:pPr>
              <w:ind w:right="170"/>
              <w:jc w:val="right"/>
              <w:rPr>
                <w:rFonts w:eastAsia="SimSun"/>
                <w:sz w:val="15"/>
                <w:szCs w:val="15"/>
              </w:rPr>
            </w:pPr>
            <w:r w:rsidRPr="00B93EE1">
              <w:rPr>
                <w:rFonts w:eastAsia="SimSun"/>
                <w:sz w:val="15"/>
                <w:szCs w:val="15"/>
              </w:rPr>
              <w:t>9.6</w:t>
            </w:r>
          </w:p>
        </w:tc>
        <w:tc>
          <w:tcPr>
            <w:tcW w:w="930" w:type="dxa"/>
            <w:noWrap/>
            <w:hideMark/>
          </w:tcPr>
          <w:p w14:paraId="7CF247B3" w14:textId="77777777" w:rsidR="00120717" w:rsidRPr="00B93EE1" w:rsidRDefault="00120717" w:rsidP="00D43564">
            <w:pPr>
              <w:ind w:right="170"/>
              <w:jc w:val="right"/>
              <w:rPr>
                <w:rFonts w:eastAsia="SimSun"/>
                <w:sz w:val="15"/>
                <w:szCs w:val="15"/>
              </w:rPr>
            </w:pPr>
            <w:r w:rsidRPr="00B93EE1">
              <w:rPr>
                <w:rFonts w:eastAsia="SimSun"/>
                <w:sz w:val="15"/>
                <w:szCs w:val="15"/>
              </w:rPr>
              <w:t>4.1</w:t>
            </w:r>
          </w:p>
        </w:tc>
      </w:tr>
      <w:tr w:rsidR="00120717" w:rsidRPr="00B93EE1" w14:paraId="3521532F" w14:textId="77777777" w:rsidTr="00D43564">
        <w:tc>
          <w:tcPr>
            <w:tcW w:w="2547" w:type="dxa"/>
            <w:noWrap/>
            <w:hideMark/>
          </w:tcPr>
          <w:p w14:paraId="549972A9" w14:textId="77777777" w:rsidR="00120717" w:rsidRPr="00B93EE1" w:rsidRDefault="00120717" w:rsidP="00D43564">
            <w:pPr>
              <w:ind w:left="170"/>
              <w:jc w:val="left"/>
              <w:rPr>
                <w:rFonts w:eastAsia="SimSun"/>
                <w:sz w:val="15"/>
                <w:szCs w:val="15"/>
              </w:rPr>
            </w:pPr>
            <w:r w:rsidRPr="00B93EE1">
              <w:rPr>
                <w:rFonts w:eastAsia="SimSun"/>
                <w:sz w:val="15"/>
                <w:szCs w:val="15"/>
              </w:rPr>
              <w:t>Postal and courier services</w:t>
            </w:r>
          </w:p>
        </w:tc>
        <w:tc>
          <w:tcPr>
            <w:tcW w:w="924" w:type="dxa"/>
            <w:noWrap/>
            <w:hideMark/>
          </w:tcPr>
          <w:p w14:paraId="1DD0B2A9" w14:textId="77777777" w:rsidR="00120717" w:rsidRPr="00B93EE1" w:rsidRDefault="00120717" w:rsidP="00D43564">
            <w:pPr>
              <w:ind w:right="170"/>
              <w:jc w:val="right"/>
              <w:rPr>
                <w:rFonts w:eastAsia="SimSun"/>
                <w:sz w:val="15"/>
                <w:szCs w:val="15"/>
              </w:rPr>
            </w:pPr>
            <w:r w:rsidRPr="00B93EE1">
              <w:rPr>
                <w:rFonts w:eastAsia="SimSun"/>
                <w:sz w:val="15"/>
                <w:szCs w:val="15"/>
              </w:rPr>
              <w:t>0.3</w:t>
            </w:r>
          </w:p>
        </w:tc>
        <w:tc>
          <w:tcPr>
            <w:tcW w:w="923" w:type="dxa"/>
            <w:noWrap/>
            <w:hideMark/>
          </w:tcPr>
          <w:p w14:paraId="6A62BB22" w14:textId="77777777" w:rsidR="00120717" w:rsidRPr="00B93EE1" w:rsidRDefault="00120717" w:rsidP="00D43564">
            <w:pPr>
              <w:ind w:right="170"/>
              <w:jc w:val="right"/>
              <w:rPr>
                <w:rFonts w:eastAsia="SimSun"/>
                <w:sz w:val="15"/>
                <w:szCs w:val="15"/>
              </w:rPr>
            </w:pPr>
            <w:r w:rsidRPr="00B93EE1">
              <w:rPr>
                <w:rFonts w:eastAsia="SimSun"/>
                <w:sz w:val="15"/>
                <w:szCs w:val="15"/>
              </w:rPr>
              <w:t>0.3</w:t>
            </w:r>
          </w:p>
        </w:tc>
        <w:tc>
          <w:tcPr>
            <w:tcW w:w="923" w:type="dxa"/>
            <w:noWrap/>
            <w:hideMark/>
          </w:tcPr>
          <w:p w14:paraId="68B1FAF7" w14:textId="77777777" w:rsidR="00120717" w:rsidRPr="00B93EE1" w:rsidRDefault="00120717" w:rsidP="00D43564">
            <w:pPr>
              <w:ind w:right="170"/>
              <w:jc w:val="right"/>
              <w:rPr>
                <w:rFonts w:eastAsia="SimSun"/>
                <w:sz w:val="15"/>
                <w:szCs w:val="15"/>
              </w:rPr>
            </w:pPr>
            <w:r w:rsidRPr="00B93EE1">
              <w:rPr>
                <w:rFonts w:eastAsia="SimSun"/>
                <w:sz w:val="15"/>
                <w:szCs w:val="15"/>
              </w:rPr>
              <w:t>0.3</w:t>
            </w:r>
          </w:p>
        </w:tc>
        <w:tc>
          <w:tcPr>
            <w:tcW w:w="923" w:type="dxa"/>
            <w:noWrap/>
            <w:hideMark/>
          </w:tcPr>
          <w:p w14:paraId="0EF5B9FD" w14:textId="77777777" w:rsidR="00120717" w:rsidRPr="00B93EE1" w:rsidRDefault="00120717" w:rsidP="00D43564">
            <w:pPr>
              <w:ind w:right="170"/>
              <w:jc w:val="right"/>
              <w:rPr>
                <w:rFonts w:eastAsia="SimSun"/>
                <w:sz w:val="15"/>
                <w:szCs w:val="15"/>
              </w:rPr>
            </w:pPr>
            <w:r w:rsidRPr="00B93EE1">
              <w:rPr>
                <w:rFonts w:eastAsia="SimSun"/>
                <w:sz w:val="15"/>
                <w:szCs w:val="15"/>
              </w:rPr>
              <w:t>0.3</w:t>
            </w:r>
          </w:p>
        </w:tc>
        <w:tc>
          <w:tcPr>
            <w:tcW w:w="923" w:type="dxa"/>
            <w:noWrap/>
            <w:hideMark/>
          </w:tcPr>
          <w:p w14:paraId="03ECD3BD" w14:textId="77777777" w:rsidR="00120717" w:rsidRPr="00B93EE1" w:rsidRDefault="00120717" w:rsidP="00D43564">
            <w:pPr>
              <w:ind w:right="170"/>
              <w:jc w:val="right"/>
              <w:rPr>
                <w:rFonts w:eastAsia="SimSun"/>
                <w:sz w:val="15"/>
                <w:szCs w:val="15"/>
              </w:rPr>
            </w:pPr>
            <w:r w:rsidRPr="00B93EE1">
              <w:rPr>
                <w:rFonts w:eastAsia="SimSun"/>
                <w:sz w:val="15"/>
                <w:szCs w:val="15"/>
              </w:rPr>
              <w:t>0.3</w:t>
            </w:r>
          </w:p>
        </w:tc>
        <w:tc>
          <w:tcPr>
            <w:tcW w:w="923" w:type="dxa"/>
            <w:noWrap/>
            <w:hideMark/>
          </w:tcPr>
          <w:p w14:paraId="2F83AF4F" w14:textId="77777777" w:rsidR="00120717" w:rsidRPr="00B93EE1" w:rsidRDefault="00120717" w:rsidP="00D43564">
            <w:pPr>
              <w:ind w:right="170"/>
              <w:jc w:val="right"/>
              <w:rPr>
                <w:rFonts w:eastAsia="SimSun"/>
                <w:sz w:val="15"/>
                <w:szCs w:val="15"/>
              </w:rPr>
            </w:pPr>
            <w:r w:rsidRPr="00B93EE1">
              <w:rPr>
                <w:rFonts w:eastAsia="SimSun"/>
                <w:sz w:val="15"/>
                <w:szCs w:val="15"/>
              </w:rPr>
              <w:t>0.5</w:t>
            </w:r>
          </w:p>
        </w:tc>
        <w:tc>
          <w:tcPr>
            <w:tcW w:w="930" w:type="dxa"/>
            <w:noWrap/>
            <w:hideMark/>
          </w:tcPr>
          <w:p w14:paraId="69E945A2" w14:textId="77777777" w:rsidR="00120717" w:rsidRPr="00B93EE1" w:rsidRDefault="00120717" w:rsidP="00D43564">
            <w:pPr>
              <w:ind w:right="170"/>
              <w:jc w:val="right"/>
              <w:rPr>
                <w:rFonts w:eastAsia="SimSun"/>
                <w:sz w:val="15"/>
                <w:szCs w:val="15"/>
              </w:rPr>
            </w:pPr>
            <w:r w:rsidRPr="00B93EE1">
              <w:rPr>
                <w:rFonts w:eastAsia="SimSun"/>
                <w:sz w:val="15"/>
                <w:szCs w:val="15"/>
              </w:rPr>
              <w:t>1.2</w:t>
            </w:r>
          </w:p>
        </w:tc>
      </w:tr>
      <w:tr w:rsidR="00120717" w:rsidRPr="00B93EE1" w14:paraId="41F9B89C"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5A810B2A" w14:textId="77777777" w:rsidR="00120717" w:rsidRPr="00B93EE1" w:rsidRDefault="00120717" w:rsidP="00D43564">
            <w:pPr>
              <w:jc w:val="left"/>
              <w:rPr>
                <w:rFonts w:eastAsia="SimSun"/>
                <w:sz w:val="15"/>
                <w:szCs w:val="15"/>
              </w:rPr>
            </w:pPr>
            <w:r w:rsidRPr="00B93EE1">
              <w:rPr>
                <w:rFonts w:eastAsia="SimSun"/>
                <w:sz w:val="15"/>
                <w:szCs w:val="15"/>
              </w:rPr>
              <w:t>Travel</w:t>
            </w:r>
          </w:p>
        </w:tc>
        <w:tc>
          <w:tcPr>
            <w:tcW w:w="924" w:type="dxa"/>
            <w:noWrap/>
            <w:hideMark/>
          </w:tcPr>
          <w:p w14:paraId="239622FA" w14:textId="77777777" w:rsidR="00120717" w:rsidRPr="00B93EE1" w:rsidRDefault="00120717" w:rsidP="00D43564">
            <w:pPr>
              <w:ind w:right="170"/>
              <w:jc w:val="right"/>
              <w:rPr>
                <w:rFonts w:eastAsia="SimSun"/>
                <w:sz w:val="15"/>
                <w:szCs w:val="15"/>
              </w:rPr>
            </w:pPr>
            <w:r w:rsidRPr="00B93EE1">
              <w:rPr>
                <w:rFonts w:eastAsia="SimSun"/>
                <w:sz w:val="15"/>
                <w:szCs w:val="15"/>
              </w:rPr>
              <w:t>61.0</w:t>
            </w:r>
          </w:p>
        </w:tc>
        <w:tc>
          <w:tcPr>
            <w:tcW w:w="923" w:type="dxa"/>
            <w:noWrap/>
            <w:hideMark/>
          </w:tcPr>
          <w:p w14:paraId="51C886B1" w14:textId="77777777" w:rsidR="00120717" w:rsidRPr="00B93EE1" w:rsidRDefault="00120717" w:rsidP="00D43564">
            <w:pPr>
              <w:ind w:right="170"/>
              <w:jc w:val="right"/>
              <w:rPr>
                <w:rFonts w:eastAsia="SimSun"/>
                <w:sz w:val="15"/>
                <w:szCs w:val="15"/>
              </w:rPr>
            </w:pPr>
            <w:r w:rsidRPr="00B93EE1">
              <w:rPr>
                <w:rFonts w:eastAsia="SimSun"/>
                <w:sz w:val="15"/>
                <w:szCs w:val="15"/>
              </w:rPr>
              <w:t>62.8</w:t>
            </w:r>
          </w:p>
        </w:tc>
        <w:tc>
          <w:tcPr>
            <w:tcW w:w="923" w:type="dxa"/>
            <w:noWrap/>
            <w:hideMark/>
          </w:tcPr>
          <w:p w14:paraId="14E42525" w14:textId="77777777" w:rsidR="00120717" w:rsidRPr="00B93EE1" w:rsidRDefault="00120717" w:rsidP="00D43564">
            <w:pPr>
              <w:ind w:right="170"/>
              <w:jc w:val="right"/>
              <w:rPr>
                <w:rFonts w:eastAsia="SimSun"/>
                <w:sz w:val="15"/>
                <w:szCs w:val="15"/>
              </w:rPr>
            </w:pPr>
            <w:r w:rsidRPr="00B93EE1">
              <w:rPr>
                <w:rFonts w:eastAsia="SimSun"/>
                <w:sz w:val="15"/>
                <w:szCs w:val="15"/>
              </w:rPr>
              <w:t>60.6</w:t>
            </w:r>
          </w:p>
        </w:tc>
        <w:tc>
          <w:tcPr>
            <w:tcW w:w="923" w:type="dxa"/>
            <w:noWrap/>
            <w:hideMark/>
          </w:tcPr>
          <w:p w14:paraId="0F71C50D" w14:textId="77777777" w:rsidR="00120717" w:rsidRPr="00B93EE1" w:rsidRDefault="00120717" w:rsidP="00D43564">
            <w:pPr>
              <w:ind w:right="170"/>
              <w:jc w:val="right"/>
              <w:rPr>
                <w:rFonts w:eastAsia="SimSun"/>
                <w:sz w:val="15"/>
                <w:szCs w:val="15"/>
              </w:rPr>
            </w:pPr>
            <w:r w:rsidRPr="00B93EE1">
              <w:rPr>
                <w:rFonts w:eastAsia="SimSun"/>
                <w:sz w:val="15"/>
                <w:szCs w:val="15"/>
              </w:rPr>
              <w:t>60.7</w:t>
            </w:r>
          </w:p>
        </w:tc>
        <w:tc>
          <w:tcPr>
            <w:tcW w:w="923" w:type="dxa"/>
            <w:noWrap/>
            <w:hideMark/>
          </w:tcPr>
          <w:p w14:paraId="1AA13793" w14:textId="77777777" w:rsidR="00120717" w:rsidRPr="00B93EE1" w:rsidRDefault="00120717" w:rsidP="00D43564">
            <w:pPr>
              <w:ind w:right="170"/>
              <w:jc w:val="right"/>
              <w:rPr>
                <w:rFonts w:eastAsia="SimSun"/>
                <w:sz w:val="15"/>
                <w:szCs w:val="15"/>
              </w:rPr>
            </w:pPr>
            <w:r w:rsidRPr="00B93EE1">
              <w:rPr>
                <w:rFonts w:eastAsia="SimSun"/>
                <w:sz w:val="15"/>
                <w:szCs w:val="15"/>
              </w:rPr>
              <w:t>59.5</w:t>
            </w:r>
          </w:p>
        </w:tc>
        <w:tc>
          <w:tcPr>
            <w:tcW w:w="923" w:type="dxa"/>
            <w:noWrap/>
            <w:hideMark/>
          </w:tcPr>
          <w:p w14:paraId="35DDD08E" w14:textId="77777777" w:rsidR="00120717" w:rsidRPr="00B93EE1" w:rsidRDefault="00120717" w:rsidP="00D43564">
            <w:pPr>
              <w:ind w:right="170"/>
              <w:jc w:val="right"/>
              <w:rPr>
                <w:rFonts w:eastAsia="SimSun"/>
                <w:sz w:val="15"/>
                <w:szCs w:val="15"/>
              </w:rPr>
            </w:pPr>
            <w:r w:rsidRPr="00B93EE1">
              <w:rPr>
                <w:rFonts w:eastAsia="SimSun"/>
                <w:sz w:val="15"/>
                <w:szCs w:val="15"/>
              </w:rPr>
              <w:t>57.7</w:t>
            </w:r>
          </w:p>
        </w:tc>
        <w:tc>
          <w:tcPr>
            <w:tcW w:w="930" w:type="dxa"/>
            <w:noWrap/>
            <w:hideMark/>
          </w:tcPr>
          <w:p w14:paraId="19969C5F" w14:textId="77777777" w:rsidR="00120717" w:rsidRPr="00B93EE1" w:rsidRDefault="00120717" w:rsidP="00D43564">
            <w:pPr>
              <w:ind w:right="170"/>
              <w:jc w:val="right"/>
              <w:rPr>
                <w:rFonts w:eastAsia="SimSun"/>
                <w:sz w:val="15"/>
                <w:szCs w:val="15"/>
              </w:rPr>
            </w:pPr>
            <w:r w:rsidRPr="00B93EE1">
              <w:rPr>
                <w:rFonts w:eastAsia="SimSun"/>
                <w:sz w:val="15"/>
                <w:szCs w:val="15"/>
              </w:rPr>
              <w:t>35.0</w:t>
            </w:r>
          </w:p>
        </w:tc>
      </w:tr>
      <w:tr w:rsidR="00120717" w:rsidRPr="00B93EE1" w14:paraId="28D8AC30" w14:textId="77777777" w:rsidTr="00D43564">
        <w:tc>
          <w:tcPr>
            <w:tcW w:w="2547" w:type="dxa"/>
            <w:noWrap/>
            <w:hideMark/>
          </w:tcPr>
          <w:p w14:paraId="242C192E" w14:textId="77777777" w:rsidR="00120717" w:rsidRPr="00B93EE1" w:rsidRDefault="00120717" w:rsidP="00D43564">
            <w:pPr>
              <w:ind w:left="170"/>
              <w:jc w:val="left"/>
              <w:rPr>
                <w:rFonts w:eastAsia="SimSun"/>
                <w:sz w:val="15"/>
                <w:szCs w:val="15"/>
              </w:rPr>
            </w:pPr>
            <w:r w:rsidRPr="00B93EE1">
              <w:rPr>
                <w:rFonts w:eastAsia="SimSun"/>
                <w:sz w:val="15"/>
                <w:szCs w:val="15"/>
              </w:rPr>
              <w:t>Business</w:t>
            </w:r>
          </w:p>
        </w:tc>
        <w:tc>
          <w:tcPr>
            <w:tcW w:w="924" w:type="dxa"/>
            <w:noWrap/>
            <w:hideMark/>
          </w:tcPr>
          <w:p w14:paraId="4ACED1C0" w14:textId="77777777" w:rsidR="00120717" w:rsidRPr="00B93EE1" w:rsidRDefault="00120717" w:rsidP="00D43564">
            <w:pPr>
              <w:ind w:right="170"/>
              <w:jc w:val="right"/>
              <w:rPr>
                <w:rFonts w:eastAsia="SimSun"/>
                <w:sz w:val="15"/>
                <w:szCs w:val="15"/>
              </w:rPr>
            </w:pPr>
            <w:r w:rsidRPr="00B93EE1">
              <w:rPr>
                <w:rFonts w:eastAsia="SimSun"/>
                <w:sz w:val="15"/>
                <w:szCs w:val="15"/>
              </w:rPr>
              <w:t>4.7</w:t>
            </w:r>
          </w:p>
        </w:tc>
        <w:tc>
          <w:tcPr>
            <w:tcW w:w="923" w:type="dxa"/>
            <w:noWrap/>
            <w:hideMark/>
          </w:tcPr>
          <w:p w14:paraId="7B519CFF" w14:textId="77777777" w:rsidR="00120717" w:rsidRPr="00B93EE1" w:rsidRDefault="00120717" w:rsidP="00D43564">
            <w:pPr>
              <w:ind w:right="170"/>
              <w:jc w:val="right"/>
              <w:rPr>
                <w:rFonts w:eastAsia="SimSun"/>
                <w:sz w:val="15"/>
                <w:szCs w:val="15"/>
              </w:rPr>
            </w:pPr>
            <w:r w:rsidRPr="00B93EE1">
              <w:rPr>
                <w:rFonts w:eastAsia="SimSun"/>
                <w:sz w:val="15"/>
                <w:szCs w:val="15"/>
              </w:rPr>
              <w:t>5.1</w:t>
            </w:r>
          </w:p>
        </w:tc>
        <w:tc>
          <w:tcPr>
            <w:tcW w:w="923" w:type="dxa"/>
            <w:noWrap/>
            <w:hideMark/>
          </w:tcPr>
          <w:p w14:paraId="0500D235" w14:textId="77777777" w:rsidR="00120717" w:rsidRPr="00B93EE1" w:rsidRDefault="00120717" w:rsidP="00D43564">
            <w:pPr>
              <w:ind w:right="170"/>
              <w:jc w:val="right"/>
              <w:rPr>
                <w:rFonts w:eastAsia="SimSun"/>
                <w:sz w:val="15"/>
                <w:szCs w:val="15"/>
              </w:rPr>
            </w:pPr>
            <w:r w:rsidRPr="00B93EE1">
              <w:rPr>
                <w:rFonts w:eastAsia="SimSun"/>
                <w:sz w:val="15"/>
                <w:szCs w:val="15"/>
              </w:rPr>
              <w:t>4.1</w:t>
            </w:r>
          </w:p>
        </w:tc>
        <w:tc>
          <w:tcPr>
            <w:tcW w:w="923" w:type="dxa"/>
            <w:noWrap/>
            <w:hideMark/>
          </w:tcPr>
          <w:p w14:paraId="0B8D0091" w14:textId="77777777" w:rsidR="00120717" w:rsidRPr="00B93EE1" w:rsidRDefault="00120717" w:rsidP="00D43564">
            <w:pPr>
              <w:ind w:right="170"/>
              <w:jc w:val="right"/>
              <w:rPr>
                <w:rFonts w:eastAsia="SimSun"/>
                <w:sz w:val="15"/>
                <w:szCs w:val="15"/>
              </w:rPr>
            </w:pPr>
            <w:r w:rsidRPr="00B93EE1">
              <w:rPr>
                <w:rFonts w:eastAsia="SimSun"/>
                <w:sz w:val="15"/>
                <w:szCs w:val="15"/>
              </w:rPr>
              <w:t>4.2</w:t>
            </w:r>
          </w:p>
        </w:tc>
        <w:tc>
          <w:tcPr>
            <w:tcW w:w="923" w:type="dxa"/>
            <w:noWrap/>
            <w:hideMark/>
          </w:tcPr>
          <w:p w14:paraId="3B5B6ED4" w14:textId="77777777" w:rsidR="00120717" w:rsidRPr="00B93EE1" w:rsidRDefault="00120717" w:rsidP="00D43564">
            <w:pPr>
              <w:ind w:right="170"/>
              <w:jc w:val="right"/>
              <w:rPr>
                <w:rFonts w:eastAsia="SimSun"/>
                <w:sz w:val="15"/>
                <w:szCs w:val="15"/>
              </w:rPr>
            </w:pPr>
            <w:r w:rsidRPr="00B93EE1">
              <w:rPr>
                <w:rFonts w:eastAsia="SimSun"/>
                <w:sz w:val="15"/>
                <w:szCs w:val="15"/>
              </w:rPr>
              <w:t>4.4</w:t>
            </w:r>
          </w:p>
        </w:tc>
        <w:tc>
          <w:tcPr>
            <w:tcW w:w="923" w:type="dxa"/>
            <w:noWrap/>
            <w:hideMark/>
          </w:tcPr>
          <w:p w14:paraId="3DB77EAD" w14:textId="77777777" w:rsidR="00120717" w:rsidRPr="00B93EE1" w:rsidRDefault="00120717" w:rsidP="00D43564">
            <w:pPr>
              <w:ind w:right="170"/>
              <w:jc w:val="right"/>
              <w:rPr>
                <w:rFonts w:eastAsia="SimSun"/>
                <w:sz w:val="15"/>
                <w:szCs w:val="15"/>
              </w:rPr>
            </w:pPr>
            <w:r w:rsidRPr="00B93EE1">
              <w:rPr>
                <w:rFonts w:eastAsia="SimSun"/>
                <w:sz w:val="15"/>
                <w:szCs w:val="15"/>
              </w:rPr>
              <w:t>4.8</w:t>
            </w:r>
          </w:p>
        </w:tc>
        <w:tc>
          <w:tcPr>
            <w:tcW w:w="930" w:type="dxa"/>
            <w:noWrap/>
            <w:hideMark/>
          </w:tcPr>
          <w:p w14:paraId="43838D83" w14:textId="77777777" w:rsidR="00120717" w:rsidRPr="00B93EE1" w:rsidRDefault="00120717" w:rsidP="00D43564">
            <w:pPr>
              <w:ind w:right="170"/>
              <w:jc w:val="right"/>
              <w:rPr>
                <w:rFonts w:eastAsia="SimSun"/>
                <w:sz w:val="15"/>
                <w:szCs w:val="15"/>
              </w:rPr>
            </w:pPr>
            <w:r w:rsidRPr="00B93EE1">
              <w:rPr>
                <w:rFonts w:eastAsia="SimSun"/>
                <w:sz w:val="15"/>
                <w:szCs w:val="15"/>
              </w:rPr>
              <w:t>1.0</w:t>
            </w:r>
          </w:p>
        </w:tc>
      </w:tr>
      <w:tr w:rsidR="00120717" w:rsidRPr="00B93EE1" w14:paraId="73D7E217"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1B527FDC" w14:textId="77777777" w:rsidR="00120717" w:rsidRPr="00B93EE1" w:rsidRDefault="00120717" w:rsidP="00D43564">
            <w:pPr>
              <w:ind w:left="170"/>
              <w:jc w:val="left"/>
              <w:rPr>
                <w:rFonts w:eastAsia="SimSun"/>
                <w:sz w:val="15"/>
                <w:szCs w:val="15"/>
              </w:rPr>
            </w:pPr>
            <w:r w:rsidRPr="00B93EE1">
              <w:rPr>
                <w:rFonts w:eastAsia="SimSun"/>
                <w:sz w:val="15"/>
                <w:szCs w:val="15"/>
              </w:rPr>
              <w:t>Personal</w:t>
            </w:r>
          </w:p>
        </w:tc>
        <w:tc>
          <w:tcPr>
            <w:tcW w:w="924" w:type="dxa"/>
            <w:noWrap/>
            <w:hideMark/>
          </w:tcPr>
          <w:p w14:paraId="46FFED45" w14:textId="77777777" w:rsidR="00120717" w:rsidRPr="00B93EE1" w:rsidRDefault="00120717" w:rsidP="00D43564">
            <w:pPr>
              <w:ind w:right="170"/>
              <w:jc w:val="right"/>
              <w:rPr>
                <w:rFonts w:eastAsia="SimSun"/>
                <w:sz w:val="15"/>
                <w:szCs w:val="15"/>
              </w:rPr>
            </w:pPr>
            <w:r w:rsidRPr="00B93EE1">
              <w:rPr>
                <w:rFonts w:eastAsia="SimSun"/>
                <w:sz w:val="15"/>
                <w:szCs w:val="15"/>
              </w:rPr>
              <w:t>56.3</w:t>
            </w:r>
          </w:p>
        </w:tc>
        <w:tc>
          <w:tcPr>
            <w:tcW w:w="923" w:type="dxa"/>
            <w:noWrap/>
            <w:hideMark/>
          </w:tcPr>
          <w:p w14:paraId="633E3B71" w14:textId="77777777" w:rsidR="00120717" w:rsidRPr="00B93EE1" w:rsidRDefault="00120717" w:rsidP="00D43564">
            <w:pPr>
              <w:ind w:right="170"/>
              <w:jc w:val="right"/>
              <w:rPr>
                <w:rFonts w:eastAsia="SimSun"/>
                <w:sz w:val="15"/>
                <w:szCs w:val="15"/>
              </w:rPr>
            </w:pPr>
            <w:r w:rsidRPr="00B93EE1">
              <w:rPr>
                <w:rFonts w:eastAsia="SimSun"/>
                <w:sz w:val="15"/>
                <w:szCs w:val="15"/>
              </w:rPr>
              <w:t>57.7</w:t>
            </w:r>
          </w:p>
        </w:tc>
        <w:tc>
          <w:tcPr>
            <w:tcW w:w="923" w:type="dxa"/>
            <w:noWrap/>
            <w:hideMark/>
          </w:tcPr>
          <w:p w14:paraId="657B53E9" w14:textId="77777777" w:rsidR="00120717" w:rsidRPr="00B93EE1" w:rsidRDefault="00120717" w:rsidP="00D43564">
            <w:pPr>
              <w:ind w:right="170"/>
              <w:jc w:val="right"/>
              <w:rPr>
                <w:rFonts w:eastAsia="SimSun"/>
                <w:sz w:val="15"/>
                <w:szCs w:val="15"/>
              </w:rPr>
            </w:pPr>
            <w:r w:rsidRPr="00B93EE1">
              <w:rPr>
                <w:rFonts w:eastAsia="SimSun"/>
                <w:sz w:val="15"/>
                <w:szCs w:val="15"/>
              </w:rPr>
              <w:t>56.5</w:t>
            </w:r>
          </w:p>
        </w:tc>
        <w:tc>
          <w:tcPr>
            <w:tcW w:w="923" w:type="dxa"/>
            <w:noWrap/>
            <w:hideMark/>
          </w:tcPr>
          <w:p w14:paraId="474F0722" w14:textId="77777777" w:rsidR="00120717" w:rsidRPr="00B93EE1" w:rsidRDefault="00120717" w:rsidP="00D43564">
            <w:pPr>
              <w:ind w:right="170"/>
              <w:jc w:val="right"/>
              <w:rPr>
                <w:rFonts w:eastAsia="SimSun"/>
                <w:sz w:val="15"/>
                <w:szCs w:val="15"/>
              </w:rPr>
            </w:pPr>
            <w:r w:rsidRPr="00B93EE1">
              <w:rPr>
                <w:rFonts w:eastAsia="SimSun"/>
                <w:sz w:val="15"/>
                <w:szCs w:val="15"/>
              </w:rPr>
              <w:t>56.5</w:t>
            </w:r>
          </w:p>
        </w:tc>
        <w:tc>
          <w:tcPr>
            <w:tcW w:w="923" w:type="dxa"/>
            <w:noWrap/>
            <w:hideMark/>
          </w:tcPr>
          <w:p w14:paraId="3DD175FF" w14:textId="77777777" w:rsidR="00120717" w:rsidRPr="00B93EE1" w:rsidRDefault="00120717" w:rsidP="00D43564">
            <w:pPr>
              <w:ind w:right="170"/>
              <w:jc w:val="right"/>
              <w:rPr>
                <w:rFonts w:eastAsia="SimSun"/>
                <w:sz w:val="15"/>
                <w:szCs w:val="15"/>
              </w:rPr>
            </w:pPr>
            <w:r w:rsidRPr="00B93EE1">
              <w:rPr>
                <w:rFonts w:eastAsia="SimSun"/>
                <w:sz w:val="15"/>
                <w:szCs w:val="15"/>
              </w:rPr>
              <w:t>55.1</w:t>
            </w:r>
          </w:p>
        </w:tc>
        <w:tc>
          <w:tcPr>
            <w:tcW w:w="923" w:type="dxa"/>
            <w:noWrap/>
            <w:hideMark/>
          </w:tcPr>
          <w:p w14:paraId="27A89EE4" w14:textId="77777777" w:rsidR="00120717" w:rsidRPr="00B93EE1" w:rsidRDefault="00120717" w:rsidP="00D43564">
            <w:pPr>
              <w:ind w:right="170"/>
              <w:jc w:val="right"/>
              <w:rPr>
                <w:rFonts w:eastAsia="SimSun"/>
                <w:sz w:val="15"/>
                <w:szCs w:val="15"/>
              </w:rPr>
            </w:pPr>
            <w:r w:rsidRPr="00B93EE1">
              <w:rPr>
                <w:rFonts w:eastAsia="SimSun"/>
                <w:sz w:val="15"/>
                <w:szCs w:val="15"/>
              </w:rPr>
              <w:t>52.9</w:t>
            </w:r>
          </w:p>
        </w:tc>
        <w:tc>
          <w:tcPr>
            <w:tcW w:w="930" w:type="dxa"/>
            <w:noWrap/>
            <w:hideMark/>
          </w:tcPr>
          <w:p w14:paraId="0AE44FD9" w14:textId="77777777" w:rsidR="00120717" w:rsidRPr="00B93EE1" w:rsidRDefault="00120717" w:rsidP="00D43564">
            <w:pPr>
              <w:ind w:right="170"/>
              <w:jc w:val="right"/>
              <w:rPr>
                <w:rFonts w:eastAsia="SimSun"/>
                <w:sz w:val="15"/>
                <w:szCs w:val="15"/>
              </w:rPr>
            </w:pPr>
            <w:r w:rsidRPr="00B93EE1">
              <w:rPr>
                <w:rFonts w:eastAsia="SimSun"/>
                <w:sz w:val="15"/>
                <w:szCs w:val="15"/>
              </w:rPr>
              <w:t>34.0</w:t>
            </w:r>
          </w:p>
        </w:tc>
      </w:tr>
      <w:tr w:rsidR="00120717" w:rsidRPr="00B93EE1" w14:paraId="315CA7B2" w14:textId="77777777" w:rsidTr="00D43564">
        <w:tc>
          <w:tcPr>
            <w:tcW w:w="2547" w:type="dxa"/>
            <w:noWrap/>
            <w:hideMark/>
          </w:tcPr>
          <w:p w14:paraId="3C097747" w14:textId="77777777" w:rsidR="00120717" w:rsidRPr="00B93EE1" w:rsidRDefault="00120717" w:rsidP="00D43564">
            <w:pPr>
              <w:jc w:val="left"/>
              <w:rPr>
                <w:rFonts w:eastAsia="SimSun"/>
                <w:sz w:val="15"/>
                <w:szCs w:val="15"/>
              </w:rPr>
            </w:pPr>
            <w:r w:rsidRPr="00B93EE1">
              <w:rPr>
                <w:rFonts w:eastAsia="SimSun"/>
                <w:sz w:val="15"/>
                <w:szCs w:val="15"/>
              </w:rPr>
              <w:t>Construction</w:t>
            </w:r>
          </w:p>
        </w:tc>
        <w:tc>
          <w:tcPr>
            <w:tcW w:w="924" w:type="dxa"/>
            <w:noWrap/>
            <w:hideMark/>
          </w:tcPr>
          <w:p w14:paraId="5231C06C" w14:textId="77777777" w:rsidR="00120717" w:rsidRPr="00B93EE1" w:rsidRDefault="00120717" w:rsidP="00D43564">
            <w:pPr>
              <w:ind w:right="170"/>
              <w:jc w:val="right"/>
              <w:rPr>
                <w:rFonts w:eastAsia="SimSun"/>
                <w:sz w:val="15"/>
                <w:szCs w:val="15"/>
              </w:rPr>
            </w:pPr>
            <w:r w:rsidRPr="00B93EE1">
              <w:rPr>
                <w:rFonts w:eastAsia="SimSun"/>
                <w:sz w:val="15"/>
                <w:szCs w:val="15"/>
              </w:rPr>
              <w:t>0.1</w:t>
            </w:r>
          </w:p>
        </w:tc>
        <w:tc>
          <w:tcPr>
            <w:tcW w:w="923" w:type="dxa"/>
            <w:noWrap/>
            <w:hideMark/>
          </w:tcPr>
          <w:p w14:paraId="59AFE313"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4BA722B3"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65EAFBDA"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02CCB756" w14:textId="77777777" w:rsidR="00120717" w:rsidRPr="00B93EE1" w:rsidRDefault="00120717" w:rsidP="00D43564">
            <w:pPr>
              <w:ind w:right="170"/>
              <w:jc w:val="right"/>
              <w:rPr>
                <w:rFonts w:eastAsia="SimSun"/>
                <w:sz w:val="15"/>
                <w:szCs w:val="15"/>
              </w:rPr>
            </w:pPr>
            <w:r w:rsidRPr="00B93EE1">
              <w:rPr>
                <w:rFonts w:eastAsia="SimSun"/>
                <w:sz w:val="15"/>
                <w:szCs w:val="15"/>
              </w:rPr>
              <w:t>0.1</w:t>
            </w:r>
          </w:p>
        </w:tc>
        <w:tc>
          <w:tcPr>
            <w:tcW w:w="923" w:type="dxa"/>
            <w:noWrap/>
            <w:hideMark/>
          </w:tcPr>
          <w:p w14:paraId="02A20941"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30" w:type="dxa"/>
            <w:noWrap/>
            <w:hideMark/>
          </w:tcPr>
          <w:p w14:paraId="1D49C022"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r>
      <w:tr w:rsidR="00120717" w:rsidRPr="00B93EE1" w14:paraId="7D0C33EA"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4A9A3792" w14:textId="77777777" w:rsidR="00120717" w:rsidRPr="00B93EE1" w:rsidRDefault="00120717" w:rsidP="00D43564">
            <w:pPr>
              <w:jc w:val="left"/>
              <w:rPr>
                <w:rFonts w:eastAsia="SimSun"/>
                <w:sz w:val="15"/>
                <w:szCs w:val="15"/>
              </w:rPr>
            </w:pPr>
            <w:r w:rsidRPr="00B93EE1">
              <w:rPr>
                <w:rFonts w:eastAsia="SimSun"/>
                <w:sz w:val="15"/>
                <w:szCs w:val="15"/>
              </w:rPr>
              <w:t>Insurance and pension</w:t>
            </w:r>
          </w:p>
        </w:tc>
        <w:tc>
          <w:tcPr>
            <w:tcW w:w="924" w:type="dxa"/>
            <w:noWrap/>
            <w:hideMark/>
          </w:tcPr>
          <w:p w14:paraId="1952C910"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17F8294E"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26555B8C"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33A5C4E7"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797FB0D9" w14:textId="77777777" w:rsidR="00120717" w:rsidRPr="00B93EE1" w:rsidRDefault="00120717" w:rsidP="00D43564">
            <w:pPr>
              <w:ind w:right="170"/>
              <w:jc w:val="right"/>
              <w:rPr>
                <w:rFonts w:eastAsia="SimSun"/>
                <w:sz w:val="15"/>
                <w:szCs w:val="15"/>
              </w:rPr>
            </w:pPr>
            <w:r w:rsidRPr="00B93EE1">
              <w:rPr>
                <w:rFonts w:eastAsia="SimSun"/>
                <w:sz w:val="15"/>
                <w:szCs w:val="15"/>
              </w:rPr>
              <w:t>0.6</w:t>
            </w:r>
          </w:p>
        </w:tc>
        <w:tc>
          <w:tcPr>
            <w:tcW w:w="923" w:type="dxa"/>
            <w:noWrap/>
            <w:hideMark/>
          </w:tcPr>
          <w:p w14:paraId="32B07A5B" w14:textId="77777777" w:rsidR="00120717" w:rsidRPr="00B93EE1" w:rsidRDefault="00120717" w:rsidP="00D43564">
            <w:pPr>
              <w:ind w:right="170"/>
              <w:jc w:val="right"/>
              <w:rPr>
                <w:rFonts w:eastAsia="SimSun"/>
                <w:sz w:val="15"/>
                <w:szCs w:val="15"/>
              </w:rPr>
            </w:pPr>
            <w:r w:rsidRPr="00B93EE1">
              <w:rPr>
                <w:rFonts w:eastAsia="SimSun"/>
                <w:sz w:val="15"/>
                <w:szCs w:val="15"/>
              </w:rPr>
              <w:t>0.2</w:t>
            </w:r>
          </w:p>
        </w:tc>
        <w:tc>
          <w:tcPr>
            <w:tcW w:w="930" w:type="dxa"/>
            <w:noWrap/>
            <w:hideMark/>
          </w:tcPr>
          <w:p w14:paraId="3752C2E9"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r>
      <w:tr w:rsidR="00120717" w:rsidRPr="00B93EE1" w14:paraId="35868530" w14:textId="77777777" w:rsidTr="00D43564">
        <w:tc>
          <w:tcPr>
            <w:tcW w:w="2547" w:type="dxa"/>
            <w:noWrap/>
            <w:hideMark/>
          </w:tcPr>
          <w:p w14:paraId="58309EF4" w14:textId="77777777" w:rsidR="00120717" w:rsidRPr="00B93EE1" w:rsidRDefault="00120717" w:rsidP="00D43564">
            <w:pPr>
              <w:jc w:val="left"/>
              <w:rPr>
                <w:rFonts w:eastAsia="SimSun"/>
                <w:sz w:val="15"/>
                <w:szCs w:val="15"/>
              </w:rPr>
            </w:pPr>
            <w:r w:rsidRPr="00B93EE1">
              <w:rPr>
                <w:rFonts w:eastAsia="SimSun"/>
                <w:sz w:val="15"/>
                <w:szCs w:val="15"/>
              </w:rPr>
              <w:t>Financial service</w:t>
            </w:r>
          </w:p>
        </w:tc>
        <w:tc>
          <w:tcPr>
            <w:tcW w:w="924" w:type="dxa"/>
            <w:noWrap/>
            <w:hideMark/>
          </w:tcPr>
          <w:p w14:paraId="5C4ED5B9" w14:textId="77777777" w:rsidR="00120717" w:rsidRPr="00B93EE1" w:rsidRDefault="00120717" w:rsidP="00D43564">
            <w:pPr>
              <w:ind w:right="170"/>
              <w:jc w:val="right"/>
              <w:rPr>
                <w:rFonts w:eastAsia="SimSun"/>
                <w:sz w:val="15"/>
                <w:szCs w:val="15"/>
              </w:rPr>
            </w:pPr>
            <w:r w:rsidRPr="00B93EE1">
              <w:rPr>
                <w:rFonts w:eastAsia="SimSun"/>
                <w:sz w:val="15"/>
                <w:szCs w:val="15"/>
              </w:rPr>
              <w:t>3.0</w:t>
            </w:r>
          </w:p>
        </w:tc>
        <w:tc>
          <w:tcPr>
            <w:tcW w:w="923" w:type="dxa"/>
            <w:noWrap/>
            <w:hideMark/>
          </w:tcPr>
          <w:p w14:paraId="576A074D" w14:textId="77777777" w:rsidR="00120717" w:rsidRPr="00B93EE1" w:rsidRDefault="00120717" w:rsidP="00D43564">
            <w:pPr>
              <w:ind w:right="170"/>
              <w:jc w:val="right"/>
              <w:rPr>
                <w:rFonts w:eastAsia="SimSun"/>
                <w:sz w:val="15"/>
                <w:szCs w:val="15"/>
              </w:rPr>
            </w:pPr>
            <w:r w:rsidRPr="00B93EE1">
              <w:rPr>
                <w:rFonts w:eastAsia="SimSun"/>
                <w:sz w:val="15"/>
                <w:szCs w:val="15"/>
              </w:rPr>
              <w:t>3.2</w:t>
            </w:r>
          </w:p>
        </w:tc>
        <w:tc>
          <w:tcPr>
            <w:tcW w:w="923" w:type="dxa"/>
            <w:noWrap/>
            <w:hideMark/>
          </w:tcPr>
          <w:p w14:paraId="19A700CC" w14:textId="77777777" w:rsidR="00120717" w:rsidRPr="00B93EE1" w:rsidRDefault="00120717" w:rsidP="00D43564">
            <w:pPr>
              <w:ind w:right="170"/>
              <w:jc w:val="right"/>
              <w:rPr>
                <w:rFonts w:eastAsia="SimSun"/>
                <w:sz w:val="15"/>
                <w:szCs w:val="15"/>
              </w:rPr>
            </w:pPr>
            <w:r w:rsidRPr="00B93EE1">
              <w:rPr>
                <w:rFonts w:eastAsia="SimSun"/>
                <w:sz w:val="15"/>
                <w:szCs w:val="15"/>
              </w:rPr>
              <w:t>3.2</w:t>
            </w:r>
          </w:p>
        </w:tc>
        <w:tc>
          <w:tcPr>
            <w:tcW w:w="923" w:type="dxa"/>
            <w:noWrap/>
            <w:hideMark/>
          </w:tcPr>
          <w:p w14:paraId="36D65432"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5768E3F2"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6DFD9653" w14:textId="77777777" w:rsidR="00120717" w:rsidRPr="00B93EE1" w:rsidRDefault="00120717" w:rsidP="00D43564">
            <w:pPr>
              <w:ind w:right="170"/>
              <w:jc w:val="right"/>
              <w:rPr>
                <w:rFonts w:eastAsia="SimSun"/>
                <w:sz w:val="15"/>
                <w:szCs w:val="15"/>
              </w:rPr>
            </w:pPr>
            <w:r w:rsidRPr="00B93EE1">
              <w:rPr>
                <w:rFonts w:eastAsia="SimSun"/>
                <w:sz w:val="15"/>
                <w:szCs w:val="15"/>
              </w:rPr>
              <w:t>2.7</w:t>
            </w:r>
          </w:p>
        </w:tc>
        <w:tc>
          <w:tcPr>
            <w:tcW w:w="930" w:type="dxa"/>
            <w:noWrap/>
            <w:hideMark/>
          </w:tcPr>
          <w:p w14:paraId="347CDF12" w14:textId="77777777" w:rsidR="00120717" w:rsidRPr="00B93EE1" w:rsidRDefault="00120717" w:rsidP="00D43564">
            <w:pPr>
              <w:ind w:right="170"/>
              <w:jc w:val="right"/>
              <w:rPr>
                <w:rFonts w:eastAsia="SimSun"/>
                <w:sz w:val="15"/>
                <w:szCs w:val="15"/>
              </w:rPr>
            </w:pPr>
            <w:r w:rsidRPr="00B93EE1">
              <w:rPr>
                <w:rFonts w:eastAsia="SimSun"/>
                <w:sz w:val="15"/>
                <w:szCs w:val="15"/>
              </w:rPr>
              <w:t>5.1</w:t>
            </w:r>
          </w:p>
        </w:tc>
      </w:tr>
      <w:tr w:rsidR="00120717" w:rsidRPr="00B93EE1" w14:paraId="7ABB25C0"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04B05F81" w14:textId="77777777" w:rsidR="00120717" w:rsidRPr="00B93EE1" w:rsidRDefault="00120717" w:rsidP="00D43564">
            <w:pPr>
              <w:jc w:val="left"/>
              <w:rPr>
                <w:rFonts w:eastAsia="SimSun"/>
                <w:sz w:val="15"/>
                <w:szCs w:val="15"/>
              </w:rPr>
            </w:pPr>
            <w:r w:rsidRPr="00B93EE1">
              <w:rPr>
                <w:rFonts w:eastAsia="SimSun"/>
                <w:sz w:val="15"/>
                <w:szCs w:val="15"/>
              </w:rPr>
              <w:t>Charges for the use of intellectual property</w:t>
            </w:r>
          </w:p>
        </w:tc>
        <w:tc>
          <w:tcPr>
            <w:tcW w:w="924" w:type="dxa"/>
            <w:noWrap/>
            <w:hideMark/>
          </w:tcPr>
          <w:p w14:paraId="7D4C7BE6" w14:textId="77777777" w:rsidR="00120717" w:rsidRPr="00B93EE1" w:rsidRDefault="00120717" w:rsidP="00D43564">
            <w:pPr>
              <w:ind w:right="170"/>
              <w:jc w:val="right"/>
              <w:rPr>
                <w:rFonts w:eastAsia="SimSun"/>
                <w:sz w:val="15"/>
                <w:szCs w:val="15"/>
              </w:rPr>
            </w:pPr>
            <w:r w:rsidRPr="00B93EE1">
              <w:rPr>
                <w:rFonts w:eastAsia="SimSun"/>
                <w:sz w:val="15"/>
                <w:szCs w:val="15"/>
              </w:rPr>
              <w:t>2.1</w:t>
            </w:r>
          </w:p>
        </w:tc>
        <w:tc>
          <w:tcPr>
            <w:tcW w:w="923" w:type="dxa"/>
            <w:noWrap/>
            <w:hideMark/>
          </w:tcPr>
          <w:p w14:paraId="7A3A34EA" w14:textId="77777777" w:rsidR="00120717" w:rsidRPr="00B93EE1" w:rsidRDefault="00120717" w:rsidP="00D43564">
            <w:pPr>
              <w:ind w:right="170"/>
              <w:jc w:val="right"/>
              <w:rPr>
                <w:rFonts w:eastAsia="SimSun"/>
                <w:sz w:val="15"/>
                <w:szCs w:val="15"/>
              </w:rPr>
            </w:pPr>
            <w:r w:rsidRPr="00B93EE1">
              <w:rPr>
                <w:rFonts w:eastAsia="SimSun"/>
                <w:sz w:val="15"/>
                <w:szCs w:val="15"/>
              </w:rPr>
              <w:t>2.6</w:t>
            </w:r>
          </w:p>
        </w:tc>
        <w:tc>
          <w:tcPr>
            <w:tcW w:w="923" w:type="dxa"/>
            <w:noWrap/>
            <w:hideMark/>
          </w:tcPr>
          <w:p w14:paraId="260CF9B5" w14:textId="77777777" w:rsidR="00120717" w:rsidRPr="00B93EE1" w:rsidRDefault="00120717" w:rsidP="00D43564">
            <w:pPr>
              <w:ind w:right="170"/>
              <w:jc w:val="right"/>
              <w:rPr>
                <w:rFonts w:eastAsia="SimSun"/>
                <w:sz w:val="15"/>
                <w:szCs w:val="15"/>
              </w:rPr>
            </w:pPr>
            <w:r w:rsidRPr="00B93EE1">
              <w:rPr>
                <w:rFonts w:eastAsia="SimSun"/>
                <w:sz w:val="15"/>
                <w:szCs w:val="15"/>
              </w:rPr>
              <w:t>3.1</w:t>
            </w:r>
          </w:p>
        </w:tc>
        <w:tc>
          <w:tcPr>
            <w:tcW w:w="923" w:type="dxa"/>
            <w:noWrap/>
            <w:hideMark/>
          </w:tcPr>
          <w:p w14:paraId="5AD4629A" w14:textId="77777777" w:rsidR="00120717" w:rsidRPr="00B93EE1" w:rsidRDefault="00120717" w:rsidP="00D43564">
            <w:pPr>
              <w:ind w:right="170"/>
              <w:jc w:val="right"/>
              <w:rPr>
                <w:rFonts w:eastAsia="SimSun"/>
                <w:sz w:val="15"/>
                <w:szCs w:val="15"/>
              </w:rPr>
            </w:pPr>
            <w:r w:rsidRPr="00B93EE1">
              <w:rPr>
                <w:rFonts w:eastAsia="SimSun"/>
                <w:sz w:val="15"/>
                <w:szCs w:val="15"/>
              </w:rPr>
              <w:t>3.6</w:t>
            </w:r>
          </w:p>
        </w:tc>
        <w:tc>
          <w:tcPr>
            <w:tcW w:w="923" w:type="dxa"/>
            <w:noWrap/>
            <w:hideMark/>
          </w:tcPr>
          <w:p w14:paraId="20D7A396" w14:textId="77777777" w:rsidR="00120717" w:rsidRPr="00B93EE1" w:rsidRDefault="00120717" w:rsidP="00D43564">
            <w:pPr>
              <w:ind w:right="170"/>
              <w:jc w:val="right"/>
              <w:rPr>
                <w:rFonts w:eastAsia="SimSun"/>
                <w:sz w:val="15"/>
                <w:szCs w:val="15"/>
              </w:rPr>
            </w:pPr>
            <w:r w:rsidRPr="00B93EE1">
              <w:rPr>
                <w:rFonts w:eastAsia="SimSun"/>
                <w:sz w:val="15"/>
                <w:szCs w:val="15"/>
              </w:rPr>
              <w:t>4.5</w:t>
            </w:r>
          </w:p>
        </w:tc>
        <w:tc>
          <w:tcPr>
            <w:tcW w:w="923" w:type="dxa"/>
            <w:noWrap/>
            <w:hideMark/>
          </w:tcPr>
          <w:p w14:paraId="0BAB6BB7" w14:textId="77777777" w:rsidR="00120717" w:rsidRPr="00B93EE1" w:rsidRDefault="00120717" w:rsidP="00D43564">
            <w:pPr>
              <w:ind w:right="170"/>
              <w:jc w:val="right"/>
              <w:rPr>
                <w:rFonts w:eastAsia="SimSun"/>
                <w:sz w:val="15"/>
                <w:szCs w:val="15"/>
              </w:rPr>
            </w:pPr>
            <w:r w:rsidRPr="00B93EE1">
              <w:rPr>
                <w:rFonts w:eastAsia="SimSun"/>
                <w:sz w:val="15"/>
                <w:szCs w:val="15"/>
              </w:rPr>
              <w:t>4.6</w:t>
            </w:r>
          </w:p>
        </w:tc>
        <w:tc>
          <w:tcPr>
            <w:tcW w:w="930" w:type="dxa"/>
            <w:noWrap/>
            <w:hideMark/>
          </w:tcPr>
          <w:p w14:paraId="4A500420" w14:textId="77777777" w:rsidR="00120717" w:rsidRPr="00B93EE1" w:rsidRDefault="00120717" w:rsidP="00D43564">
            <w:pPr>
              <w:ind w:right="170"/>
              <w:jc w:val="right"/>
              <w:rPr>
                <w:rFonts w:eastAsia="SimSun"/>
                <w:sz w:val="15"/>
                <w:szCs w:val="15"/>
              </w:rPr>
            </w:pPr>
            <w:r w:rsidRPr="00B93EE1">
              <w:rPr>
                <w:rFonts w:eastAsia="SimSun"/>
                <w:sz w:val="15"/>
                <w:szCs w:val="15"/>
              </w:rPr>
              <w:t>10.3</w:t>
            </w:r>
          </w:p>
        </w:tc>
      </w:tr>
      <w:tr w:rsidR="00120717" w:rsidRPr="00B93EE1" w14:paraId="6CF883BF" w14:textId="77777777" w:rsidTr="00D43564">
        <w:tc>
          <w:tcPr>
            <w:tcW w:w="2547" w:type="dxa"/>
            <w:noWrap/>
            <w:hideMark/>
          </w:tcPr>
          <w:p w14:paraId="78A426B1" w14:textId="77777777" w:rsidR="00120717" w:rsidRPr="00B93EE1" w:rsidRDefault="00120717" w:rsidP="00D43564">
            <w:pPr>
              <w:jc w:val="left"/>
              <w:rPr>
                <w:rFonts w:eastAsia="SimSun"/>
                <w:sz w:val="15"/>
                <w:szCs w:val="15"/>
              </w:rPr>
            </w:pPr>
            <w:r w:rsidRPr="00B93EE1">
              <w:rPr>
                <w:rFonts w:eastAsia="SimSun"/>
                <w:sz w:val="15"/>
                <w:szCs w:val="15"/>
              </w:rPr>
              <w:t>Telecommunication, computer, and information</w:t>
            </w:r>
          </w:p>
        </w:tc>
        <w:tc>
          <w:tcPr>
            <w:tcW w:w="924" w:type="dxa"/>
            <w:noWrap/>
            <w:hideMark/>
          </w:tcPr>
          <w:p w14:paraId="4C6D3C87" w14:textId="77777777" w:rsidR="00120717" w:rsidRPr="00B93EE1" w:rsidRDefault="00120717" w:rsidP="00D43564">
            <w:pPr>
              <w:ind w:right="170"/>
              <w:jc w:val="right"/>
              <w:rPr>
                <w:rFonts w:eastAsia="SimSun"/>
                <w:sz w:val="15"/>
                <w:szCs w:val="15"/>
              </w:rPr>
            </w:pPr>
            <w:r w:rsidRPr="00B93EE1">
              <w:rPr>
                <w:rFonts w:eastAsia="SimSun"/>
                <w:sz w:val="15"/>
                <w:szCs w:val="15"/>
              </w:rPr>
              <w:t>4.2</w:t>
            </w:r>
          </w:p>
        </w:tc>
        <w:tc>
          <w:tcPr>
            <w:tcW w:w="923" w:type="dxa"/>
            <w:noWrap/>
            <w:hideMark/>
          </w:tcPr>
          <w:p w14:paraId="15B7D3FF" w14:textId="77777777" w:rsidR="00120717" w:rsidRPr="00B93EE1" w:rsidRDefault="00120717" w:rsidP="00D43564">
            <w:pPr>
              <w:ind w:right="170"/>
              <w:jc w:val="right"/>
              <w:rPr>
                <w:rFonts w:eastAsia="SimSun"/>
                <w:sz w:val="15"/>
                <w:szCs w:val="15"/>
              </w:rPr>
            </w:pPr>
            <w:r w:rsidRPr="00B93EE1">
              <w:rPr>
                <w:rFonts w:eastAsia="SimSun"/>
                <w:sz w:val="15"/>
                <w:szCs w:val="15"/>
              </w:rPr>
              <w:t>4.3</w:t>
            </w:r>
          </w:p>
        </w:tc>
        <w:tc>
          <w:tcPr>
            <w:tcW w:w="923" w:type="dxa"/>
            <w:noWrap/>
            <w:hideMark/>
          </w:tcPr>
          <w:p w14:paraId="484CA604" w14:textId="77777777" w:rsidR="00120717" w:rsidRPr="00B93EE1" w:rsidRDefault="00120717" w:rsidP="00D43564">
            <w:pPr>
              <w:ind w:right="170"/>
              <w:jc w:val="right"/>
              <w:rPr>
                <w:rFonts w:eastAsia="SimSun"/>
                <w:sz w:val="15"/>
                <w:szCs w:val="15"/>
              </w:rPr>
            </w:pPr>
            <w:r w:rsidRPr="00B93EE1">
              <w:rPr>
                <w:rFonts w:eastAsia="SimSun"/>
                <w:sz w:val="15"/>
                <w:szCs w:val="15"/>
              </w:rPr>
              <w:t>4.5</w:t>
            </w:r>
          </w:p>
        </w:tc>
        <w:tc>
          <w:tcPr>
            <w:tcW w:w="923" w:type="dxa"/>
            <w:noWrap/>
            <w:hideMark/>
          </w:tcPr>
          <w:p w14:paraId="3F89D320" w14:textId="77777777" w:rsidR="00120717" w:rsidRPr="00B93EE1" w:rsidRDefault="00120717" w:rsidP="00D43564">
            <w:pPr>
              <w:ind w:right="170"/>
              <w:jc w:val="right"/>
              <w:rPr>
                <w:rFonts w:eastAsia="SimSun"/>
                <w:sz w:val="15"/>
                <w:szCs w:val="15"/>
              </w:rPr>
            </w:pPr>
            <w:r w:rsidRPr="00B93EE1">
              <w:rPr>
                <w:rFonts w:eastAsia="SimSun"/>
                <w:sz w:val="15"/>
                <w:szCs w:val="15"/>
              </w:rPr>
              <w:t>4.1</w:t>
            </w:r>
          </w:p>
        </w:tc>
        <w:tc>
          <w:tcPr>
            <w:tcW w:w="923" w:type="dxa"/>
            <w:noWrap/>
            <w:hideMark/>
          </w:tcPr>
          <w:p w14:paraId="25754D24" w14:textId="77777777" w:rsidR="00120717" w:rsidRPr="00B93EE1" w:rsidRDefault="00120717" w:rsidP="00D43564">
            <w:pPr>
              <w:ind w:right="170"/>
              <w:jc w:val="right"/>
              <w:rPr>
                <w:rFonts w:eastAsia="SimSun"/>
                <w:sz w:val="15"/>
                <w:szCs w:val="15"/>
              </w:rPr>
            </w:pPr>
            <w:r w:rsidRPr="00B93EE1">
              <w:rPr>
                <w:rFonts w:eastAsia="SimSun"/>
                <w:sz w:val="15"/>
                <w:szCs w:val="15"/>
              </w:rPr>
              <w:t>4.4</w:t>
            </w:r>
          </w:p>
        </w:tc>
        <w:tc>
          <w:tcPr>
            <w:tcW w:w="923" w:type="dxa"/>
            <w:noWrap/>
            <w:hideMark/>
          </w:tcPr>
          <w:p w14:paraId="201D21BE" w14:textId="77777777" w:rsidR="00120717" w:rsidRPr="00B93EE1" w:rsidRDefault="00120717" w:rsidP="00D43564">
            <w:pPr>
              <w:ind w:right="170"/>
              <w:jc w:val="right"/>
              <w:rPr>
                <w:rFonts w:eastAsia="SimSun"/>
                <w:sz w:val="15"/>
                <w:szCs w:val="15"/>
              </w:rPr>
            </w:pPr>
            <w:r w:rsidRPr="00B93EE1">
              <w:rPr>
                <w:rFonts w:eastAsia="SimSun"/>
                <w:sz w:val="15"/>
                <w:szCs w:val="15"/>
              </w:rPr>
              <w:t>5.3</w:t>
            </w:r>
          </w:p>
        </w:tc>
        <w:tc>
          <w:tcPr>
            <w:tcW w:w="930" w:type="dxa"/>
            <w:noWrap/>
            <w:hideMark/>
          </w:tcPr>
          <w:p w14:paraId="18A42A53" w14:textId="77777777" w:rsidR="00120717" w:rsidRPr="00B93EE1" w:rsidRDefault="00120717" w:rsidP="00D43564">
            <w:pPr>
              <w:ind w:right="170"/>
              <w:jc w:val="right"/>
              <w:rPr>
                <w:rFonts w:eastAsia="SimSun"/>
                <w:sz w:val="15"/>
                <w:szCs w:val="15"/>
              </w:rPr>
            </w:pPr>
            <w:r w:rsidRPr="00B93EE1">
              <w:rPr>
                <w:rFonts w:eastAsia="SimSun"/>
                <w:sz w:val="15"/>
                <w:szCs w:val="15"/>
              </w:rPr>
              <w:t>11.6</w:t>
            </w:r>
          </w:p>
        </w:tc>
      </w:tr>
      <w:tr w:rsidR="00120717" w:rsidRPr="00B93EE1" w14:paraId="1E91BA69"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14E32F2D" w14:textId="77777777" w:rsidR="00120717" w:rsidRPr="00B93EE1" w:rsidRDefault="00120717" w:rsidP="00D43564">
            <w:pPr>
              <w:jc w:val="left"/>
              <w:rPr>
                <w:rFonts w:eastAsia="SimSun"/>
                <w:sz w:val="15"/>
                <w:szCs w:val="15"/>
              </w:rPr>
            </w:pPr>
            <w:r w:rsidRPr="00B93EE1">
              <w:rPr>
                <w:rFonts w:eastAsia="SimSun"/>
                <w:sz w:val="15"/>
                <w:szCs w:val="15"/>
              </w:rPr>
              <w:t>Other business services</w:t>
            </w:r>
          </w:p>
        </w:tc>
        <w:tc>
          <w:tcPr>
            <w:tcW w:w="924" w:type="dxa"/>
            <w:noWrap/>
            <w:hideMark/>
          </w:tcPr>
          <w:p w14:paraId="6A957D54" w14:textId="77777777" w:rsidR="00120717" w:rsidRPr="00B93EE1" w:rsidRDefault="00120717" w:rsidP="00D43564">
            <w:pPr>
              <w:ind w:right="170"/>
              <w:jc w:val="right"/>
              <w:rPr>
                <w:rFonts w:eastAsia="SimSun"/>
                <w:sz w:val="15"/>
                <w:szCs w:val="15"/>
              </w:rPr>
            </w:pPr>
            <w:r w:rsidRPr="00B93EE1">
              <w:rPr>
                <w:rFonts w:eastAsia="SimSun"/>
                <w:sz w:val="15"/>
                <w:szCs w:val="15"/>
              </w:rPr>
              <w:t>9.4</w:t>
            </w:r>
          </w:p>
        </w:tc>
        <w:tc>
          <w:tcPr>
            <w:tcW w:w="923" w:type="dxa"/>
            <w:noWrap/>
            <w:hideMark/>
          </w:tcPr>
          <w:p w14:paraId="03F5F143" w14:textId="77777777" w:rsidR="00120717" w:rsidRPr="00B93EE1" w:rsidRDefault="00120717" w:rsidP="00D43564">
            <w:pPr>
              <w:ind w:right="170"/>
              <w:jc w:val="right"/>
              <w:rPr>
                <w:rFonts w:eastAsia="SimSun"/>
                <w:sz w:val="15"/>
                <w:szCs w:val="15"/>
              </w:rPr>
            </w:pPr>
            <w:r w:rsidRPr="00B93EE1">
              <w:rPr>
                <w:rFonts w:eastAsia="SimSun"/>
                <w:sz w:val="15"/>
                <w:szCs w:val="15"/>
              </w:rPr>
              <w:t>7.9</w:t>
            </w:r>
          </w:p>
        </w:tc>
        <w:tc>
          <w:tcPr>
            <w:tcW w:w="923" w:type="dxa"/>
            <w:noWrap/>
            <w:hideMark/>
          </w:tcPr>
          <w:p w14:paraId="0D35407B" w14:textId="77777777" w:rsidR="00120717" w:rsidRPr="00B93EE1" w:rsidRDefault="00120717" w:rsidP="00D43564">
            <w:pPr>
              <w:ind w:right="170"/>
              <w:jc w:val="right"/>
              <w:rPr>
                <w:rFonts w:eastAsia="SimSun"/>
                <w:sz w:val="15"/>
                <w:szCs w:val="15"/>
              </w:rPr>
            </w:pPr>
            <w:r w:rsidRPr="00B93EE1">
              <w:rPr>
                <w:rFonts w:eastAsia="SimSun"/>
                <w:sz w:val="15"/>
                <w:szCs w:val="15"/>
              </w:rPr>
              <w:t>7.9</w:t>
            </w:r>
          </w:p>
        </w:tc>
        <w:tc>
          <w:tcPr>
            <w:tcW w:w="923" w:type="dxa"/>
            <w:noWrap/>
            <w:hideMark/>
          </w:tcPr>
          <w:p w14:paraId="4EF75772" w14:textId="77777777" w:rsidR="00120717" w:rsidRPr="00B93EE1" w:rsidRDefault="00120717" w:rsidP="00D43564">
            <w:pPr>
              <w:ind w:right="170"/>
              <w:jc w:val="right"/>
              <w:rPr>
                <w:rFonts w:eastAsia="SimSun"/>
                <w:sz w:val="15"/>
                <w:szCs w:val="15"/>
              </w:rPr>
            </w:pPr>
            <w:r w:rsidRPr="00B93EE1">
              <w:rPr>
                <w:rFonts w:eastAsia="SimSun"/>
                <w:sz w:val="15"/>
                <w:szCs w:val="15"/>
              </w:rPr>
              <w:t>7.7</w:t>
            </w:r>
          </w:p>
        </w:tc>
        <w:tc>
          <w:tcPr>
            <w:tcW w:w="923" w:type="dxa"/>
            <w:noWrap/>
            <w:hideMark/>
          </w:tcPr>
          <w:p w14:paraId="01E28310" w14:textId="77777777" w:rsidR="00120717" w:rsidRPr="00B93EE1" w:rsidRDefault="00120717" w:rsidP="00D43564">
            <w:pPr>
              <w:ind w:right="170"/>
              <w:jc w:val="right"/>
              <w:rPr>
                <w:rFonts w:eastAsia="SimSun"/>
                <w:sz w:val="15"/>
                <w:szCs w:val="15"/>
              </w:rPr>
            </w:pPr>
            <w:r w:rsidRPr="00B93EE1">
              <w:rPr>
                <w:rFonts w:eastAsia="SimSun"/>
                <w:sz w:val="15"/>
                <w:szCs w:val="15"/>
              </w:rPr>
              <w:t>7.3</w:t>
            </w:r>
          </w:p>
        </w:tc>
        <w:tc>
          <w:tcPr>
            <w:tcW w:w="923" w:type="dxa"/>
            <w:noWrap/>
            <w:hideMark/>
          </w:tcPr>
          <w:p w14:paraId="69CABDB3" w14:textId="77777777" w:rsidR="00120717" w:rsidRPr="00B93EE1" w:rsidRDefault="00120717" w:rsidP="00D43564">
            <w:pPr>
              <w:ind w:right="170"/>
              <w:jc w:val="right"/>
              <w:rPr>
                <w:rFonts w:eastAsia="SimSun"/>
                <w:sz w:val="15"/>
                <w:szCs w:val="15"/>
              </w:rPr>
            </w:pPr>
            <w:r w:rsidRPr="00B93EE1">
              <w:rPr>
                <w:rFonts w:eastAsia="SimSun"/>
                <w:sz w:val="15"/>
                <w:szCs w:val="15"/>
              </w:rPr>
              <w:t>7.9</w:t>
            </w:r>
          </w:p>
        </w:tc>
        <w:tc>
          <w:tcPr>
            <w:tcW w:w="930" w:type="dxa"/>
            <w:noWrap/>
            <w:hideMark/>
          </w:tcPr>
          <w:p w14:paraId="21DC6169" w14:textId="77777777" w:rsidR="00120717" w:rsidRPr="00B93EE1" w:rsidRDefault="00120717" w:rsidP="00D43564">
            <w:pPr>
              <w:ind w:right="170"/>
              <w:jc w:val="right"/>
              <w:rPr>
                <w:rFonts w:eastAsia="SimSun"/>
                <w:sz w:val="15"/>
                <w:szCs w:val="15"/>
              </w:rPr>
            </w:pPr>
            <w:r w:rsidRPr="00B93EE1">
              <w:rPr>
                <w:rFonts w:eastAsia="SimSun"/>
                <w:sz w:val="15"/>
                <w:szCs w:val="15"/>
              </w:rPr>
              <w:t>15.8</w:t>
            </w:r>
          </w:p>
        </w:tc>
      </w:tr>
      <w:tr w:rsidR="00120717" w:rsidRPr="00B93EE1" w14:paraId="28CDFDCA" w14:textId="77777777" w:rsidTr="00D43564">
        <w:tc>
          <w:tcPr>
            <w:tcW w:w="2547" w:type="dxa"/>
            <w:noWrap/>
            <w:hideMark/>
          </w:tcPr>
          <w:p w14:paraId="57A909A3" w14:textId="77777777" w:rsidR="00120717" w:rsidRPr="00B93EE1" w:rsidRDefault="00120717" w:rsidP="00D43564">
            <w:pPr>
              <w:ind w:left="170"/>
              <w:jc w:val="left"/>
              <w:rPr>
                <w:rFonts w:eastAsia="SimSun"/>
                <w:sz w:val="15"/>
                <w:szCs w:val="15"/>
              </w:rPr>
            </w:pPr>
            <w:r w:rsidRPr="00B93EE1">
              <w:rPr>
                <w:rFonts w:eastAsia="SimSun"/>
                <w:sz w:val="15"/>
                <w:szCs w:val="15"/>
              </w:rPr>
              <w:t>Research and development</w:t>
            </w:r>
          </w:p>
        </w:tc>
        <w:tc>
          <w:tcPr>
            <w:tcW w:w="924" w:type="dxa"/>
            <w:noWrap/>
            <w:hideMark/>
          </w:tcPr>
          <w:p w14:paraId="0AE39499" w14:textId="77777777" w:rsidR="00120717" w:rsidRPr="00B93EE1" w:rsidRDefault="00120717" w:rsidP="00D43564">
            <w:pPr>
              <w:ind w:right="170"/>
              <w:jc w:val="right"/>
              <w:rPr>
                <w:rFonts w:eastAsia="SimSun"/>
                <w:sz w:val="15"/>
                <w:szCs w:val="15"/>
              </w:rPr>
            </w:pPr>
            <w:r w:rsidRPr="00B93EE1">
              <w:rPr>
                <w:rFonts w:eastAsia="SimSun"/>
                <w:sz w:val="15"/>
                <w:szCs w:val="15"/>
              </w:rPr>
              <w:t>0.6</w:t>
            </w:r>
          </w:p>
        </w:tc>
        <w:tc>
          <w:tcPr>
            <w:tcW w:w="923" w:type="dxa"/>
            <w:noWrap/>
            <w:hideMark/>
          </w:tcPr>
          <w:p w14:paraId="57C87803" w14:textId="77777777" w:rsidR="00120717" w:rsidRPr="00B93EE1" w:rsidRDefault="00120717" w:rsidP="00D43564">
            <w:pPr>
              <w:ind w:right="170"/>
              <w:jc w:val="right"/>
              <w:rPr>
                <w:rFonts w:eastAsia="SimSun"/>
                <w:sz w:val="15"/>
                <w:szCs w:val="15"/>
              </w:rPr>
            </w:pPr>
            <w:r w:rsidRPr="00B93EE1">
              <w:rPr>
                <w:rFonts w:eastAsia="SimSun"/>
                <w:sz w:val="15"/>
                <w:szCs w:val="15"/>
              </w:rPr>
              <w:t>0.5</w:t>
            </w:r>
          </w:p>
        </w:tc>
        <w:tc>
          <w:tcPr>
            <w:tcW w:w="923" w:type="dxa"/>
            <w:noWrap/>
            <w:hideMark/>
          </w:tcPr>
          <w:p w14:paraId="40B10167" w14:textId="77777777" w:rsidR="00120717" w:rsidRPr="00B93EE1" w:rsidRDefault="00120717" w:rsidP="00D43564">
            <w:pPr>
              <w:ind w:right="170"/>
              <w:jc w:val="right"/>
              <w:rPr>
                <w:rFonts w:eastAsia="SimSun"/>
                <w:sz w:val="15"/>
                <w:szCs w:val="15"/>
              </w:rPr>
            </w:pPr>
            <w:r w:rsidRPr="00B93EE1">
              <w:rPr>
                <w:rFonts w:eastAsia="SimSun"/>
                <w:sz w:val="15"/>
                <w:szCs w:val="15"/>
              </w:rPr>
              <w:t>0.7</w:t>
            </w:r>
          </w:p>
        </w:tc>
        <w:tc>
          <w:tcPr>
            <w:tcW w:w="923" w:type="dxa"/>
            <w:noWrap/>
            <w:hideMark/>
          </w:tcPr>
          <w:p w14:paraId="618F9EFD" w14:textId="77777777" w:rsidR="00120717" w:rsidRPr="00B93EE1" w:rsidRDefault="00120717" w:rsidP="00D43564">
            <w:pPr>
              <w:ind w:right="170"/>
              <w:jc w:val="right"/>
              <w:rPr>
                <w:rFonts w:eastAsia="SimSun"/>
                <w:sz w:val="15"/>
                <w:szCs w:val="15"/>
              </w:rPr>
            </w:pPr>
            <w:r w:rsidRPr="00B93EE1">
              <w:rPr>
                <w:rFonts w:eastAsia="SimSun"/>
                <w:sz w:val="15"/>
                <w:szCs w:val="15"/>
              </w:rPr>
              <w:t>0.7</w:t>
            </w:r>
          </w:p>
        </w:tc>
        <w:tc>
          <w:tcPr>
            <w:tcW w:w="923" w:type="dxa"/>
            <w:noWrap/>
            <w:hideMark/>
          </w:tcPr>
          <w:p w14:paraId="5DD33031" w14:textId="77777777" w:rsidR="00120717" w:rsidRPr="00B93EE1" w:rsidRDefault="00120717" w:rsidP="00D43564">
            <w:pPr>
              <w:ind w:right="170"/>
              <w:jc w:val="right"/>
              <w:rPr>
                <w:rFonts w:eastAsia="SimSun"/>
                <w:sz w:val="15"/>
                <w:szCs w:val="15"/>
              </w:rPr>
            </w:pPr>
            <w:r w:rsidRPr="00B93EE1">
              <w:rPr>
                <w:rFonts w:eastAsia="SimSun"/>
                <w:sz w:val="15"/>
                <w:szCs w:val="15"/>
              </w:rPr>
              <w:t>0.6</w:t>
            </w:r>
          </w:p>
        </w:tc>
        <w:tc>
          <w:tcPr>
            <w:tcW w:w="923" w:type="dxa"/>
            <w:noWrap/>
            <w:hideMark/>
          </w:tcPr>
          <w:p w14:paraId="09ECB14E" w14:textId="77777777" w:rsidR="00120717" w:rsidRPr="00B93EE1" w:rsidRDefault="00120717" w:rsidP="00D43564">
            <w:pPr>
              <w:ind w:right="170"/>
              <w:jc w:val="right"/>
              <w:rPr>
                <w:rFonts w:eastAsia="SimSun"/>
                <w:sz w:val="15"/>
                <w:szCs w:val="15"/>
              </w:rPr>
            </w:pPr>
            <w:r w:rsidRPr="00B93EE1">
              <w:rPr>
                <w:rFonts w:eastAsia="SimSun"/>
                <w:sz w:val="15"/>
                <w:szCs w:val="15"/>
              </w:rPr>
              <w:t>0.6</w:t>
            </w:r>
          </w:p>
        </w:tc>
        <w:tc>
          <w:tcPr>
            <w:tcW w:w="930" w:type="dxa"/>
            <w:noWrap/>
            <w:hideMark/>
          </w:tcPr>
          <w:p w14:paraId="585AA738" w14:textId="77777777" w:rsidR="00120717" w:rsidRPr="00B93EE1" w:rsidRDefault="00120717" w:rsidP="00D43564">
            <w:pPr>
              <w:ind w:right="170"/>
              <w:jc w:val="right"/>
              <w:rPr>
                <w:rFonts w:eastAsia="SimSun"/>
                <w:sz w:val="15"/>
                <w:szCs w:val="15"/>
              </w:rPr>
            </w:pPr>
            <w:r w:rsidRPr="00B93EE1">
              <w:rPr>
                <w:rFonts w:eastAsia="SimSun"/>
                <w:sz w:val="15"/>
                <w:szCs w:val="15"/>
              </w:rPr>
              <w:t>1.2</w:t>
            </w:r>
          </w:p>
        </w:tc>
      </w:tr>
      <w:tr w:rsidR="00120717" w:rsidRPr="00B93EE1" w14:paraId="0D3D936C"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018DFE30" w14:textId="77777777" w:rsidR="00120717" w:rsidRPr="00B93EE1" w:rsidRDefault="00120717" w:rsidP="00D43564">
            <w:pPr>
              <w:ind w:left="170"/>
              <w:jc w:val="left"/>
              <w:rPr>
                <w:rFonts w:eastAsia="SimSun"/>
                <w:sz w:val="15"/>
                <w:szCs w:val="15"/>
              </w:rPr>
            </w:pPr>
            <w:r w:rsidRPr="00B93EE1">
              <w:rPr>
                <w:rFonts w:eastAsia="SimSun"/>
                <w:sz w:val="15"/>
                <w:szCs w:val="15"/>
              </w:rPr>
              <w:t>Professional and management consulting services</w:t>
            </w:r>
          </w:p>
        </w:tc>
        <w:tc>
          <w:tcPr>
            <w:tcW w:w="924" w:type="dxa"/>
            <w:noWrap/>
            <w:hideMark/>
          </w:tcPr>
          <w:p w14:paraId="3F5D15B5" w14:textId="77777777" w:rsidR="00120717" w:rsidRPr="00B93EE1" w:rsidRDefault="00120717" w:rsidP="00D43564">
            <w:pPr>
              <w:ind w:right="170"/>
              <w:jc w:val="right"/>
              <w:rPr>
                <w:rFonts w:eastAsia="SimSun"/>
                <w:sz w:val="15"/>
                <w:szCs w:val="15"/>
              </w:rPr>
            </w:pPr>
            <w:r w:rsidRPr="00B93EE1">
              <w:rPr>
                <w:rFonts w:eastAsia="SimSun"/>
                <w:sz w:val="15"/>
                <w:szCs w:val="15"/>
              </w:rPr>
              <w:t>2.3</w:t>
            </w:r>
          </w:p>
        </w:tc>
        <w:tc>
          <w:tcPr>
            <w:tcW w:w="923" w:type="dxa"/>
            <w:noWrap/>
            <w:hideMark/>
          </w:tcPr>
          <w:p w14:paraId="7116A947" w14:textId="77777777" w:rsidR="00120717" w:rsidRPr="00B93EE1" w:rsidRDefault="00120717" w:rsidP="00D43564">
            <w:pPr>
              <w:ind w:right="170"/>
              <w:jc w:val="right"/>
              <w:rPr>
                <w:rFonts w:eastAsia="SimSun"/>
                <w:sz w:val="15"/>
                <w:szCs w:val="15"/>
              </w:rPr>
            </w:pPr>
            <w:r w:rsidRPr="00B93EE1">
              <w:rPr>
                <w:rFonts w:eastAsia="SimSun"/>
                <w:sz w:val="15"/>
                <w:szCs w:val="15"/>
              </w:rPr>
              <w:t>2.0</w:t>
            </w:r>
          </w:p>
        </w:tc>
        <w:tc>
          <w:tcPr>
            <w:tcW w:w="923" w:type="dxa"/>
            <w:noWrap/>
            <w:hideMark/>
          </w:tcPr>
          <w:p w14:paraId="0D68FD03" w14:textId="77777777" w:rsidR="00120717" w:rsidRPr="00B93EE1" w:rsidRDefault="00120717" w:rsidP="00D43564">
            <w:pPr>
              <w:ind w:right="170"/>
              <w:jc w:val="right"/>
              <w:rPr>
                <w:rFonts w:eastAsia="SimSun"/>
                <w:sz w:val="15"/>
                <w:szCs w:val="15"/>
              </w:rPr>
            </w:pPr>
            <w:r w:rsidRPr="00B93EE1">
              <w:rPr>
                <w:rFonts w:eastAsia="SimSun"/>
                <w:sz w:val="15"/>
                <w:szCs w:val="15"/>
              </w:rPr>
              <w:t>1.9</w:t>
            </w:r>
          </w:p>
        </w:tc>
        <w:tc>
          <w:tcPr>
            <w:tcW w:w="923" w:type="dxa"/>
            <w:noWrap/>
            <w:hideMark/>
          </w:tcPr>
          <w:p w14:paraId="0FBF0514" w14:textId="77777777" w:rsidR="00120717" w:rsidRPr="00B93EE1" w:rsidRDefault="00120717" w:rsidP="00D43564">
            <w:pPr>
              <w:ind w:right="170"/>
              <w:jc w:val="right"/>
              <w:rPr>
                <w:rFonts w:eastAsia="SimSun"/>
                <w:sz w:val="15"/>
                <w:szCs w:val="15"/>
              </w:rPr>
            </w:pPr>
            <w:r w:rsidRPr="00B93EE1">
              <w:rPr>
                <w:rFonts w:eastAsia="SimSun"/>
                <w:sz w:val="15"/>
                <w:szCs w:val="15"/>
              </w:rPr>
              <w:t>1.8</w:t>
            </w:r>
          </w:p>
        </w:tc>
        <w:tc>
          <w:tcPr>
            <w:tcW w:w="923" w:type="dxa"/>
            <w:noWrap/>
            <w:hideMark/>
          </w:tcPr>
          <w:p w14:paraId="2E329174" w14:textId="77777777" w:rsidR="00120717" w:rsidRPr="00B93EE1" w:rsidRDefault="00120717" w:rsidP="00D43564">
            <w:pPr>
              <w:ind w:right="170"/>
              <w:jc w:val="right"/>
              <w:rPr>
                <w:rFonts w:eastAsia="SimSun"/>
                <w:sz w:val="15"/>
                <w:szCs w:val="15"/>
              </w:rPr>
            </w:pPr>
            <w:r w:rsidRPr="00B93EE1">
              <w:rPr>
                <w:rFonts w:eastAsia="SimSun"/>
                <w:sz w:val="15"/>
                <w:szCs w:val="15"/>
              </w:rPr>
              <w:t>1.8</w:t>
            </w:r>
          </w:p>
        </w:tc>
        <w:tc>
          <w:tcPr>
            <w:tcW w:w="923" w:type="dxa"/>
            <w:noWrap/>
            <w:hideMark/>
          </w:tcPr>
          <w:p w14:paraId="6502EA07" w14:textId="77777777" w:rsidR="00120717" w:rsidRPr="00B93EE1" w:rsidRDefault="00120717" w:rsidP="00D43564">
            <w:pPr>
              <w:ind w:right="170"/>
              <w:jc w:val="right"/>
              <w:rPr>
                <w:rFonts w:eastAsia="SimSun"/>
                <w:sz w:val="15"/>
                <w:szCs w:val="15"/>
              </w:rPr>
            </w:pPr>
            <w:r w:rsidRPr="00B93EE1">
              <w:rPr>
                <w:rFonts w:eastAsia="SimSun"/>
                <w:sz w:val="15"/>
                <w:szCs w:val="15"/>
              </w:rPr>
              <w:t>1.8</w:t>
            </w:r>
          </w:p>
        </w:tc>
        <w:tc>
          <w:tcPr>
            <w:tcW w:w="930" w:type="dxa"/>
            <w:noWrap/>
            <w:hideMark/>
          </w:tcPr>
          <w:p w14:paraId="3BD8F50C" w14:textId="77777777" w:rsidR="00120717" w:rsidRPr="00B93EE1" w:rsidRDefault="00120717" w:rsidP="00D43564">
            <w:pPr>
              <w:ind w:right="170"/>
              <w:jc w:val="right"/>
              <w:rPr>
                <w:rFonts w:eastAsia="SimSun"/>
                <w:sz w:val="15"/>
                <w:szCs w:val="15"/>
              </w:rPr>
            </w:pPr>
            <w:r w:rsidRPr="00B93EE1">
              <w:rPr>
                <w:rFonts w:eastAsia="SimSun"/>
                <w:sz w:val="15"/>
                <w:szCs w:val="15"/>
              </w:rPr>
              <w:t>3.7</w:t>
            </w:r>
          </w:p>
        </w:tc>
      </w:tr>
      <w:tr w:rsidR="00120717" w:rsidRPr="00B93EE1" w14:paraId="36456312" w14:textId="77777777" w:rsidTr="00D43564">
        <w:tc>
          <w:tcPr>
            <w:tcW w:w="2547" w:type="dxa"/>
            <w:noWrap/>
            <w:hideMark/>
          </w:tcPr>
          <w:p w14:paraId="0E4D4358" w14:textId="77777777" w:rsidR="00120717" w:rsidRPr="00B93EE1" w:rsidRDefault="00120717" w:rsidP="00D43564">
            <w:pPr>
              <w:ind w:left="170"/>
              <w:jc w:val="left"/>
              <w:rPr>
                <w:rFonts w:eastAsia="SimSun"/>
                <w:sz w:val="15"/>
                <w:szCs w:val="15"/>
              </w:rPr>
            </w:pPr>
            <w:r w:rsidRPr="00B93EE1">
              <w:rPr>
                <w:rFonts w:eastAsia="SimSun"/>
                <w:sz w:val="15"/>
                <w:szCs w:val="15"/>
              </w:rPr>
              <w:t>Technical, trade-related, and other business services</w:t>
            </w:r>
          </w:p>
        </w:tc>
        <w:tc>
          <w:tcPr>
            <w:tcW w:w="924" w:type="dxa"/>
            <w:noWrap/>
            <w:hideMark/>
          </w:tcPr>
          <w:p w14:paraId="451D47C8" w14:textId="77777777" w:rsidR="00120717" w:rsidRPr="00B93EE1" w:rsidRDefault="00120717" w:rsidP="00D43564">
            <w:pPr>
              <w:ind w:right="170"/>
              <w:jc w:val="right"/>
              <w:rPr>
                <w:rFonts w:eastAsia="SimSun"/>
                <w:sz w:val="15"/>
                <w:szCs w:val="15"/>
              </w:rPr>
            </w:pPr>
            <w:r w:rsidRPr="00B93EE1">
              <w:rPr>
                <w:rFonts w:eastAsia="SimSun"/>
                <w:sz w:val="15"/>
                <w:szCs w:val="15"/>
              </w:rPr>
              <w:t>6.5</w:t>
            </w:r>
          </w:p>
        </w:tc>
        <w:tc>
          <w:tcPr>
            <w:tcW w:w="923" w:type="dxa"/>
            <w:noWrap/>
            <w:hideMark/>
          </w:tcPr>
          <w:p w14:paraId="0F57A212" w14:textId="77777777" w:rsidR="00120717" w:rsidRPr="00B93EE1" w:rsidRDefault="00120717" w:rsidP="00D43564">
            <w:pPr>
              <w:ind w:right="170"/>
              <w:jc w:val="right"/>
              <w:rPr>
                <w:rFonts w:eastAsia="SimSun"/>
                <w:sz w:val="15"/>
                <w:szCs w:val="15"/>
              </w:rPr>
            </w:pPr>
            <w:r w:rsidRPr="00B93EE1">
              <w:rPr>
                <w:rFonts w:eastAsia="SimSun"/>
                <w:sz w:val="15"/>
                <w:szCs w:val="15"/>
              </w:rPr>
              <w:t>5.4</w:t>
            </w:r>
          </w:p>
        </w:tc>
        <w:tc>
          <w:tcPr>
            <w:tcW w:w="923" w:type="dxa"/>
            <w:noWrap/>
            <w:hideMark/>
          </w:tcPr>
          <w:p w14:paraId="2FF13AEC" w14:textId="77777777" w:rsidR="00120717" w:rsidRPr="00B93EE1" w:rsidRDefault="00120717" w:rsidP="00D43564">
            <w:pPr>
              <w:ind w:right="170"/>
              <w:jc w:val="right"/>
              <w:rPr>
                <w:rFonts w:eastAsia="SimSun"/>
                <w:sz w:val="15"/>
                <w:szCs w:val="15"/>
              </w:rPr>
            </w:pPr>
            <w:r w:rsidRPr="00B93EE1">
              <w:rPr>
                <w:rFonts w:eastAsia="SimSun"/>
                <w:sz w:val="15"/>
                <w:szCs w:val="15"/>
              </w:rPr>
              <w:t>5.3</w:t>
            </w:r>
          </w:p>
        </w:tc>
        <w:tc>
          <w:tcPr>
            <w:tcW w:w="923" w:type="dxa"/>
            <w:noWrap/>
            <w:hideMark/>
          </w:tcPr>
          <w:p w14:paraId="546E33EB" w14:textId="77777777" w:rsidR="00120717" w:rsidRPr="00B93EE1" w:rsidRDefault="00120717" w:rsidP="00D43564">
            <w:pPr>
              <w:ind w:right="170"/>
              <w:jc w:val="right"/>
              <w:rPr>
                <w:rFonts w:eastAsia="SimSun"/>
                <w:sz w:val="15"/>
                <w:szCs w:val="15"/>
              </w:rPr>
            </w:pPr>
            <w:r w:rsidRPr="00B93EE1">
              <w:rPr>
                <w:rFonts w:eastAsia="SimSun"/>
                <w:sz w:val="15"/>
                <w:szCs w:val="15"/>
              </w:rPr>
              <w:t>5.2</w:t>
            </w:r>
          </w:p>
        </w:tc>
        <w:tc>
          <w:tcPr>
            <w:tcW w:w="923" w:type="dxa"/>
            <w:noWrap/>
            <w:hideMark/>
          </w:tcPr>
          <w:p w14:paraId="22CAA374" w14:textId="77777777" w:rsidR="00120717" w:rsidRPr="00B93EE1" w:rsidRDefault="00120717" w:rsidP="00D43564">
            <w:pPr>
              <w:ind w:right="170"/>
              <w:jc w:val="right"/>
              <w:rPr>
                <w:rFonts w:eastAsia="SimSun"/>
                <w:sz w:val="15"/>
                <w:szCs w:val="15"/>
              </w:rPr>
            </w:pPr>
            <w:r w:rsidRPr="00B93EE1">
              <w:rPr>
                <w:rFonts w:eastAsia="SimSun"/>
                <w:sz w:val="15"/>
                <w:szCs w:val="15"/>
              </w:rPr>
              <w:t>4.8</w:t>
            </w:r>
          </w:p>
        </w:tc>
        <w:tc>
          <w:tcPr>
            <w:tcW w:w="923" w:type="dxa"/>
            <w:noWrap/>
            <w:hideMark/>
          </w:tcPr>
          <w:p w14:paraId="52ED4DE4" w14:textId="77777777" w:rsidR="00120717" w:rsidRPr="00B93EE1" w:rsidRDefault="00120717" w:rsidP="00D43564">
            <w:pPr>
              <w:ind w:right="170"/>
              <w:jc w:val="right"/>
              <w:rPr>
                <w:rFonts w:eastAsia="SimSun"/>
                <w:sz w:val="15"/>
                <w:szCs w:val="15"/>
              </w:rPr>
            </w:pPr>
            <w:r w:rsidRPr="00B93EE1">
              <w:rPr>
                <w:rFonts w:eastAsia="SimSun"/>
                <w:sz w:val="15"/>
                <w:szCs w:val="15"/>
              </w:rPr>
              <w:t>5.4</w:t>
            </w:r>
          </w:p>
        </w:tc>
        <w:tc>
          <w:tcPr>
            <w:tcW w:w="930" w:type="dxa"/>
            <w:noWrap/>
            <w:hideMark/>
          </w:tcPr>
          <w:p w14:paraId="74D1F8DE" w14:textId="77777777" w:rsidR="00120717" w:rsidRPr="00B93EE1" w:rsidRDefault="00120717" w:rsidP="00D43564">
            <w:pPr>
              <w:ind w:right="170"/>
              <w:jc w:val="right"/>
              <w:rPr>
                <w:rFonts w:eastAsia="SimSun"/>
                <w:sz w:val="15"/>
                <w:szCs w:val="15"/>
              </w:rPr>
            </w:pPr>
            <w:r w:rsidRPr="00B93EE1">
              <w:rPr>
                <w:rFonts w:eastAsia="SimSun"/>
                <w:sz w:val="15"/>
                <w:szCs w:val="15"/>
              </w:rPr>
              <w:t>10.9</w:t>
            </w:r>
          </w:p>
        </w:tc>
      </w:tr>
      <w:tr w:rsidR="00120717" w:rsidRPr="00B93EE1" w14:paraId="215F7516"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1EF67E49" w14:textId="77777777" w:rsidR="00120717" w:rsidRPr="00B93EE1" w:rsidRDefault="00120717" w:rsidP="00D43564">
            <w:pPr>
              <w:jc w:val="left"/>
              <w:rPr>
                <w:rFonts w:eastAsia="SimSun"/>
                <w:sz w:val="15"/>
                <w:szCs w:val="15"/>
              </w:rPr>
            </w:pPr>
            <w:r w:rsidRPr="00B93EE1">
              <w:rPr>
                <w:rFonts w:eastAsia="SimSun"/>
                <w:sz w:val="15"/>
                <w:szCs w:val="15"/>
              </w:rPr>
              <w:t>Personal, cultural, and recreational services</w:t>
            </w:r>
          </w:p>
        </w:tc>
        <w:tc>
          <w:tcPr>
            <w:tcW w:w="924" w:type="dxa"/>
            <w:noWrap/>
            <w:hideMark/>
          </w:tcPr>
          <w:p w14:paraId="71577AB4" w14:textId="77777777" w:rsidR="00120717" w:rsidRPr="00B93EE1" w:rsidRDefault="00120717" w:rsidP="00D43564">
            <w:pPr>
              <w:ind w:right="170"/>
              <w:jc w:val="right"/>
              <w:rPr>
                <w:rFonts w:eastAsia="SimSun"/>
                <w:sz w:val="15"/>
                <w:szCs w:val="15"/>
              </w:rPr>
            </w:pPr>
            <w:r w:rsidRPr="00B93EE1">
              <w:rPr>
                <w:rFonts w:eastAsia="SimSun"/>
                <w:sz w:val="15"/>
                <w:szCs w:val="15"/>
              </w:rPr>
              <w:t>2.9</w:t>
            </w:r>
          </w:p>
        </w:tc>
        <w:tc>
          <w:tcPr>
            <w:tcW w:w="923" w:type="dxa"/>
            <w:noWrap/>
            <w:hideMark/>
          </w:tcPr>
          <w:p w14:paraId="440B3078" w14:textId="77777777" w:rsidR="00120717" w:rsidRPr="00B93EE1" w:rsidRDefault="00120717" w:rsidP="00D43564">
            <w:pPr>
              <w:ind w:right="170"/>
              <w:jc w:val="right"/>
              <w:rPr>
                <w:rFonts w:eastAsia="SimSun"/>
                <w:sz w:val="15"/>
                <w:szCs w:val="15"/>
              </w:rPr>
            </w:pPr>
            <w:r w:rsidRPr="00B93EE1">
              <w:rPr>
                <w:rFonts w:eastAsia="SimSun"/>
                <w:sz w:val="15"/>
                <w:szCs w:val="15"/>
              </w:rPr>
              <w:t>3.0</w:t>
            </w:r>
          </w:p>
        </w:tc>
        <w:tc>
          <w:tcPr>
            <w:tcW w:w="923" w:type="dxa"/>
            <w:noWrap/>
            <w:hideMark/>
          </w:tcPr>
          <w:p w14:paraId="7C4F46C7" w14:textId="77777777" w:rsidR="00120717" w:rsidRPr="00B93EE1" w:rsidRDefault="00120717" w:rsidP="00D43564">
            <w:pPr>
              <w:ind w:right="170"/>
              <w:jc w:val="right"/>
              <w:rPr>
                <w:rFonts w:eastAsia="SimSun"/>
                <w:sz w:val="15"/>
                <w:szCs w:val="15"/>
              </w:rPr>
            </w:pPr>
            <w:r w:rsidRPr="00B93EE1">
              <w:rPr>
                <w:rFonts w:eastAsia="SimSun"/>
                <w:sz w:val="15"/>
                <w:szCs w:val="15"/>
              </w:rPr>
              <w:t>3.3</w:t>
            </w:r>
          </w:p>
        </w:tc>
        <w:tc>
          <w:tcPr>
            <w:tcW w:w="923" w:type="dxa"/>
            <w:noWrap/>
            <w:hideMark/>
          </w:tcPr>
          <w:p w14:paraId="085B42AC" w14:textId="77777777" w:rsidR="00120717" w:rsidRPr="00B93EE1" w:rsidRDefault="00120717" w:rsidP="00D43564">
            <w:pPr>
              <w:ind w:right="170"/>
              <w:jc w:val="right"/>
              <w:rPr>
                <w:rFonts w:eastAsia="SimSun"/>
                <w:sz w:val="15"/>
                <w:szCs w:val="15"/>
              </w:rPr>
            </w:pPr>
            <w:r w:rsidRPr="00B93EE1">
              <w:rPr>
                <w:rFonts w:eastAsia="SimSun"/>
                <w:sz w:val="15"/>
                <w:szCs w:val="15"/>
              </w:rPr>
              <w:t>2.6</w:t>
            </w:r>
          </w:p>
        </w:tc>
        <w:tc>
          <w:tcPr>
            <w:tcW w:w="923" w:type="dxa"/>
            <w:noWrap/>
            <w:hideMark/>
          </w:tcPr>
          <w:p w14:paraId="3019760F" w14:textId="77777777" w:rsidR="00120717" w:rsidRPr="00B93EE1" w:rsidRDefault="00120717" w:rsidP="00D43564">
            <w:pPr>
              <w:ind w:right="170"/>
              <w:jc w:val="right"/>
              <w:rPr>
                <w:rFonts w:eastAsia="SimSun"/>
                <w:sz w:val="15"/>
                <w:szCs w:val="15"/>
              </w:rPr>
            </w:pPr>
            <w:r w:rsidRPr="00B93EE1">
              <w:rPr>
                <w:rFonts w:eastAsia="SimSun"/>
                <w:sz w:val="15"/>
                <w:szCs w:val="15"/>
              </w:rPr>
              <w:t>2.7</w:t>
            </w:r>
          </w:p>
        </w:tc>
        <w:tc>
          <w:tcPr>
            <w:tcW w:w="923" w:type="dxa"/>
            <w:noWrap/>
            <w:hideMark/>
          </w:tcPr>
          <w:p w14:paraId="5BD2F26B" w14:textId="77777777" w:rsidR="00120717" w:rsidRPr="00B93EE1" w:rsidRDefault="00120717" w:rsidP="00D43564">
            <w:pPr>
              <w:ind w:right="170"/>
              <w:jc w:val="right"/>
              <w:rPr>
                <w:rFonts w:eastAsia="SimSun"/>
                <w:sz w:val="15"/>
                <w:szCs w:val="15"/>
              </w:rPr>
            </w:pPr>
            <w:r w:rsidRPr="00B93EE1">
              <w:rPr>
                <w:rFonts w:eastAsia="SimSun"/>
                <w:sz w:val="15"/>
                <w:szCs w:val="15"/>
              </w:rPr>
              <w:t>2.7</w:t>
            </w:r>
          </w:p>
        </w:tc>
        <w:tc>
          <w:tcPr>
            <w:tcW w:w="930" w:type="dxa"/>
            <w:noWrap/>
            <w:hideMark/>
          </w:tcPr>
          <w:p w14:paraId="46AACBF6" w14:textId="77777777" w:rsidR="00120717" w:rsidRPr="00B93EE1" w:rsidRDefault="00120717" w:rsidP="00D43564">
            <w:pPr>
              <w:ind w:right="170"/>
              <w:jc w:val="right"/>
              <w:rPr>
                <w:rFonts w:eastAsia="SimSun"/>
                <w:sz w:val="15"/>
                <w:szCs w:val="15"/>
              </w:rPr>
            </w:pPr>
            <w:r w:rsidRPr="00B93EE1">
              <w:rPr>
                <w:rFonts w:eastAsia="SimSun"/>
                <w:sz w:val="15"/>
                <w:szCs w:val="15"/>
              </w:rPr>
              <w:t>4.9</w:t>
            </w:r>
          </w:p>
        </w:tc>
      </w:tr>
      <w:tr w:rsidR="00120717" w:rsidRPr="00B93EE1" w14:paraId="73A03D13" w14:textId="77777777" w:rsidTr="00D43564">
        <w:tc>
          <w:tcPr>
            <w:tcW w:w="2547" w:type="dxa"/>
            <w:noWrap/>
            <w:hideMark/>
          </w:tcPr>
          <w:p w14:paraId="661B82DD" w14:textId="77777777" w:rsidR="00120717" w:rsidRPr="00B93EE1" w:rsidRDefault="00120717" w:rsidP="00D43564">
            <w:pPr>
              <w:jc w:val="left"/>
              <w:rPr>
                <w:rFonts w:eastAsia="SimSun"/>
                <w:sz w:val="15"/>
                <w:szCs w:val="15"/>
              </w:rPr>
            </w:pPr>
            <w:r w:rsidRPr="00B93EE1">
              <w:rPr>
                <w:rFonts w:eastAsia="SimSun"/>
                <w:sz w:val="15"/>
                <w:szCs w:val="15"/>
              </w:rPr>
              <w:t>Government services</w:t>
            </w:r>
          </w:p>
        </w:tc>
        <w:tc>
          <w:tcPr>
            <w:tcW w:w="924" w:type="dxa"/>
            <w:noWrap/>
            <w:hideMark/>
          </w:tcPr>
          <w:p w14:paraId="48784921" w14:textId="77777777" w:rsidR="00120717" w:rsidRPr="00B93EE1" w:rsidRDefault="00120717" w:rsidP="00D43564">
            <w:pPr>
              <w:ind w:right="170"/>
              <w:jc w:val="right"/>
              <w:rPr>
                <w:rFonts w:eastAsia="SimSun"/>
                <w:sz w:val="15"/>
                <w:szCs w:val="15"/>
              </w:rPr>
            </w:pPr>
            <w:r w:rsidRPr="00B93EE1">
              <w:rPr>
                <w:rFonts w:eastAsia="SimSun"/>
                <w:sz w:val="15"/>
                <w:szCs w:val="15"/>
              </w:rPr>
              <w:t>1.3</w:t>
            </w:r>
          </w:p>
        </w:tc>
        <w:tc>
          <w:tcPr>
            <w:tcW w:w="923" w:type="dxa"/>
            <w:noWrap/>
            <w:hideMark/>
          </w:tcPr>
          <w:p w14:paraId="499A3F98" w14:textId="77777777" w:rsidR="00120717" w:rsidRPr="00B93EE1" w:rsidRDefault="00120717" w:rsidP="00D43564">
            <w:pPr>
              <w:ind w:right="170"/>
              <w:jc w:val="right"/>
              <w:rPr>
                <w:rFonts w:eastAsia="SimSun"/>
                <w:sz w:val="15"/>
                <w:szCs w:val="15"/>
              </w:rPr>
            </w:pPr>
            <w:r w:rsidRPr="00B93EE1">
              <w:rPr>
                <w:rFonts w:eastAsia="SimSun"/>
                <w:sz w:val="15"/>
                <w:szCs w:val="15"/>
              </w:rPr>
              <w:t>1.1</w:t>
            </w:r>
          </w:p>
        </w:tc>
        <w:tc>
          <w:tcPr>
            <w:tcW w:w="923" w:type="dxa"/>
            <w:noWrap/>
            <w:hideMark/>
          </w:tcPr>
          <w:p w14:paraId="3D86846F" w14:textId="77777777" w:rsidR="00120717" w:rsidRPr="00B93EE1" w:rsidRDefault="00120717" w:rsidP="00D43564">
            <w:pPr>
              <w:ind w:right="170"/>
              <w:jc w:val="right"/>
              <w:rPr>
                <w:rFonts w:eastAsia="SimSun"/>
                <w:sz w:val="15"/>
                <w:szCs w:val="15"/>
              </w:rPr>
            </w:pPr>
            <w:r w:rsidRPr="00B93EE1">
              <w:rPr>
                <w:rFonts w:eastAsia="SimSun"/>
                <w:sz w:val="15"/>
                <w:szCs w:val="15"/>
              </w:rPr>
              <w:t>1.1</w:t>
            </w:r>
          </w:p>
        </w:tc>
        <w:tc>
          <w:tcPr>
            <w:tcW w:w="923" w:type="dxa"/>
            <w:noWrap/>
            <w:hideMark/>
          </w:tcPr>
          <w:p w14:paraId="6C936479" w14:textId="77777777" w:rsidR="00120717" w:rsidRPr="00B93EE1" w:rsidRDefault="00120717" w:rsidP="00D43564">
            <w:pPr>
              <w:ind w:right="170"/>
              <w:jc w:val="right"/>
              <w:rPr>
                <w:rFonts w:eastAsia="SimSun"/>
                <w:sz w:val="15"/>
                <w:szCs w:val="15"/>
              </w:rPr>
            </w:pPr>
            <w:r w:rsidRPr="00B93EE1">
              <w:rPr>
                <w:rFonts w:eastAsia="SimSun"/>
                <w:sz w:val="15"/>
                <w:szCs w:val="15"/>
              </w:rPr>
              <w:t>0.9</w:t>
            </w:r>
          </w:p>
        </w:tc>
        <w:tc>
          <w:tcPr>
            <w:tcW w:w="923" w:type="dxa"/>
            <w:noWrap/>
            <w:hideMark/>
          </w:tcPr>
          <w:p w14:paraId="6D82611A"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23" w:type="dxa"/>
            <w:noWrap/>
            <w:hideMark/>
          </w:tcPr>
          <w:p w14:paraId="3DD4190F"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c>
          <w:tcPr>
            <w:tcW w:w="930" w:type="dxa"/>
            <w:noWrap/>
            <w:hideMark/>
          </w:tcPr>
          <w:p w14:paraId="0CD21C9C"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r>
      <w:tr w:rsidR="00120717" w:rsidRPr="00B93EE1" w14:paraId="2A7224AA"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6553E8C7" w14:textId="77777777" w:rsidR="00120717" w:rsidRPr="00B93EE1" w:rsidRDefault="00120717" w:rsidP="00D43564">
            <w:pPr>
              <w:jc w:val="left"/>
              <w:rPr>
                <w:rFonts w:eastAsia="SimSun"/>
                <w:sz w:val="15"/>
                <w:szCs w:val="15"/>
              </w:rPr>
            </w:pPr>
            <w:r w:rsidRPr="00B93EE1">
              <w:rPr>
                <w:rFonts w:eastAsia="SimSun"/>
                <w:sz w:val="15"/>
                <w:szCs w:val="15"/>
              </w:rPr>
              <w:t>Total debit (NZD billion)</w:t>
            </w:r>
          </w:p>
        </w:tc>
        <w:tc>
          <w:tcPr>
            <w:tcW w:w="924" w:type="dxa"/>
            <w:noWrap/>
            <w:hideMark/>
          </w:tcPr>
          <w:p w14:paraId="5F160344" w14:textId="77777777" w:rsidR="00120717" w:rsidRPr="00B93EE1" w:rsidRDefault="00120717" w:rsidP="00D43564">
            <w:pPr>
              <w:ind w:right="170"/>
              <w:jc w:val="right"/>
              <w:rPr>
                <w:rFonts w:eastAsia="SimSun"/>
                <w:sz w:val="15"/>
                <w:szCs w:val="15"/>
              </w:rPr>
            </w:pPr>
            <w:r w:rsidRPr="00B93EE1">
              <w:rPr>
                <w:rFonts w:eastAsia="SimSun"/>
                <w:sz w:val="15"/>
                <w:szCs w:val="15"/>
              </w:rPr>
              <w:t>16.3</w:t>
            </w:r>
          </w:p>
        </w:tc>
        <w:tc>
          <w:tcPr>
            <w:tcW w:w="923" w:type="dxa"/>
            <w:noWrap/>
            <w:hideMark/>
          </w:tcPr>
          <w:p w14:paraId="6A8833E6" w14:textId="77777777" w:rsidR="00120717" w:rsidRPr="00B93EE1" w:rsidRDefault="00120717" w:rsidP="00D43564">
            <w:pPr>
              <w:ind w:right="170"/>
              <w:jc w:val="right"/>
              <w:rPr>
                <w:rFonts w:eastAsia="SimSun"/>
                <w:sz w:val="15"/>
                <w:szCs w:val="15"/>
              </w:rPr>
            </w:pPr>
            <w:r w:rsidRPr="00B93EE1">
              <w:rPr>
                <w:rFonts w:eastAsia="SimSun"/>
                <w:sz w:val="15"/>
                <w:szCs w:val="15"/>
              </w:rPr>
              <w:t>17.5</w:t>
            </w:r>
          </w:p>
        </w:tc>
        <w:tc>
          <w:tcPr>
            <w:tcW w:w="923" w:type="dxa"/>
            <w:noWrap/>
            <w:hideMark/>
          </w:tcPr>
          <w:p w14:paraId="063BE37D" w14:textId="77777777" w:rsidR="00120717" w:rsidRPr="00B93EE1" w:rsidRDefault="00120717" w:rsidP="00D43564">
            <w:pPr>
              <w:ind w:right="170"/>
              <w:jc w:val="right"/>
              <w:rPr>
                <w:rFonts w:eastAsia="SimSun"/>
                <w:sz w:val="15"/>
                <w:szCs w:val="15"/>
              </w:rPr>
            </w:pPr>
            <w:r w:rsidRPr="00B93EE1">
              <w:rPr>
                <w:rFonts w:eastAsia="SimSun"/>
                <w:sz w:val="15"/>
                <w:szCs w:val="15"/>
              </w:rPr>
              <w:t>18.3</w:t>
            </w:r>
          </w:p>
        </w:tc>
        <w:tc>
          <w:tcPr>
            <w:tcW w:w="923" w:type="dxa"/>
            <w:noWrap/>
            <w:hideMark/>
          </w:tcPr>
          <w:p w14:paraId="4292D939" w14:textId="77777777" w:rsidR="00120717" w:rsidRPr="00B93EE1" w:rsidRDefault="00120717" w:rsidP="00D43564">
            <w:pPr>
              <w:ind w:right="170"/>
              <w:jc w:val="right"/>
              <w:rPr>
                <w:rFonts w:eastAsia="SimSun"/>
                <w:sz w:val="15"/>
                <w:szCs w:val="15"/>
              </w:rPr>
            </w:pPr>
            <w:r w:rsidRPr="00B93EE1">
              <w:rPr>
                <w:rFonts w:eastAsia="SimSun"/>
                <w:sz w:val="15"/>
                <w:szCs w:val="15"/>
              </w:rPr>
              <w:t>19.7</w:t>
            </w:r>
          </w:p>
        </w:tc>
        <w:tc>
          <w:tcPr>
            <w:tcW w:w="923" w:type="dxa"/>
            <w:noWrap/>
            <w:hideMark/>
          </w:tcPr>
          <w:p w14:paraId="16A43CFF" w14:textId="77777777" w:rsidR="00120717" w:rsidRPr="00B93EE1" w:rsidRDefault="00120717" w:rsidP="00D43564">
            <w:pPr>
              <w:ind w:right="170"/>
              <w:jc w:val="right"/>
              <w:rPr>
                <w:rFonts w:eastAsia="SimSun"/>
                <w:sz w:val="15"/>
                <w:szCs w:val="15"/>
              </w:rPr>
            </w:pPr>
            <w:r w:rsidRPr="00B93EE1">
              <w:rPr>
                <w:rFonts w:eastAsia="SimSun"/>
                <w:sz w:val="15"/>
                <w:szCs w:val="15"/>
              </w:rPr>
              <w:t>22.2</w:t>
            </w:r>
          </w:p>
        </w:tc>
        <w:tc>
          <w:tcPr>
            <w:tcW w:w="923" w:type="dxa"/>
            <w:noWrap/>
            <w:hideMark/>
          </w:tcPr>
          <w:p w14:paraId="35C4BB95" w14:textId="77777777" w:rsidR="00120717" w:rsidRPr="00B93EE1" w:rsidRDefault="00120717" w:rsidP="00D43564">
            <w:pPr>
              <w:ind w:right="170"/>
              <w:jc w:val="right"/>
              <w:rPr>
                <w:rFonts w:eastAsia="SimSun"/>
                <w:sz w:val="15"/>
                <w:szCs w:val="15"/>
              </w:rPr>
            </w:pPr>
            <w:r w:rsidRPr="00B93EE1">
              <w:rPr>
                <w:rFonts w:eastAsia="SimSun"/>
                <w:sz w:val="15"/>
                <w:szCs w:val="15"/>
              </w:rPr>
              <w:t>23.6</w:t>
            </w:r>
          </w:p>
        </w:tc>
        <w:tc>
          <w:tcPr>
            <w:tcW w:w="930" w:type="dxa"/>
            <w:noWrap/>
            <w:hideMark/>
          </w:tcPr>
          <w:p w14:paraId="575D1EC4" w14:textId="77777777" w:rsidR="00120717" w:rsidRPr="00B93EE1" w:rsidRDefault="00120717" w:rsidP="00D43564">
            <w:pPr>
              <w:ind w:right="170"/>
              <w:jc w:val="right"/>
              <w:rPr>
                <w:rFonts w:eastAsia="SimSun"/>
                <w:sz w:val="15"/>
                <w:szCs w:val="15"/>
              </w:rPr>
            </w:pPr>
            <w:r w:rsidRPr="00B93EE1">
              <w:rPr>
                <w:rFonts w:eastAsia="SimSun"/>
                <w:sz w:val="15"/>
                <w:szCs w:val="15"/>
              </w:rPr>
              <w:t>16.0</w:t>
            </w:r>
          </w:p>
        </w:tc>
      </w:tr>
      <w:tr w:rsidR="00120717" w:rsidRPr="00B93EE1" w14:paraId="6414EE05" w14:textId="77777777" w:rsidTr="00D43564">
        <w:tc>
          <w:tcPr>
            <w:tcW w:w="2547" w:type="dxa"/>
            <w:noWrap/>
            <w:hideMark/>
          </w:tcPr>
          <w:p w14:paraId="77F550F7" w14:textId="77777777" w:rsidR="00120717" w:rsidRPr="00B93EE1" w:rsidRDefault="00120717" w:rsidP="00D43564">
            <w:pPr>
              <w:jc w:val="left"/>
              <w:rPr>
                <w:rFonts w:eastAsia="SimSun"/>
                <w:sz w:val="15"/>
                <w:szCs w:val="15"/>
              </w:rPr>
            </w:pPr>
          </w:p>
        </w:tc>
        <w:tc>
          <w:tcPr>
            <w:tcW w:w="6469" w:type="dxa"/>
            <w:gridSpan w:val="7"/>
            <w:noWrap/>
            <w:hideMark/>
          </w:tcPr>
          <w:p w14:paraId="19301150" w14:textId="77777777" w:rsidR="00120717" w:rsidRPr="00B93EE1" w:rsidRDefault="00120717" w:rsidP="00D43564">
            <w:pPr>
              <w:jc w:val="center"/>
              <w:rPr>
                <w:rFonts w:eastAsia="SimSun"/>
                <w:b/>
                <w:bCs/>
                <w:sz w:val="15"/>
                <w:szCs w:val="15"/>
              </w:rPr>
            </w:pPr>
            <w:r w:rsidRPr="00B93EE1">
              <w:rPr>
                <w:rFonts w:eastAsia="SimSun"/>
                <w:b/>
                <w:bCs/>
                <w:sz w:val="15"/>
                <w:szCs w:val="15"/>
              </w:rPr>
              <w:t>(% of total debit)</w:t>
            </w:r>
          </w:p>
        </w:tc>
      </w:tr>
      <w:tr w:rsidR="00120717" w:rsidRPr="00B93EE1" w14:paraId="2DCB0105"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11FC2C5B" w14:textId="77777777" w:rsidR="00120717" w:rsidRPr="00B93EE1" w:rsidRDefault="00120717" w:rsidP="00D43564">
            <w:pPr>
              <w:jc w:val="left"/>
              <w:rPr>
                <w:rFonts w:eastAsia="SimSun"/>
                <w:sz w:val="15"/>
                <w:szCs w:val="15"/>
              </w:rPr>
            </w:pPr>
            <w:r w:rsidRPr="00B93EE1">
              <w:rPr>
                <w:rFonts w:eastAsia="SimSun"/>
                <w:sz w:val="15"/>
                <w:szCs w:val="15"/>
              </w:rPr>
              <w:t>Maintenance and repair</w:t>
            </w:r>
          </w:p>
        </w:tc>
        <w:tc>
          <w:tcPr>
            <w:tcW w:w="924" w:type="dxa"/>
            <w:noWrap/>
            <w:hideMark/>
          </w:tcPr>
          <w:p w14:paraId="123E602D" w14:textId="77777777" w:rsidR="00120717" w:rsidRPr="00B93EE1" w:rsidRDefault="00120717" w:rsidP="00D43564">
            <w:pPr>
              <w:ind w:right="170"/>
              <w:jc w:val="right"/>
              <w:rPr>
                <w:rFonts w:eastAsia="SimSun"/>
                <w:sz w:val="15"/>
                <w:szCs w:val="15"/>
              </w:rPr>
            </w:pPr>
            <w:r w:rsidRPr="00B93EE1">
              <w:rPr>
                <w:rFonts w:eastAsia="SimSun"/>
                <w:sz w:val="15"/>
                <w:szCs w:val="15"/>
              </w:rPr>
              <w:t>1.0</w:t>
            </w:r>
          </w:p>
        </w:tc>
        <w:tc>
          <w:tcPr>
            <w:tcW w:w="923" w:type="dxa"/>
            <w:noWrap/>
            <w:hideMark/>
          </w:tcPr>
          <w:p w14:paraId="7DFC4BE7" w14:textId="77777777" w:rsidR="00120717" w:rsidRPr="00B93EE1" w:rsidRDefault="00120717" w:rsidP="00D43564">
            <w:pPr>
              <w:ind w:right="170"/>
              <w:jc w:val="right"/>
              <w:rPr>
                <w:rFonts w:eastAsia="SimSun"/>
                <w:sz w:val="15"/>
                <w:szCs w:val="15"/>
              </w:rPr>
            </w:pPr>
            <w:r w:rsidRPr="00B93EE1">
              <w:rPr>
                <w:rFonts w:eastAsia="SimSun"/>
                <w:sz w:val="15"/>
                <w:szCs w:val="15"/>
              </w:rPr>
              <w:t>1.8</w:t>
            </w:r>
          </w:p>
        </w:tc>
        <w:tc>
          <w:tcPr>
            <w:tcW w:w="923" w:type="dxa"/>
            <w:noWrap/>
            <w:hideMark/>
          </w:tcPr>
          <w:p w14:paraId="52F8C78A" w14:textId="77777777" w:rsidR="00120717" w:rsidRPr="00B93EE1" w:rsidRDefault="00120717" w:rsidP="00D43564">
            <w:pPr>
              <w:ind w:right="170"/>
              <w:jc w:val="right"/>
              <w:rPr>
                <w:rFonts w:eastAsia="SimSun"/>
                <w:sz w:val="15"/>
                <w:szCs w:val="15"/>
              </w:rPr>
            </w:pPr>
            <w:r w:rsidRPr="00B93EE1">
              <w:rPr>
                <w:rFonts w:eastAsia="SimSun"/>
                <w:sz w:val="15"/>
                <w:szCs w:val="15"/>
              </w:rPr>
              <w:t>1.7</w:t>
            </w:r>
          </w:p>
        </w:tc>
        <w:tc>
          <w:tcPr>
            <w:tcW w:w="923" w:type="dxa"/>
            <w:noWrap/>
            <w:hideMark/>
          </w:tcPr>
          <w:p w14:paraId="2D0BE541" w14:textId="77777777" w:rsidR="00120717" w:rsidRPr="00B93EE1" w:rsidRDefault="00120717" w:rsidP="00D43564">
            <w:pPr>
              <w:ind w:right="170"/>
              <w:jc w:val="right"/>
              <w:rPr>
                <w:rFonts w:eastAsia="SimSun"/>
                <w:sz w:val="15"/>
                <w:szCs w:val="15"/>
              </w:rPr>
            </w:pPr>
            <w:r w:rsidRPr="00B93EE1">
              <w:rPr>
                <w:rFonts w:eastAsia="SimSun"/>
                <w:sz w:val="15"/>
                <w:szCs w:val="15"/>
              </w:rPr>
              <w:t>2.1</w:t>
            </w:r>
          </w:p>
        </w:tc>
        <w:tc>
          <w:tcPr>
            <w:tcW w:w="923" w:type="dxa"/>
            <w:noWrap/>
            <w:hideMark/>
          </w:tcPr>
          <w:p w14:paraId="3C66CC93" w14:textId="77777777" w:rsidR="00120717" w:rsidRPr="00B93EE1" w:rsidRDefault="00120717" w:rsidP="00D43564">
            <w:pPr>
              <w:ind w:right="170"/>
              <w:jc w:val="right"/>
              <w:rPr>
                <w:rFonts w:eastAsia="SimSun"/>
                <w:sz w:val="15"/>
                <w:szCs w:val="15"/>
              </w:rPr>
            </w:pPr>
            <w:r w:rsidRPr="00B93EE1">
              <w:rPr>
                <w:rFonts w:eastAsia="SimSun"/>
                <w:sz w:val="15"/>
                <w:szCs w:val="15"/>
              </w:rPr>
              <w:t>2.3</w:t>
            </w:r>
          </w:p>
        </w:tc>
        <w:tc>
          <w:tcPr>
            <w:tcW w:w="923" w:type="dxa"/>
            <w:noWrap/>
            <w:hideMark/>
          </w:tcPr>
          <w:p w14:paraId="4EC2F4B3" w14:textId="77777777" w:rsidR="00120717" w:rsidRPr="00B93EE1" w:rsidRDefault="00120717" w:rsidP="00D43564">
            <w:pPr>
              <w:ind w:right="170"/>
              <w:jc w:val="right"/>
              <w:rPr>
                <w:rFonts w:eastAsia="SimSun"/>
                <w:sz w:val="15"/>
                <w:szCs w:val="15"/>
              </w:rPr>
            </w:pPr>
            <w:r w:rsidRPr="00B93EE1">
              <w:rPr>
                <w:rFonts w:eastAsia="SimSun"/>
                <w:sz w:val="15"/>
                <w:szCs w:val="15"/>
              </w:rPr>
              <w:t>2.0</w:t>
            </w:r>
          </w:p>
        </w:tc>
        <w:tc>
          <w:tcPr>
            <w:tcW w:w="930" w:type="dxa"/>
            <w:noWrap/>
            <w:hideMark/>
          </w:tcPr>
          <w:p w14:paraId="283253F1"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r>
      <w:tr w:rsidR="00120717" w:rsidRPr="00B93EE1" w14:paraId="1FAB118D" w14:textId="77777777" w:rsidTr="00D43564">
        <w:tc>
          <w:tcPr>
            <w:tcW w:w="2547" w:type="dxa"/>
            <w:noWrap/>
            <w:hideMark/>
          </w:tcPr>
          <w:p w14:paraId="5FF2E6B2" w14:textId="77777777" w:rsidR="00120717" w:rsidRPr="00B93EE1" w:rsidRDefault="00120717" w:rsidP="00D43564">
            <w:pPr>
              <w:jc w:val="left"/>
              <w:rPr>
                <w:rFonts w:eastAsia="SimSun"/>
                <w:sz w:val="15"/>
                <w:szCs w:val="15"/>
              </w:rPr>
            </w:pPr>
            <w:r w:rsidRPr="00B93EE1">
              <w:rPr>
                <w:rFonts w:eastAsia="SimSun"/>
                <w:sz w:val="15"/>
                <w:szCs w:val="15"/>
              </w:rPr>
              <w:t>Transportation</w:t>
            </w:r>
          </w:p>
        </w:tc>
        <w:tc>
          <w:tcPr>
            <w:tcW w:w="924" w:type="dxa"/>
            <w:noWrap/>
            <w:hideMark/>
          </w:tcPr>
          <w:p w14:paraId="04891841" w14:textId="77777777" w:rsidR="00120717" w:rsidRPr="00B93EE1" w:rsidRDefault="00120717" w:rsidP="00D43564">
            <w:pPr>
              <w:ind w:right="170"/>
              <w:jc w:val="right"/>
              <w:rPr>
                <w:rFonts w:eastAsia="SimSun"/>
                <w:sz w:val="15"/>
                <w:szCs w:val="15"/>
              </w:rPr>
            </w:pPr>
            <w:r w:rsidRPr="00B93EE1">
              <w:rPr>
                <w:rFonts w:eastAsia="SimSun"/>
                <w:sz w:val="15"/>
                <w:szCs w:val="15"/>
              </w:rPr>
              <w:t>24.4</w:t>
            </w:r>
          </w:p>
        </w:tc>
        <w:tc>
          <w:tcPr>
            <w:tcW w:w="923" w:type="dxa"/>
            <w:noWrap/>
            <w:hideMark/>
          </w:tcPr>
          <w:p w14:paraId="1A742412" w14:textId="77777777" w:rsidR="00120717" w:rsidRPr="00B93EE1" w:rsidRDefault="00120717" w:rsidP="00D43564">
            <w:pPr>
              <w:ind w:right="170"/>
              <w:jc w:val="right"/>
              <w:rPr>
                <w:rFonts w:eastAsia="SimSun"/>
                <w:sz w:val="15"/>
                <w:szCs w:val="15"/>
              </w:rPr>
            </w:pPr>
            <w:r w:rsidRPr="00B93EE1">
              <w:rPr>
                <w:rFonts w:eastAsia="SimSun"/>
                <w:sz w:val="15"/>
                <w:szCs w:val="15"/>
              </w:rPr>
              <w:t>23.0</w:t>
            </w:r>
          </w:p>
        </w:tc>
        <w:tc>
          <w:tcPr>
            <w:tcW w:w="923" w:type="dxa"/>
            <w:noWrap/>
            <w:hideMark/>
          </w:tcPr>
          <w:p w14:paraId="749891B0" w14:textId="77777777" w:rsidR="00120717" w:rsidRPr="00B93EE1" w:rsidRDefault="00120717" w:rsidP="00D43564">
            <w:pPr>
              <w:ind w:right="170"/>
              <w:jc w:val="right"/>
              <w:rPr>
                <w:rFonts w:eastAsia="SimSun"/>
                <w:sz w:val="15"/>
                <w:szCs w:val="15"/>
              </w:rPr>
            </w:pPr>
            <w:r w:rsidRPr="00B93EE1">
              <w:rPr>
                <w:rFonts w:eastAsia="SimSun"/>
                <w:sz w:val="15"/>
                <w:szCs w:val="15"/>
              </w:rPr>
              <w:t>21.7</w:t>
            </w:r>
          </w:p>
        </w:tc>
        <w:tc>
          <w:tcPr>
            <w:tcW w:w="923" w:type="dxa"/>
            <w:noWrap/>
            <w:hideMark/>
          </w:tcPr>
          <w:p w14:paraId="1C1A1443" w14:textId="77777777" w:rsidR="00120717" w:rsidRPr="00B93EE1" w:rsidRDefault="00120717" w:rsidP="00D43564">
            <w:pPr>
              <w:ind w:right="170"/>
              <w:jc w:val="right"/>
              <w:rPr>
                <w:rFonts w:eastAsia="SimSun"/>
                <w:sz w:val="15"/>
                <w:szCs w:val="15"/>
              </w:rPr>
            </w:pPr>
            <w:r w:rsidRPr="00B93EE1">
              <w:rPr>
                <w:rFonts w:eastAsia="SimSun"/>
                <w:sz w:val="15"/>
                <w:szCs w:val="15"/>
              </w:rPr>
              <w:t>22.1</w:t>
            </w:r>
          </w:p>
        </w:tc>
        <w:tc>
          <w:tcPr>
            <w:tcW w:w="923" w:type="dxa"/>
            <w:noWrap/>
            <w:hideMark/>
          </w:tcPr>
          <w:p w14:paraId="2F88039D" w14:textId="77777777" w:rsidR="00120717" w:rsidRPr="00B93EE1" w:rsidRDefault="00120717" w:rsidP="00D43564">
            <w:pPr>
              <w:ind w:right="170"/>
              <w:jc w:val="right"/>
              <w:rPr>
                <w:rFonts w:eastAsia="SimSun"/>
                <w:sz w:val="15"/>
                <w:szCs w:val="15"/>
              </w:rPr>
            </w:pPr>
            <w:r w:rsidRPr="00B93EE1">
              <w:rPr>
                <w:rFonts w:eastAsia="SimSun"/>
                <w:sz w:val="15"/>
                <w:szCs w:val="15"/>
              </w:rPr>
              <w:t>22.1</w:t>
            </w:r>
          </w:p>
        </w:tc>
        <w:tc>
          <w:tcPr>
            <w:tcW w:w="923" w:type="dxa"/>
            <w:noWrap/>
            <w:hideMark/>
          </w:tcPr>
          <w:p w14:paraId="0FFF7D7F" w14:textId="77777777" w:rsidR="00120717" w:rsidRPr="00B93EE1" w:rsidRDefault="00120717" w:rsidP="00D43564">
            <w:pPr>
              <w:ind w:right="170"/>
              <w:jc w:val="right"/>
              <w:rPr>
                <w:rFonts w:eastAsia="SimSun"/>
                <w:sz w:val="15"/>
                <w:szCs w:val="15"/>
              </w:rPr>
            </w:pPr>
            <w:r w:rsidRPr="00B93EE1">
              <w:rPr>
                <w:rFonts w:eastAsia="SimSun"/>
                <w:sz w:val="15"/>
                <w:szCs w:val="15"/>
              </w:rPr>
              <w:t>21.0</w:t>
            </w:r>
          </w:p>
        </w:tc>
        <w:tc>
          <w:tcPr>
            <w:tcW w:w="930" w:type="dxa"/>
            <w:noWrap/>
            <w:hideMark/>
          </w:tcPr>
          <w:p w14:paraId="577E3459" w14:textId="77777777" w:rsidR="00120717" w:rsidRPr="00B93EE1" w:rsidRDefault="00120717" w:rsidP="00D43564">
            <w:pPr>
              <w:ind w:right="170"/>
              <w:jc w:val="right"/>
              <w:rPr>
                <w:rFonts w:eastAsia="SimSun"/>
                <w:sz w:val="15"/>
                <w:szCs w:val="15"/>
              </w:rPr>
            </w:pPr>
            <w:r w:rsidRPr="00B93EE1">
              <w:rPr>
                <w:rFonts w:eastAsia="SimSun"/>
                <w:sz w:val="15"/>
                <w:szCs w:val="15"/>
              </w:rPr>
              <w:t>18.2</w:t>
            </w:r>
          </w:p>
        </w:tc>
      </w:tr>
      <w:tr w:rsidR="00120717" w:rsidRPr="00B93EE1" w14:paraId="61965634"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00CD1230" w14:textId="77777777" w:rsidR="00120717" w:rsidRPr="00B93EE1" w:rsidRDefault="00120717" w:rsidP="00D43564">
            <w:pPr>
              <w:ind w:left="170"/>
              <w:jc w:val="left"/>
              <w:rPr>
                <w:rFonts w:eastAsia="SimSun"/>
                <w:sz w:val="15"/>
                <w:szCs w:val="15"/>
              </w:rPr>
            </w:pPr>
            <w:r w:rsidRPr="00B93EE1">
              <w:rPr>
                <w:rFonts w:eastAsia="SimSun"/>
                <w:sz w:val="15"/>
                <w:szCs w:val="15"/>
              </w:rPr>
              <w:t>Sea transport</w:t>
            </w:r>
          </w:p>
        </w:tc>
        <w:tc>
          <w:tcPr>
            <w:tcW w:w="924" w:type="dxa"/>
            <w:noWrap/>
            <w:hideMark/>
          </w:tcPr>
          <w:p w14:paraId="563F653F" w14:textId="77777777" w:rsidR="00120717" w:rsidRPr="00B93EE1" w:rsidRDefault="00120717" w:rsidP="00D43564">
            <w:pPr>
              <w:ind w:right="170"/>
              <w:jc w:val="right"/>
              <w:rPr>
                <w:rFonts w:eastAsia="SimSun"/>
                <w:sz w:val="15"/>
                <w:szCs w:val="15"/>
              </w:rPr>
            </w:pPr>
            <w:r w:rsidRPr="00B93EE1">
              <w:rPr>
                <w:rFonts w:eastAsia="SimSun"/>
                <w:sz w:val="15"/>
                <w:szCs w:val="15"/>
              </w:rPr>
              <w:t>11.9</w:t>
            </w:r>
          </w:p>
        </w:tc>
        <w:tc>
          <w:tcPr>
            <w:tcW w:w="923" w:type="dxa"/>
            <w:noWrap/>
            <w:hideMark/>
          </w:tcPr>
          <w:p w14:paraId="591C095D" w14:textId="77777777" w:rsidR="00120717" w:rsidRPr="00B93EE1" w:rsidRDefault="00120717" w:rsidP="00D43564">
            <w:pPr>
              <w:ind w:right="170"/>
              <w:jc w:val="right"/>
              <w:rPr>
                <w:rFonts w:eastAsia="SimSun"/>
                <w:sz w:val="15"/>
                <w:szCs w:val="15"/>
              </w:rPr>
            </w:pPr>
            <w:r w:rsidRPr="00B93EE1">
              <w:rPr>
                <w:rFonts w:eastAsia="SimSun"/>
                <w:sz w:val="15"/>
                <w:szCs w:val="15"/>
              </w:rPr>
              <w:t>11.6</w:t>
            </w:r>
          </w:p>
        </w:tc>
        <w:tc>
          <w:tcPr>
            <w:tcW w:w="923" w:type="dxa"/>
            <w:noWrap/>
            <w:hideMark/>
          </w:tcPr>
          <w:p w14:paraId="23A0142C" w14:textId="77777777" w:rsidR="00120717" w:rsidRPr="00B93EE1" w:rsidRDefault="00120717" w:rsidP="00D43564">
            <w:pPr>
              <w:ind w:right="170"/>
              <w:jc w:val="right"/>
              <w:rPr>
                <w:rFonts w:eastAsia="SimSun"/>
                <w:sz w:val="15"/>
                <w:szCs w:val="15"/>
              </w:rPr>
            </w:pPr>
            <w:r w:rsidRPr="00B93EE1">
              <w:rPr>
                <w:rFonts w:eastAsia="SimSun"/>
                <w:sz w:val="15"/>
                <w:szCs w:val="15"/>
              </w:rPr>
              <w:t>9.7</w:t>
            </w:r>
          </w:p>
        </w:tc>
        <w:tc>
          <w:tcPr>
            <w:tcW w:w="923" w:type="dxa"/>
            <w:noWrap/>
            <w:hideMark/>
          </w:tcPr>
          <w:p w14:paraId="4F32983A" w14:textId="77777777" w:rsidR="00120717" w:rsidRPr="00B93EE1" w:rsidRDefault="00120717" w:rsidP="00D43564">
            <w:pPr>
              <w:ind w:right="170"/>
              <w:jc w:val="right"/>
              <w:rPr>
                <w:rFonts w:eastAsia="SimSun"/>
                <w:sz w:val="15"/>
                <w:szCs w:val="15"/>
              </w:rPr>
            </w:pPr>
            <w:r w:rsidRPr="00B93EE1">
              <w:rPr>
                <w:rFonts w:eastAsia="SimSun"/>
                <w:sz w:val="15"/>
                <w:szCs w:val="15"/>
              </w:rPr>
              <w:t>9.6</w:t>
            </w:r>
          </w:p>
        </w:tc>
        <w:tc>
          <w:tcPr>
            <w:tcW w:w="923" w:type="dxa"/>
            <w:noWrap/>
            <w:hideMark/>
          </w:tcPr>
          <w:p w14:paraId="6306C468" w14:textId="77777777" w:rsidR="00120717" w:rsidRPr="00B93EE1" w:rsidRDefault="00120717" w:rsidP="00D43564">
            <w:pPr>
              <w:ind w:right="170"/>
              <w:jc w:val="right"/>
              <w:rPr>
                <w:rFonts w:eastAsia="SimSun"/>
                <w:sz w:val="15"/>
                <w:szCs w:val="15"/>
              </w:rPr>
            </w:pPr>
            <w:r w:rsidRPr="00B93EE1">
              <w:rPr>
                <w:rFonts w:eastAsia="SimSun"/>
                <w:sz w:val="15"/>
                <w:szCs w:val="15"/>
              </w:rPr>
              <w:t>9.7</w:t>
            </w:r>
          </w:p>
        </w:tc>
        <w:tc>
          <w:tcPr>
            <w:tcW w:w="923" w:type="dxa"/>
            <w:noWrap/>
            <w:hideMark/>
          </w:tcPr>
          <w:p w14:paraId="15A9B3BC" w14:textId="77777777" w:rsidR="00120717" w:rsidRPr="00B93EE1" w:rsidRDefault="00120717" w:rsidP="00D43564">
            <w:pPr>
              <w:ind w:right="170"/>
              <w:jc w:val="right"/>
              <w:rPr>
                <w:rFonts w:eastAsia="SimSun"/>
                <w:sz w:val="15"/>
                <w:szCs w:val="15"/>
              </w:rPr>
            </w:pPr>
            <w:r w:rsidRPr="00B93EE1">
              <w:rPr>
                <w:rFonts w:eastAsia="SimSun"/>
                <w:sz w:val="15"/>
                <w:szCs w:val="15"/>
              </w:rPr>
              <w:t>9.4</w:t>
            </w:r>
          </w:p>
        </w:tc>
        <w:tc>
          <w:tcPr>
            <w:tcW w:w="930" w:type="dxa"/>
            <w:noWrap/>
            <w:hideMark/>
          </w:tcPr>
          <w:p w14:paraId="2A60E0A1" w14:textId="77777777" w:rsidR="00120717" w:rsidRPr="00B93EE1" w:rsidRDefault="00120717" w:rsidP="00D43564">
            <w:pPr>
              <w:ind w:right="170"/>
              <w:jc w:val="right"/>
              <w:rPr>
                <w:rFonts w:eastAsia="SimSun"/>
                <w:sz w:val="15"/>
                <w:szCs w:val="15"/>
              </w:rPr>
            </w:pPr>
            <w:r w:rsidRPr="00B93EE1">
              <w:rPr>
                <w:rFonts w:eastAsia="SimSun"/>
                <w:sz w:val="15"/>
                <w:szCs w:val="15"/>
              </w:rPr>
              <w:t>13.1</w:t>
            </w:r>
          </w:p>
        </w:tc>
      </w:tr>
      <w:tr w:rsidR="00120717" w:rsidRPr="00B93EE1" w14:paraId="3A8D618B" w14:textId="77777777" w:rsidTr="00D43564">
        <w:tc>
          <w:tcPr>
            <w:tcW w:w="2547" w:type="dxa"/>
            <w:noWrap/>
            <w:hideMark/>
          </w:tcPr>
          <w:p w14:paraId="5F76014C" w14:textId="77777777" w:rsidR="00120717" w:rsidRPr="00B93EE1" w:rsidRDefault="00120717" w:rsidP="00D43564">
            <w:pPr>
              <w:ind w:left="170"/>
              <w:jc w:val="left"/>
              <w:rPr>
                <w:rFonts w:eastAsia="SimSun"/>
                <w:sz w:val="15"/>
                <w:szCs w:val="15"/>
              </w:rPr>
            </w:pPr>
            <w:r w:rsidRPr="00B93EE1">
              <w:rPr>
                <w:rFonts w:eastAsia="SimSun"/>
                <w:sz w:val="15"/>
                <w:szCs w:val="15"/>
              </w:rPr>
              <w:t>Air transport</w:t>
            </w:r>
          </w:p>
        </w:tc>
        <w:tc>
          <w:tcPr>
            <w:tcW w:w="924" w:type="dxa"/>
            <w:noWrap/>
            <w:hideMark/>
          </w:tcPr>
          <w:p w14:paraId="4D1CBCD7" w14:textId="77777777" w:rsidR="00120717" w:rsidRPr="00B93EE1" w:rsidRDefault="00120717" w:rsidP="00D43564">
            <w:pPr>
              <w:ind w:right="170"/>
              <w:jc w:val="right"/>
              <w:rPr>
                <w:rFonts w:eastAsia="SimSun"/>
                <w:sz w:val="15"/>
                <w:szCs w:val="15"/>
              </w:rPr>
            </w:pPr>
            <w:r w:rsidRPr="00B93EE1">
              <w:rPr>
                <w:rFonts w:eastAsia="SimSun"/>
                <w:sz w:val="15"/>
                <w:szCs w:val="15"/>
              </w:rPr>
              <w:t>11.8</w:t>
            </w:r>
          </w:p>
        </w:tc>
        <w:tc>
          <w:tcPr>
            <w:tcW w:w="923" w:type="dxa"/>
            <w:noWrap/>
            <w:hideMark/>
          </w:tcPr>
          <w:p w14:paraId="62856416" w14:textId="77777777" w:rsidR="00120717" w:rsidRPr="00B93EE1" w:rsidRDefault="00120717" w:rsidP="00D43564">
            <w:pPr>
              <w:ind w:right="170"/>
              <w:jc w:val="right"/>
              <w:rPr>
                <w:rFonts w:eastAsia="SimSun"/>
                <w:sz w:val="15"/>
                <w:szCs w:val="15"/>
              </w:rPr>
            </w:pPr>
            <w:r w:rsidRPr="00B93EE1">
              <w:rPr>
                <w:rFonts w:eastAsia="SimSun"/>
                <w:sz w:val="15"/>
                <w:szCs w:val="15"/>
              </w:rPr>
              <w:t>10.9</w:t>
            </w:r>
          </w:p>
        </w:tc>
        <w:tc>
          <w:tcPr>
            <w:tcW w:w="923" w:type="dxa"/>
            <w:noWrap/>
            <w:hideMark/>
          </w:tcPr>
          <w:p w14:paraId="325D93FB" w14:textId="77777777" w:rsidR="00120717" w:rsidRPr="00B93EE1" w:rsidRDefault="00120717" w:rsidP="00D43564">
            <w:pPr>
              <w:ind w:right="170"/>
              <w:jc w:val="right"/>
              <w:rPr>
                <w:rFonts w:eastAsia="SimSun"/>
                <w:sz w:val="15"/>
                <w:szCs w:val="15"/>
              </w:rPr>
            </w:pPr>
            <w:r w:rsidRPr="00B93EE1">
              <w:rPr>
                <w:rFonts w:eastAsia="SimSun"/>
                <w:sz w:val="15"/>
                <w:szCs w:val="15"/>
              </w:rPr>
              <w:t>11.5</w:t>
            </w:r>
          </w:p>
        </w:tc>
        <w:tc>
          <w:tcPr>
            <w:tcW w:w="923" w:type="dxa"/>
            <w:noWrap/>
            <w:hideMark/>
          </w:tcPr>
          <w:p w14:paraId="4B02E4EA" w14:textId="77777777" w:rsidR="00120717" w:rsidRPr="00B93EE1" w:rsidRDefault="00120717" w:rsidP="00D43564">
            <w:pPr>
              <w:ind w:right="170"/>
              <w:jc w:val="right"/>
              <w:rPr>
                <w:rFonts w:eastAsia="SimSun"/>
                <w:sz w:val="15"/>
                <w:szCs w:val="15"/>
              </w:rPr>
            </w:pPr>
            <w:r w:rsidRPr="00B93EE1">
              <w:rPr>
                <w:rFonts w:eastAsia="SimSun"/>
                <w:sz w:val="15"/>
                <w:szCs w:val="15"/>
              </w:rPr>
              <w:t>12.1</w:t>
            </w:r>
          </w:p>
        </w:tc>
        <w:tc>
          <w:tcPr>
            <w:tcW w:w="923" w:type="dxa"/>
            <w:noWrap/>
            <w:hideMark/>
          </w:tcPr>
          <w:p w14:paraId="4914D1F4" w14:textId="77777777" w:rsidR="00120717" w:rsidRPr="00B93EE1" w:rsidRDefault="00120717" w:rsidP="00D43564">
            <w:pPr>
              <w:ind w:right="170"/>
              <w:jc w:val="right"/>
              <w:rPr>
                <w:rFonts w:eastAsia="SimSun"/>
                <w:sz w:val="15"/>
                <w:szCs w:val="15"/>
              </w:rPr>
            </w:pPr>
            <w:r w:rsidRPr="00B93EE1">
              <w:rPr>
                <w:rFonts w:eastAsia="SimSun"/>
                <w:sz w:val="15"/>
                <w:szCs w:val="15"/>
              </w:rPr>
              <w:t>11.9</w:t>
            </w:r>
          </w:p>
        </w:tc>
        <w:tc>
          <w:tcPr>
            <w:tcW w:w="923" w:type="dxa"/>
            <w:noWrap/>
            <w:hideMark/>
          </w:tcPr>
          <w:p w14:paraId="3EC75B87" w14:textId="77777777" w:rsidR="00120717" w:rsidRPr="00B93EE1" w:rsidRDefault="00120717" w:rsidP="00D43564">
            <w:pPr>
              <w:ind w:right="170"/>
              <w:jc w:val="right"/>
              <w:rPr>
                <w:rFonts w:eastAsia="SimSun"/>
                <w:sz w:val="15"/>
                <w:szCs w:val="15"/>
              </w:rPr>
            </w:pPr>
            <w:r w:rsidRPr="00B93EE1">
              <w:rPr>
                <w:rFonts w:eastAsia="SimSun"/>
                <w:sz w:val="15"/>
                <w:szCs w:val="15"/>
              </w:rPr>
              <w:t>11.2</w:t>
            </w:r>
          </w:p>
        </w:tc>
        <w:tc>
          <w:tcPr>
            <w:tcW w:w="930" w:type="dxa"/>
            <w:noWrap/>
            <w:hideMark/>
          </w:tcPr>
          <w:p w14:paraId="010F1460" w14:textId="77777777" w:rsidR="00120717" w:rsidRPr="00B93EE1" w:rsidRDefault="00120717" w:rsidP="00D43564">
            <w:pPr>
              <w:ind w:right="170"/>
              <w:jc w:val="right"/>
              <w:rPr>
                <w:rFonts w:eastAsia="SimSun"/>
                <w:sz w:val="15"/>
                <w:szCs w:val="15"/>
              </w:rPr>
            </w:pPr>
            <w:r w:rsidRPr="00B93EE1">
              <w:rPr>
                <w:rFonts w:eastAsia="SimSun"/>
                <w:sz w:val="15"/>
                <w:szCs w:val="15"/>
              </w:rPr>
              <w:t>4.4</w:t>
            </w:r>
          </w:p>
        </w:tc>
      </w:tr>
      <w:tr w:rsidR="00120717" w:rsidRPr="00B93EE1" w14:paraId="30F1E97F"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5CE3F3F4" w14:textId="77777777" w:rsidR="00120717" w:rsidRPr="00B93EE1" w:rsidRDefault="00120717" w:rsidP="00D43564">
            <w:pPr>
              <w:ind w:left="170"/>
              <w:jc w:val="left"/>
              <w:rPr>
                <w:rFonts w:eastAsia="SimSun"/>
                <w:sz w:val="15"/>
                <w:szCs w:val="15"/>
              </w:rPr>
            </w:pPr>
            <w:r w:rsidRPr="00B93EE1">
              <w:rPr>
                <w:rFonts w:eastAsia="SimSun"/>
                <w:sz w:val="15"/>
                <w:szCs w:val="15"/>
              </w:rPr>
              <w:t>Postal and courier services</w:t>
            </w:r>
          </w:p>
        </w:tc>
        <w:tc>
          <w:tcPr>
            <w:tcW w:w="924" w:type="dxa"/>
            <w:noWrap/>
            <w:hideMark/>
          </w:tcPr>
          <w:p w14:paraId="3012B082" w14:textId="77777777" w:rsidR="00120717" w:rsidRPr="00B93EE1" w:rsidRDefault="00120717" w:rsidP="00D43564">
            <w:pPr>
              <w:ind w:right="170"/>
              <w:jc w:val="right"/>
              <w:rPr>
                <w:rFonts w:eastAsia="SimSun"/>
                <w:sz w:val="15"/>
                <w:szCs w:val="15"/>
              </w:rPr>
            </w:pPr>
            <w:r w:rsidRPr="00B93EE1">
              <w:rPr>
                <w:rFonts w:eastAsia="SimSun"/>
                <w:sz w:val="15"/>
                <w:szCs w:val="15"/>
              </w:rPr>
              <w:t>0.6</w:t>
            </w:r>
          </w:p>
        </w:tc>
        <w:tc>
          <w:tcPr>
            <w:tcW w:w="923" w:type="dxa"/>
            <w:noWrap/>
            <w:hideMark/>
          </w:tcPr>
          <w:p w14:paraId="580A2F09" w14:textId="77777777" w:rsidR="00120717" w:rsidRPr="00B93EE1" w:rsidRDefault="00120717" w:rsidP="00D43564">
            <w:pPr>
              <w:ind w:right="170"/>
              <w:jc w:val="right"/>
              <w:rPr>
                <w:rFonts w:eastAsia="SimSun"/>
                <w:sz w:val="15"/>
                <w:szCs w:val="15"/>
              </w:rPr>
            </w:pPr>
            <w:r w:rsidRPr="00B93EE1">
              <w:rPr>
                <w:rFonts w:eastAsia="SimSun"/>
                <w:sz w:val="15"/>
                <w:szCs w:val="15"/>
              </w:rPr>
              <w:t>0.5</w:t>
            </w:r>
          </w:p>
        </w:tc>
        <w:tc>
          <w:tcPr>
            <w:tcW w:w="923" w:type="dxa"/>
            <w:noWrap/>
            <w:hideMark/>
          </w:tcPr>
          <w:p w14:paraId="19BB54DF" w14:textId="77777777" w:rsidR="00120717" w:rsidRPr="00B93EE1" w:rsidRDefault="00120717" w:rsidP="00D43564">
            <w:pPr>
              <w:ind w:right="170"/>
              <w:jc w:val="right"/>
              <w:rPr>
                <w:rFonts w:eastAsia="SimSun"/>
                <w:sz w:val="15"/>
                <w:szCs w:val="15"/>
              </w:rPr>
            </w:pPr>
            <w:r w:rsidRPr="00B93EE1">
              <w:rPr>
                <w:rFonts w:eastAsia="SimSun"/>
                <w:sz w:val="15"/>
                <w:szCs w:val="15"/>
              </w:rPr>
              <w:t>0.5</w:t>
            </w:r>
          </w:p>
        </w:tc>
        <w:tc>
          <w:tcPr>
            <w:tcW w:w="923" w:type="dxa"/>
            <w:noWrap/>
            <w:hideMark/>
          </w:tcPr>
          <w:p w14:paraId="42B3B85E" w14:textId="77777777" w:rsidR="00120717" w:rsidRPr="00B93EE1" w:rsidRDefault="00120717" w:rsidP="00D43564">
            <w:pPr>
              <w:ind w:right="170"/>
              <w:jc w:val="right"/>
              <w:rPr>
                <w:rFonts w:eastAsia="SimSun"/>
                <w:sz w:val="15"/>
                <w:szCs w:val="15"/>
              </w:rPr>
            </w:pPr>
            <w:r w:rsidRPr="00B93EE1">
              <w:rPr>
                <w:rFonts w:eastAsia="SimSun"/>
                <w:sz w:val="15"/>
                <w:szCs w:val="15"/>
              </w:rPr>
              <w:t>0.5</w:t>
            </w:r>
          </w:p>
        </w:tc>
        <w:tc>
          <w:tcPr>
            <w:tcW w:w="923" w:type="dxa"/>
            <w:noWrap/>
            <w:hideMark/>
          </w:tcPr>
          <w:p w14:paraId="03B4C153" w14:textId="77777777" w:rsidR="00120717" w:rsidRPr="00B93EE1" w:rsidRDefault="00120717" w:rsidP="00D43564">
            <w:pPr>
              <w:ind w:right="170"/>
              <w:jc w:val="right"/>
              <w:rPr>
                <w:rFonts w:eastAsia="SimSun"/>
                <w:sz w:val="15"/>
                <w:szCs w:val="15"/>
              </w:rPr>
            </w:pPr>
            <w:r w:rsidRPr="00B93EE1">
              <w:rPr>
                <w:rFonts w:eastAsia="SimSun"/>
                <w:sz w:val="15"/>
                <w:szCs w:val="15"/>
              </w:rPr>
              <w:t>0.4</w:t>
            </w:r>
          </w:p>
        </w:tc>
        <w:tc>
          <w:tcPr>
            <w:tcW w:w="923" w:type="dxa"/>
            <w:noWrap/>
            <w:hideMark/>
          </w:tcPr>
          <w:p w14:paraId="48693218" w14:textId="77777777" w:rsidR="00120717" w:rsidRPr="00B93EE1" w:rsidRDefault="00120717" w:rsidP="00D43564">
            <w:pPr>
              <w:ind w:right="170"/>
              <w:jc w:val="right"/>
              <w:rPr>
                <w:rFonts w:eastAsia="SimSun"/>
                <w:sz w:val="15"/>
                <w:szCs w:val="15"/>
              </w:rPr>
            </w:pPr>
            <w:r w:rsidRPr="00B93EE1">
              <w:rPr>
                <w:rFonts w:eastAsia="SimSun"/>
                <w:sz w:val="15"/>
                <w:szCs w:val="15"/>
              </w:rPr>
              <w:t>0.4</w:t>
            </w:r>
          </w:p>
        </w:tc>
        <w:tc>
          <w:tcPr>
            <w:tcW w:w="930" w:type="dxa"/>
            <w:noWrap/>
            <w:hideMark/>
          </w:tcPr>
          <w:p w14:paraId="06B38B41" w14:textId="77777777" w:rsidR="00120717" w:rsidRPr="00B93EE1" w:rsidRDefault="00120717" w:rsidP="00D43564">
            <w:pPr>
              <w:ind w:right="170"/>
              <w:jc w:val="right"/>
              <w:rPr>
                <w:rFonts w:eastAsia="SimSun"/>
                <w:sz w:val="15"/>
                <w:szCs w:val="15"/>
              </w:rPr>
            </w:pPr>
            <w:r w:rsidRPr="00B93EE1">
              <w:rPr>
                <w:rFonts w:eastAsia="SimSun"/>
                <w:sz w:val="15"/>
                <w:szCs w:val="15"/>
              </w:rPr>
              <w:t>0.7</w:t>
            </w:r>
          </w:p>
        </w:tc>
      </w:tr>
      <w:tr w:rsidR="00120717" w:rsidRPr="00B93EE1" w14:paraId="56C357F6" w14:textId="77777777" w:rsidTr="00D43564">
        <w:tc>
          <w:tcPr>
            <w:tcW w:w="2547" w:type="dxa"/>
            <w:noWrap/>
            <w:hideMark/>
          </w:tcPr>
          <w:p w14:paraId="4B977F68" w14:textId="77777777" w:rsidR="00120717" w:rsidRPr="00B93EE1" w:rsidRDefault="00120717" w:rsidP="00D43564">
            <w:pPr>
              <w:jc w:val="left"/>
              <w:rPr>
                <w:rFonts w:eastAsia="SimSun"/>
                <w:sz w:val="15"/>
                <w:szCs w:val="15"/>
              </w:rPr>
            </w:pPr>
            <w:r w:rsidRPr="00B93EE1">
              <w:rPr>
                <w:rFonts w:eastAsia="SimSun"/>
                <w:sz w:val="15"/>
                <w:szCs w:val="15"/>
              </w:rPr>
              <w:t>Travel</w:t>
            </w:r>
          </w:p>
        </w:tc>
        <w:tc>
          <w:tcPr>
            <w:tcW w:w="924" w:type="dxa"/>
            <w:noWrap/>
            <w:hideMark/>
          </w:tcPr>
          <w:p w14:paraId="0DFFA38F" w14:textId="77777777" w:rsidR="00120717" w:rsidRPr="00B93EE1" w:rsidRDefault="00120717" w:rsidP="00D43564">
            <w:pPr>
              <w:ind w:right="170"/>
              <w:jc w:val="right"/>
              <w:rPr>
                <w:rFonts w:eastAsia="SimSun"/>
                <w:sz w:val="15"/>
                <w:szCs w:val="15"/>
              </w:rPr>
            </w:pPr>
            <w:r w:rsidRPr="00B93EE1">
              <w:rPr>
                <w:rFonts w:eastAsia="SimSun"/>
                <w:sz w:val="15"/>
                <w:szCs w:val="15"/>
              </w:rPr>
              <w:t>30.8</w:t>
            </w:r>
          </w:p>
        </w:tc>
        <w:tc>
          <w:tcPr>
            <w:tcW w:w="923" w:type="dxa"/>
            <w:noWrap/>
            <w:hideMark/>
          </w:tcPr>
          <w:p w14:paraId="23325235" w14:textId="77777777" w:rsidR="00120717" w:rsidRPr="00B93EE1" w:rsidRDefault="00120717" w:rsidP="00D43564">
            <w:pPr>
              <w:ind w:right="170"/>
              <w:jc w:val="right"/>
              <w:rPr>
                <w:rFonts w:eastAsia="SimSun"/>
                <w:sz w:val="15"/>
                <w:szCs w:val="15"/>
              </w:rPr>
            </w:pPr>
            <w:r w:rsidRPr="00B93EE1">
              <w:rPr>
                <w:rFonts w:eastAsia="SimSun"/>
                <w:sz w:val="15"/>
                <w:szCs w:val="15"/>
              </w:rPr>
              <w:t>31.1</w:t>
            </w:r>
          </w:p>
        </w:tc>
        <w:tc>
          <w:tcPr>
            <w:tcW w:w="923" w:type="dxa"/>
            <w:noWrap/>
            <w:hideMark/>
          </w:tcPr>
          <w:p w14:paraId="5C888A01" w14:textId="77777777" w:rsidR="00120717" w:rsidRPr="00B93EE1" w:rsidRDefault="00120717" w:rsidP="00D43564">
            <w:pPr>
              <w:ind w:right="170"/>
              <w:jc w:val="right"/>
              <w:rPr>
                <w:rFonts w:eastAsia="SimSun"/>
                <w:sz w:val="15"/>
                <w:szCs w:val="15"/>
              </w:rPr>
            </w:pPr>
            <w:r w:rsidRPr="00B93EE1">
              <w:rPr>
                <w:rFonts w:eastAsia="SimSun"/>
                <w:sz w:val="15"/>
                <w:szCs w:val="15"/>
              </w:rPr>
              <w:t>32.2</w:t>
            </w:r>
          </w:p>
        </w:tc>
        <w:tc>
          <w:tcPr>
            <w:tcW w:w="923" w:type="dxa"/>
            <w:noWrap/>
            <w:hideMark/>
          </w:tcPr>
          <w:p w14:paraId="7D231E87" w14:textId="77777777" w:rsidR="00120717" w:rsidRPr="00B93EE1" w:rsidRDefault="00120717" w:rsidP="00D43564">
            <w:pPr>
              <w:ind w:right="170"/>
              <w:jc w:val="right"/>
              <w:rPr>
                <w:rFonts w:eastAsia="SimSun"/>
                <w:sz w:val="15"/>
                <w:szCs w:val="15"/>
              </w:rPr>
            </w:pPr>
            <w:r w:rsidRPr="00B93EE1">
              <w:rPr>
                <w:rFonts w:eastAsia="SimSun"/>
                <w:sz w:val="15"/>
                <w:szCs w:val="15"/>
              </w:rPr>
              <w:t>32.2</w:t>
            </w:r>
          </w:p>
        </w:tc>
        <w:tc>
          <w:tcPr>
            <w:tcW w:w="923" w:type="dxa"/>
            <w:noWrap/>
            <w:hideMark/>
          </w:tcPr>
          <w:p w14:paraId="47571CE6" w14:textId="77777777" w:rsidR="00120717" w:rsidRPr="00B93EE1" w:rsidRDefault="00120717" w:rsidP="00D43564">
            <w:pPr>
              <w:ind w:right="170"/>
              <w:jc w:val="right"/>
              <w:rPr>
                <w:rFonts w:eastAsia="SimSun"/>
                <w:sz w:val="15"/>
                <w:szCs w:val="15"/>
              </w:rPr>
            </w:pPr>
            <w:r w:rsidRPr="00B93EE1">
              <w:rPr>
                <w:rFonts w:eastAsia="SimSun"/>
                <w:sz w:val="15"/>
                <w:szCs w:val="15"/>
              </w:rPr>
              <w:t>29.8</w:t>
            </w:r>
          </w:p>
        </w:tc>
        <w:tc>
          <w:tcPr>
            <w:tcW w:w="923" w:type="dxa"/>
            <w:noWrap/>
            <w:hideMark/>
          </w:tcPr>
          <w:p w14:paraId="73FC8722" w14:textId="77777777" w:rsidR="00120717" w:rsidRPr="00B93EE1" w:rsidRDefault="00120717" w:rsidP="00D43564">
            <w:pPr>
              <w:ind w:right="170"/>
              <w:jc w:val="right"/>
              <w:rPr>
                <w:rFonts w:eastAsia="SimSun"/>
                <w:sz w:val="15"/>
                <w:szCs w:val="15"/>
              </w:rPr>
            </w:pPr>
            <w:r w:rsidRPr="00B93EE1">
              <w:rPr>
                <w:rFonts w:eastAsia="SimSun"/>
                <w:sz w:val="15"/>
                <w:szCs w:val="15"/>
              </w:rPr>
              <w:t>27.2</w:t>
            </w:r>
          </w:p>
        </w:tc>
        <w:tc>
          <w:tcPr>
            <w:tcW w:w="930" w:type="dxa"/>
            <w:noWrap/>
            <w:hideMark/>
          </w:tcPr>
          <w:p w14:paraId="39D90C8D" w14:textId="77777777" w:rsidR="00120717" w:rsidRPr="00B93EE1" w:rsidRDefault="00120717" w:rsidP="00D43564">
            <w:pPr>
              <w:ind w:right="170"/>
              <w:jc w:val="right"/>
              <w:rPr>
                <w:rFonts w:eastAsia="SimSun"/>
                <w:sz w:val="15"/>
                <w:szCs w:val="15"/>
              </w:rPr>
            </w:pPr>
            <w:r w:rsidRPr="00B93EE1">
              <w:rPr>
                <w:rFonts w:eastAsia="SimSun"/>
                <w:sz w:val="15"/>
                <w:szCs w:val="15"/>
              </w:rPr>
              <w:t>7.7</w:t>
            </w:r>
          </w:p>
        </w:tc>
      </w:tr>
      <w:tr w:rsidR="00120717" w:rsidRPr="00B93EE1" w14:paraId="4F2EED31"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1F1250EF" w14:textId="77777777" w:rsidR="00120717" w:rsidRPr="00B93EE1" w:rsidRDefault="00120717" w:rsidP="00D43564">
            <w:pPr>
              <w:ind w:left="170"/>
              <w:jc w:val="left"/>
              <w:rPr>
                <w:rFonts w:eastAsia="SimSun"/>
                <w:sz w:val="15"/>
                <w:szCs w:val="15"/>
              </w:rPr>
            </w:pPr>
            <w:r w:rsidRPr="00B93EE1">
              <w:rPr>
                <w:rFonts w:eastAsia="SimSun"/>
                <w:sz w:val="15"/>
                <w:szCs w:val="15"/>
              </w:rPr>
              <w:t>Business</w:t>
            </w:r>
          </w:p>
        </w:tc>
        <w:tc>
          <w:tcPr>
            <w:tcW w:w="924" w:type="dxa"/>
            <w:noWrap/>
            <w:hideMark/>
          </w:tcPr>
          <w:p w14:paraId="1CB7AF20" w14:textId="77777777" w:rsidR="00120717" w:rsidRPr="00B93EE1" w:rsidRDefault="00120717" w:rsidP="00D43564">
            <w:pPr>
              <w:ind w:right="170"/>
              <w:jc w:val="right"/>
              <w:rPr>
                <w:rFonts w:eastAsia="SimSun"/>
                <w:sz w:val="15"/>
                <w:szCs w:val="15"/>
              </w:rPr>
            </w:pPr>
            <w:r w:rsidRPr="00B93EE1">
              <w:rPr>
                <w:rFonts w:eastAsia="SimSun"/>
                <w:sz w:val="15"/>
                <w:szCs w:val="15"/>
              </w:rPr>
              <w:t>5.7</w:t>
            </w:r>
          </w:p>
        </w:tc>
        <w:tc>
          <w:tcPr>
            <w:tcW w:w="923" w:type="dxa"/>
            <w:noWrap/>
            <w:hideMark/>
          </w:tcPr>
          <w:p w14:paraId="4DC63158" w14:textId="77777777" w:rsidR="00120717" w:rsidRPr="00B93EE1" w:rsidRDefault="00120717" w:rsidP="00D43564">
            <w:pPr>
              <w:ind w:right="170"/>
              <w:jc w:val="right"/>
              <w:rPr>
                <w:rFonts w:eastAsia="SimSun"/>
                <w:sz w:val="15"/>
                <w:szCs w:val="15"/>
              </w:rPr>
            </w:pPr>
            <w:r w:rsidRPr="00B93EE1">
              <w:rPr>
                <w:rFonts w:eastAsia="SimSun"/>
                <w:sz w:val="15"/>
                <w:szCs w:val="15"/>
              </w:rPr>
              <w:t>5.5</w:t>
            </w:r>
          </w:p>
        </w:tc>
        <w:tc>
          <w:tcPr>
            <w:tcW w:w="923" w:type="dxa"/>
            <w:noWrap/>
            <w:hideMark/>
          </w:tcPr>
          <w:p w14:paraId="475FEB30" w14:textId="77777777" w:rsidR="00120717" w:rsidRPr="00B93EE1" w:rsidRDefault="00120717" w:rsidP="00D43564">
            <w:pPr>
              <w:ind w:right="170"/>
              <w:jc w:val="right"/>
              <w:rPr>
                <w:rFonts w:eastAsia="SimSun"/>
                <w:sz w:val="15"/>
                <w:szCs w:val="15"/>
              </w:rPr>
            </w:pPr>
            <w:r w:rsidRPr="00B93EE1">
              <w:rPr>
                <w:rFonts w:eastAsia="SimSun"/>
                <w:sz w:val="15"/>
                <w:szCs w:val="15"/>
              </w:rPr>
              <w:t>5.2</w:t>
            </w:r>
          </w:p>
        </w:tc>
        <w:tc>
          <w:tcPr>
            <w:tcW w:w="923" w:type="dxa"/>
            <w:noWrap/>
            <w:hideMark/>
          </w:tcPr>
          <w:p w14:paraId="45CE71B2" w14:textId="77777777" w:rsidR="00120717" w:rsidRPr="00B93EE1" w:rsidRDefault="00120717" w:rsidP="00D43564">
            <w:pPr>
              <w:ind w:right="170"/>
              <w:jc w:val="right"/>
              <w:rPr>
                <w:rFonts w:eastAsia="SimSun"/>
                <w:sz w:val="15"/>
                <w:szCs w:val="15"/>
              </w:rPr>
            </w:pPr>
            <w:r w:rsidRPr="00B93EE1">
              <w:rPr>
                <w:rFonts w:eastAsia="SimSun"/>
                <w:sz w:val="15"/>
                <w:szCs w:val="15"/>
              </w:rPr>
              <w:t>4.9</w:t>
            </w:r>
          </w:p>
        </w:tc>
        <w:tc>
          <w:tcPr>
            <w:tcW w:w="923" w:type="dxa"/>
            <w:noWrap/>
            <w:hideMark/>
          </w:tcPr>
          <w:p w14:paraId="1BEC8AAA" w14:textId="77777777" w:rsidR="00120717" w:rsidRPr="00B93EE1" w:rsidRDefault="00120717" w:rsidP="00D43564">
            <w:pPr>
              <w:ind w:right="170"/>
              <w:jc w:val="right"/>
              <w:rPr>
                <w:rFonts w:eastAsia="SimSun"/>
                <w:sz w:val="15"/>
                <w:szCs w:val="15"/>
              </w:rPr>
            </w:pPr>
            <w:r w:rsidRPr="00B93EE1">
              <w:rPr>
                <w:rFonts w:eastAsia="SimSun"/>
                <w:sz w:val="15"/>
                <w:szCs w:val="15"/>
              </w:rPr>
              <w:t>4.7</w:t>
            </w:r>
          </w:p>
        </w:tc>
        <w:tc>
          <w:tcPr>
            <w:tcW w:w="923" w:type="dxa"/>
            <w:noWrap/>
            <w:hideMark/>
          </w:tcPr>
          <w:p w14:paraId="5C905CCB" w14:textId="77777777" w:rsidR="00120717" w:rsidRPr="00B93EE1" w:rsidRDefault="00120717" w:rsidP="00D43564">
            <w:pPr>
              <w:ind w:right="170"/>
              <w:jc w:val="right"/>
              <w:rPr>
                <w:rFonts w:eastAsia="SimSun"/>
                <w:sz w:val="15"/>
                <w:szCs w:val="15"/>
              </w:rPr>
            </w:pPr>
            <w:r w:rsidRPr="00B93EE1">
              <w:rPr>
                <w:rFonts w:eastAsia="SimSun"/>
                <w:sz w:val="15"/>
                <w:szCs w:val="15"/>
              </w:rPr>
              <w:t>4.7</w:t>
            </w:r>
          </w:p>
        </w:tc>
        <w:tc>
          <w:tcPr>
            <w:tcW w:w="930" w:type="dxa"/>
            <w:noWrap/>
            <w:hideMark/>
          </w:tcPr>
          <w:p w14:paraId="2944CB10" w14:textId="77777777" w:rsidR="00120717" w:rsidRPr="00B93EE1" w:rsidRDefault="00120717" w:rsidP="00D43564">
            <w:pPr>
              <w:ind w:right="170"/>
              <w:jc w:val="right"/>
              <w:rPr>
                <w:rFonts w:eastAsia="SimSun"/>
                <w:sz w:val="15"/>
                <w:szCs w:val="15"/>
              </w:rPr>
            </w:pPr>
            <w:r w:rsidRPr="00B93EE1">
              <w:rPr>
                <w:rFonts w:eastAsia="SimSun"/>
                <w:sz w:val="15"/>
                <w:szCs w:val="15"/>
              </w:rPr>
              <w:t>1.4</w:t>
            </w:r>
          </w:p>
        </w:tc>
      </w:tr>
      <w:tr w:rsidR="00120717" w:rsidRPr="00B93EE1" w14:paraId="3CF009A7" w14:textId="77777777" w:rsidTr="00D43564">
        <w:tc>
          <w:tcPr>
            <w:tcW w:w="2547" w:type="dxa"/>
            <w:noWrap/>
            <w:hideMark/>
          </w:tcPr>
          <w:p w14:paraId="564E5C79" w14:textId="77777777" w:rsidR="00120717" w:rsidRPr="00B93EE1" w:rsidRDefault="00120717" w:rsidP="00D43564">
            <w:pPr>
              <w:ind w:left="170"/>
              <w:jc w:val="left"/>
              <w:rPr>
                <w:rFonts w:eastAsia="SimSun"/>
                <w:sz w:val="15"/>
                <w:szCs w:val="15"/>
              </w:rPr>
            </w:pPr>
            <w:r w:rsidRPr="00B93EE1">
              <w:rPr>
                <w:rFonts w:eastAsia="SimSun"/>
                <w:sz w:val="15"/>
                <w:szCs w:val="15"/>
              </w:rPr>
              <w:t>Personal</w:t>
            </w:r>
          </w:p>
        </w:tc>
        <w:tc>
          <w:tcPr>
            <w:tcW w:w="924" w:type="dxa"/>
            <w:noWrap/>
            <w:hideMark/>
          </w:tcPr>
          <w:p w14:paraId="173E6879" w14:textId="77777777" w:rsidR="00120717" w:rsidRPr="00B93EE1" w:rsidRDefault="00120717" w:rsidP="00D43564">
            <w:pPr>
              <w:ind w:right="170"/>
              <w:jc w:val="right"/>
              <w:rPr>
                <w:rFonts w:eastAsia="SimSun"/>
                <w:sz w:val="15"/>
                <w:szCs w:val="15"/>
              </w:rPr>
            </w:pPr>
            <w:r w:rsidRPr="00B93EE1">
              <w:rPr>
                <w:rFonts w:eastAsia="SimSun"/>
                <w:sz w:val="15"/>
                <w:szCs w:val="15"/>
              </w:rPr>
              <w:t>25.1</w:t>
            </w:r>
          </w:p>
        </w:tc>
        <w:tc>
          <w:tcPr>
            <w:tcW w:w="923" w:type="dxa"/>
            <w:noWrap/>
            <w:hideMark/>
          </w:tcPr>
          <w:p w14:paraId="503AAD9E" w14:textId="77777777" w:rsidR="00120717" w:rsidRPr="00B93EE1" w:rsidRDefault="00120717" w:rsidP="00D43564">
            <w:pPr>
              <w:ind w:right="170"/>
              <w:jc w:val="right"/>
              <w:rPr>
                <w:rFonts w:eastAsia="SimSun"/>
                <w:sz w:val="15"/>
                <w:szCs w:val="15"/>
              </w:rPr>
            </w:pPr>
            <w:r w:rsidRPr="00B93EE1">
              <w:rPr>
                <w:rFonts w:eastAsia="SimSun"/>
                <w:sz w:val="15"/>
                <w:szCs w:val="15"/>
              </w:rPr>
              <w:t>25.6</w:t>
            </w:r>
          </w:p>
        </w:tc>
        <w:tc>
          <w:tcPr>
            <w:tcW w:w="923" w:type="dxa"/>
            <w:noWrap/>
            <w:hideMark/>
          </w:tcPr>
          <w:p w14:paraId="7623610F" w14:textId="77777777" w:rsidR="00120717" w:rsidRPr="00B93EE1" w:rsidRDefault="00120717" w:rsidP="00D43564">
            <w:pPr>
              <w:ind w:right="170"/>
              <w:jc w:val="right"/>
              <w:rPr>
                <w:rFonts w:eastAsia="SimSun"/>
                <w:sz w:val="15"/>
                <w:szCs w:val="15"/>
              </w:rPr>
            </w:pPr>
            <w:r w:rsidRPr="00B93EE1">
              <w:rPr>
                <w:rFonts w:eastAsia="SimSun"/>
                <w:sz w:val="15"/>
                <w:szCs w:val="15"/>
              </w:rPr>
              <w:t>27.0</w:t>
            </w:r>
          </w:p>
        </w:tc>
        <w:tc>
          <w:tcPr>
            <w:tcW w:w="923" w:type="dxa"/>
            <w:noWrap/>
            <w:hideMark/>
          </w:tcPr>
          <w:p w14:paraId="464F7469" w14:textId="77777777" w:rsidR="00120717" w:rsidRPr="00B93EE1" w:rsidRDefault="00120717" w:rsidP="00D43564">
            <w:pPr>
              <w:ind w:right="170"/>
              <w:jc w:val="right"/>
              <w:rPr>
                <w:rFonts w:eastAsia="SimSun"/>
                <w:sz w:val="15"/>
                <w:szCs w:val="15"/>
              </w:rPr>
            </w:pPr>
            <w:r w:rsidRPr="00B93EE1">
              <w:rPr>
                <w:rFonts w:eastAsia="SimSun"/>
                <w:sz w:val="15"/>
                <w:szCs w:val="15"/>
              </w:rPr>
              <w:t>27.3</w:t>
            </w:r>
          </w:p>
        </w:tc>
        <w:tc>
          <w:tcPr>
            <w:tcW w:w="923" w:type="dxa"/>
            <w:noWrap/>
            <w:hideMark/>
          </w:tcPr>
          <w:p w14:paraId="7131B2A3" w14:textId="77777777" w:rsidR="00120717" w:rsidRPr="00B93EE1" w:rsidRDefault="00120717" w:rsidP="00D43564">
            <w:pPr>
              <w:ind w:right="170"/>
              <w:jc w:val="right"/>
              <w:rPr>
                <w:rFonts w:eastAsia="SimSun"/>
                <w:sz w:val="15"/>
                <w:szCs w:val="15"/>
              </w:rPr>
            </w:pPr>
            <w:r w:rsidRPr="00B93EE1">
              <w:rPr>
                <w:rFonts w:eastAsia="SimSun"/>
                <w:sz w:val="15"/>
                <w:szCs w:val="15"/>
              </w:rPr>
              <w:t>25.1</w:t>
            </w:r>
          </w:p>
        </w:tc>
        <w:tc>
          <w:tcPr>
            <w:tcW w:w="923" w:type="dxa"/>
            <w:noWrap/>
            <w:hideMark/>
          </w:tcPr>
          <w:p w14:paraId="1A9F16E5" w14:textId="77777777" w:rsidR="00120717" w:rsidRPr="00B93EE1" w:rsidRDefault="00120717" w:rsidP="00D43564">
            <w:pPr>
              <w:ind w:right="170"/>
              <w:jc w:val="right"/>
              <w:rPr>
                <w:rFonts w:eastAsia="SimSun"/>
                <w:sz w:val="15"/>
                <w:szCs w:val="15"/>
              </w:rPr>
            </w:pPr>
            <w:r w:rsidRPr="00B93EE1">
              <w:rPr>
                <w:rFonts w:eastAsia="SimSun"/>
                <w:sz w:val="15"/>
                <w:szCs w:val="15"/>
              </w:rPr>
              <w:t>22.5</w:t>
            </w:r>
          </w:p>
        </w:tc>
        <w:tc>
          <w:tcPr>
            <w:tcW w:w="930" w:type="dxa"/>
            <w:noWrap/>
            <w:hideMark/>
          </w:tcPr>
          <w:p w14:paraId="643E1672" w14:textId="77777777" w:rsidR="00120717" w:rsidRPr="00B93EE1" w:rsidRDefault="00120717" w:rsidP="00D43564">
            <w:pPr>
              <w:ind w:right="170"/>
              <w:jc w:val="right"/>
              <w:rPr>
                <w:rFonts w:eastAsia="SimSun"/>
                <w:sz w:val="15"/>
                <w:szCs w:val="15"/>
              </w:rPr>
            </w:pPr>
            <w:r w:rsidRPr="00B93EE1">
              <w:rPr>
                <w:rFonts w:eastAsia="SimSun"/>
                <w:sz w:val="15"/>
                <w:szCs w:val="15"/>
              </w:rPr>
              <w:t>6.3</w:t>
            </w:r>
          </w:p>
        </w:tc>
      </w:tr>
      <w:tr w:rsidR="00120717" w:rsidRPr="00B93EE1" w14:paraId="7FE5001C"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5FAF1745" w14:textId="77777777" w:rsidR="00120717" w:rsidRPr="00B93EE1" w:rsidRDefault="00120717" w:rsidP="00D43564">
            <w:pPr>
              <w:jc w:val="left"/>
              <w:rPr>
                <w:rFonts w:eastAsia="SimSun"/>
                <w:sz w:val="15"/>
                <w:szCs w:val="15"/>
              </w:rPr>
            </w:pPr>
            <w:r w:rsidRPr="00B93EE1">
              <w:rPr>
                <w:rFonts w:eastAsia="SimSun"/>
                <w:sz w:val="15"/>
                <w:szCs w:val="15"/>
              </w:rPr>
              <w:t>Construction</w:t>
            </w:r>
          </w:p>
        </w:tc>
        <w:tc>
          <w:tcPr>
            <w:tcW w:w="924" w:type="dxa"/>
            <w:noWrap/>
            <w:hideMark/>
          </w:tcPr>
          <w:p w14:paraId="5B1C9678" w14:textId="77777777" w:rsidR="00120717" w:rsidRPr="00B93EE1" w:rsidRDefault="00120717" w:rsidP="00D43564">
            <w:pPr>
              <w:ind w:right="170"/>
              <w:jc w:val="right"/>
              <w:rPr>
                <w:rFonts w:eastAsia="SimSun"/>
                <w:sz w:val="15"/>
                <w:szCs w:val="15"/>
              </w:rPr>
            </w:pPr>
            <w:r w:rsidRPr="00B93EE1">
              <w:rPr>
                <w:rFonts w:eastAsia="SimSun"/>
                <w:sz w:val="15"/>
                <w:szCs w:val="15"/>
              </w:rPr>
              <w:t>0.5</w:t>
            </w:r>
          </w:p>
        </w:tc>
        <w:tc>
          <w:tcPr>
            <w:tcW w:w="923" w:type="dxa"/>
            <w:noWrap/>
            <w:hideMark/>
          </w:tcPr>
          <w:p w14:paraId="72C562B7" w14:textId="77777777" w:rsidR="00120717" w:rsidRPr="00B93EE1" w:rsidRDefault="00120717" w:rsidP="00D43564">
            <w:pPr>
              <w:ind w:right="170"/>
              <w:jc w:val="right"/>
              <w:rPr>
                <w:rFonts w:eastAsia="SimSun"/>
                <w:sz w:val="15"/>
                <w:szCs w:val="15"/>
              </w:rPr>
            </w:pPr>
            <w:r w:rsidRPr="00B93EE1">
              <w:rPr>
                <w:rFonts w:eastAsia="SimSun"/>
                <w:sz w:val="15"/>
                <w:szCs w:val="15"/>
              </w:rPr>
              <w:t>0.2</w:t>
            </w:r>
          </w:p>
        </w:tc>
        <w:tc>
          <w:tcPr>
            <w:tcW w:w="923" w:type="dxa"/>
            <w:noWrap/>
            <w:hideMark/>
          </w:tcPr>
          <w:p w14:paraId="1969009E" w14:textId="77777777" w:rsidR="00120717" w:rsidRPr="00B93EE1" w:rsidRDefault="00120717" w:rsidP="00D43564">
            <w:pPr>
              <w:ind w:right="170"/>
              <w:jc w:val="right"/>
              <w:rPr>
                <w:rFonts w:eastAsia="SimSun"/>
                <w:sz w:val="15"/>
                <w:szCs w:val="15"/>
              </w:rPr>
            </w:pPr>
            <w:r w:rsidRPr="00B93EE1">
              <w:rPr>
                <w:rFonts w:eastAsia="SimSun"/>
                <w:sz w:val="15"/>
                <w:szCs w:val="15"/>
              </w:rPr>
              <w:t>0.3</w:t>
            </w:r>
          </w:p>
        </w:tc>
        <w:tc>
          <w:tcPr>
            <w:tcW w:w="923" w:type="dxa"/>
            <w:noWrap/>
            <w:hideMark/>
          </w:tcPr>
          <w:p w14:paraId="6C4963DE" w14:textId="77777777" w:rsidR="00120717" w:rsidRPr="00B93EE1" w:rsidRDefault="00120717" w:rsidP="00D43564">
            <w:pPr>
              <w:ind w:right="170"/>
              <w:jc w:val="right"/>
              <w:rPr>
                <w:rFonts w:eastAsia="SimSun"/>
                <w:sz w:val="15"/>
                <w:szCs w:val="15"/>
              </w:rPr>
            </w:pPr>
            <w:r w:rsidRPr="00B93EE1">
              <w:rPr>
                <w:rFonts w:eastAsia="SimSun"/>
                <w:sz w:val="15"/>
                <w:szCs w:val="15"/>
              </w:rPr>
              <w:t>0.3</w:t>
            </w:r>
          </w:p>
        </w:tc>
        <w:tc>
          <w:tcPr>
            <w:tcW w:w="923" w:type="dxa"/>
            <w:noWrap/>
            <w:hideMark/>
          </w:tcPr>
          <w:p w14:paraId="56893DDF" w14:textId="77777777" w:rsidR="00120717" w:rsidRPr="00B93EE1" w:rsidRDefault="00120717" w:rsidP="00D43564">
            <w:pPr>
              <w:ind w:right="170"/>
              <w:jc w:val="right"/>
              <w:rPr>
                <w:rFonts w:eastAsia="SimSun"/>
                <w:sz w:val="15"/>
                <w:szCs w:val="15"/>
              </w:rPr>
            </w:pPr>
            <w:r w:rsidRPr="00B93EE1">
              <w:rPr>
                <w:rFonts w:eastAsia="SimSun"/>
                <w:sz w:val="15"/>
                <w:szCs w:val="15"/>
              </w:rPr>
              <w:t>0.2</w:t>
            </w:r>
          </w:p>
        </w:tc>
        <w:tc>
          <w:tcPr>
            <w:tcW w:w="923" w:type="dxa"/>
            <w:noWrap/>
            <w:hideMark/>
          </w:tcPr>
          <w:p w14:paraId="6A178886" w14:textId="77777777" w:rsidR="00120717" w:rsidRPr="00B93EE1" w:rsidRDefault="00120717" w:rsidP="00D43564">
            <w:pPr>
              <w:ind w:right="170"/>
              <w:jc w:val="right"/>
              <w:rPr>
                <w:rFonts w:eastAsia="SimSun"/>
                <w:sz w:val="15"/>
                <w:szCs w:val="15"/>
              </w:rPr>
            </w:pPr>
            <w:r w:rsidRPr="00B93EE1">
              <w:rPr>
                <w:rFonts w:eastAsia="SimSun"/>
                <w:sz w:val="15"/>
                <w:szCs w:val="15"/>
              </w:rPr>
              <w:t>0.2</w:t>
            </w:r>
          </w:p>
        </w:tc>
        <w:tc>
          <w:tcPr>
            <w:tcW w:w="930" w:type="dxa"/>
            <w:noWrap/>
            <w:hideMark/>
          </w:tcPr>
          <w:p w14:paraId="23DD67D4" w14:textId="77777777" w:rsidR="00120717" w:rsidRPr="00B93EE1" w:rsidRDefault="00120717" w:rsidP="00D43564">
            <w:pPr>
              <w:ind w:right="170"/>
              <w:jc w:val="right"/>
              <w:rPr>
                <w:rFonts w:eastAsia="SimSun"/>
                <w:sz w:val="15"/>
                <w:szCs w:val="15"/>
              </w:rPr>
            </w:pPr>
            <w:r w:rsidRPr="00B93EE1">
              <w:rPr>
                <w:rFonts w:eastAsia="SimSun"/>
                <w:sz w:val="15"/>
                <w:szCs w:val="15"/>
              </w:rPr>
              <w:t>..</w:t>
            </w:r>
          </w:p>
        </w:tc>
      </w:tr>
      <w:tr w:rsidR="00120717" w:rsidRPr="00B93EE1" w14:paraId="15FE8034" w14:textId="77777777" w:rsidTr="00D43564">
        <w:tc>
          <w:tcPr>
            <w:tcW w:w="2547" w:type="dxa"/>
            <w:noWrap/>
            <w:hideMark/>
          </w:tcPr>
          <w:p w14:paraId="0F42390C" w14:textId="77777777" w:rsidR="00120717" w:rsidRPr="00B93EE1" w:rsidRDefault="00120717" w:rsidP="00D43564">
            <w:pPr>
              <w:jc w:val="left"/>
              <w:rPr>
                <w:rFonts w:eastAsia="SimSun"/>
                <w:sz w:val="15"/>
                <w:szCs w:val="15"/>
              </w:rPr>
            </w:pPr>
            <w:r w:rsidRPr="00B93EE1">
              <w:rPr>
                <w:rFonts w:eastAsia="SimSun"/>
                <w:sz w:val="15"/>
                <w:szCs w:val="15"/>
              </w:rPr>
              <w:t>Insurance and pension</w:t>
            </w:r>
          </w:p>
        </w:tc>
        <w:tc>
          <w:tcPr>
            <w:tcW w:w="924" w:type="dxa"/>
            <w:noWrap/>
            <w:hideMark/>
          </w:tcPr>
          <w:p w14:paraId="7A933309" w14:textId="77777777" w:rsidR="00120717" w:rsidRPr="00B93EE1" w:rsidRDefault="00120717" w:rsidP="00D43564">
            <w:pPr>
              <w:ind w:right="170"/>
              <w:jc w:val="right"/>
              <w:rPr>
                <w:rFonts w:eastAsia="SimSun"/>
                <w:sz w:val="15"/>
                <w:szCs w:val="15"/>
              </w:rPr>
            </w:pPr>
            <w:r w:rsidRPr="00B93EE1">
              <w:rPr>
                <w:rFonts w:eastAsia="SimSun"/>
                <w:sz w:val="15"/>
                <w:szCs w:val="15"/>
              </w:rPr>
              <w:t>5.5</w:t>
            </w:r>
          </w:p>
        </w:tc>
        <w:tc>
          <w:tcPr>
            <w:tcW w:w="923" w:type="dxa"/>
            <w:noWrap/>
            <w:hideMark/>
          </w:tcPr>
          <w:p w14:paraId="7C19CA84" w14:textId="77777777" w:rsidR="00120717" w:rsidRPr="00B93EE1" w:rsidRDefault="00120717" w:rsidP="00D43564">
            <w:pPr>
              <w:ind w:right="170"/>
              <w:jc w:val="right"/>
              <w:rPr>
                <w:rFonts w:eastAsia="SimSun"/>
                <w:sz w:val="15"/>
                <w:szCs w:val="15"/>
              </w:rPr>
            </w:pPr>
            <w:r w:rsidRPr="00B93EE1">
              <w:rPr>
                <w:rFonts w:eastAsia="SimSun"/>
                <w:sz w:val="15"/>
                <w:szCs w:val="15"/>
              </w:rPr>
              <w:t>6.1</w:t>
            </w:r>
          </w:p>
        </w:tc>
        <w:tc>
          <w:tcPr>
            <w:tcW w:w="923" w:type="dxa"/>
            <w:noWrap/>
            <w:hideMark/>
          </w:tcPr>
          <w:p w14:paraId="047B19AD" w14:textId="77777777" w:rsidR="00120717" w:rsidRPr="00B93EE1" w:rsidRDefault="00120717" w:rsidP="00D43564">
            <w:pPr>
              <w:ind w:right="170"/>
              <w:jc w:val="right"/>
              <w:rPr>
                <w:rFonts w:eastAsia="SimSun"/>
                <w:sz w:val="15"/>
                <w:szCs w:val="15"/>
              </w:rPr>
            </w:pPr>
            <w:r w:rsidRPr="00B93EE1">
              <w:rPr>
                <w:rFonts w:eastAsia="SimSun"/>
                <w:sz w:val="15"/>
                <w:szCs w:val="15"/>
              </w:rPr>
              <w:t>6.2</w:t>
            </w:r>
          </w:p>
        </w:tc>
        <w:tc>
          <w:tcPr>
            <w:tcW w:w="923" w:type="dxa"/>
            <w:noWrap/>
            <w:hideMark/>
          </w:tcPr>
          <w:p w14:paraId="0194AEBC" w14:textId="77777777" w:rsidR="00120717" w:rsidRPr="00B93EE1" w:rsidRDefault="00120717" w:rsidP="00D43564">
            <w:pPr>
              <w:ind w:right="170"/>
              <w:jc w:val="right"/>
              <w:rPr>
                <w:rFonts w:eastAsia="SimSun"/>
                <w:sz w:val="15"/>
                <w:szCs w:val="15"/>
              </w:rPr>
            </w:pPr>
            <w:r w:rsidRPr="00B93EE1">
              <w:rPr>
                <w:rFonts w:eastAsia="SimSun"/>
                <w:sz w:val="15"/>
                <w:szCs w:val="15"/>
              </w:rPr>
              <w:t>6.4</w:t>
            </w:r>
          </w:p>
        </w:tc>
        <w:tc>
          <w:tcPr>
            <w:tcW w:w="923" w:type="dxa"/>
            <w:noWrap/>
            <w:hideMark/>
          </w:tcPr>
          <w:p w14:paraId="40000E35" w14:textId="77777777" w:rsidR="00120717" w:rsidRPr="00B93EE1" w:rsidRDefault="00120717" w:rsidP="00D43564">
            <w:pPr>
              <w:ind w:right="170"/>
              <w:jc w:val="right"/>
              <w:rPr>
                <w:rFonts w:eastAsia="SimSun"/>
                <w:sz w:val="15"/>
                <w:szCs w:val="15"/>
              </w:rPr>
            </w:pPr>
            <w:r w:rsidRPr="00B93EE1">
              <w:rPr>
                <w:rFonts w:eastAsia="SimSun"/>
                <w:sz w:val="15"/>
                <w:szCs w:val="15"/>
              </w:rPr>
              <w:t>8.1</w:t>
            </w:r>
          </w:p>
        </w:tc>
        <w:tc>
          <w:tcPr>
            <w:tcW w:w="923" w:type="dxa"/>
            <w:noWrap/>
            <w:hideMark/>
          </w:tcPr>
          <w:p w14:paraId="5D2DCBAA" w14:textId="77777777" w:rsidR="00120717" w:rsidRPr="00B93EE1" w:rsidRDefault="00120717" w:rsidP="00D43564">
            <w:pPr>
              <w:ind w:right="170"/>
              <w:jc w:val="right"/>
              <w:rPr>
                <w:rFonts w:eastAsia="SimSun"/>
                <w:sz w:val="15"/>
                <w:szCs w:val="15"/>
              </w:rPr>
            </w:pPr>
            <w:r w:rsidRPr="00B93EE1">
              <w:rPr>
                <w:rFonts w:eastAsia="SimSun"/>
                <w:sz w:val="15"/>
                <w:szCs w:val="15"/>
              </w:rPr>
              <w:t>9.2</w:t>
            </w:r>
          </w:p>
        </w:tc>
        <w:tc>
          <w:tcPr>
            <w:tcW w:w="930" w:type="dxa"/>
            <w:noWrap/>
            <w:hideMark/>
          </w:tcPr>
          <w:p w14:paraId="40EB17D8" w14:textId="77777777" w:rsidR="00120717" w:rsidRPr="00B93EE1" w:rsidRDefault="00120717" w:rsidP="00D43564">
            <w:pPr>
              <w:ind w:right="170"/>
              <w:jc w:val="right"/>
              <w:rPr>
                <w:rFonts w:eastAsia="SimSun"/>
                <w:sz w:val="15"/>
                <w:szCs w:val="15"/>
              </w:rPr>
            </w:pPr>
            <w:r w:rsidRPr="00B93EE1">
              <w:rPr>
                <w:rFonts w:eastAsia="SimSun"/>
                <w:sz w:val="15"/>
                <w:szCs w:val="15"/>
              </w:rPr>
              <w:t>12.1</w:t>
            </w:r>
          </w:p>
        </w:tc>
      </w:tr>
      <w:tr w:rsidR="00120717" w:rsidRPr="00B93EE1" w14:paraId="41977D05"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5F891059" w14:textId="77777777" w:rsidR="00120717" w:rsidRPr="00B93EE1" w:rsidRDefault="00120717" w:rsidP="00D43564">
            <w:pPr>
              <w:jc w:val="left"/>
              <w:rPr>
                <w:rFonts w:eastAsia="SimSun"/>
                <w:sz w:val="15"/>
                <w:szCs w:val="15"/>
              </w:rPr>
            </w:pPr>
            <w:r w:rsidRPr="00B93EE1">
              <w:rPr>
                <w:rFonts w:eastAsia="SimSun"/>
                <w:sz w:val="15"/>
                <w:szCs w:val="15"/>
              </w:rPr>
              <w:t>Financial service</w:t>
            </w:r>
          </w:p>
        </w:tc>
        <w:tc>
          <w:tcPr>
            <w:tcW w:w="924" w:type="dxa"/>
            <w:noWrap/>
            <w:hideMark/>
          </w:tcPr>
          <w:p w14:paraId="28450EC9" w14:textId="77777777" w:rsidR="00120717" w:rsidRPr="00B93EE1" w:rsidRDefault="00120717" w:rsidP="00D43564">
            <w:pPr>
              <w:ind w:right="170"/>
              <w:jc w:val="right"/>
              <w:rPr>
                <w:rFonts w:eastAsia="SimSun"/>
                <w:sz w:val="15"/>
                <w:szCs w:val="15"/>
              </w:rPr>
            </w:pPr>
            <w:r w:rsidRPr="00B93EE1">
              <w:rPr>
                <w:rFonts w:eastAsia="SimSun"/>
                <w:sz w:val="15"/>
                <w:szCs w:val="15"/>
              </w:rPr>
              <w:t>2.6</w:t>
            </w:r>
          </w:p>
        </w:tc>
        <w:tc>
          <w:tcPr>
            <w:tcW w:w="923" w:type="dxa"/>
            <w:noWrap/>
            <w:hideMark/>
          </w:tcPr>
          <w:p w14:paraId="7C54F06F" w14:textId="77777777" w:rsidR="00120717" w:rsidRPr="00B93EE1" w:rsidRDefault="00120717" w:rsidP="00D43564">
            <w:pPr>
              <w:ind w:right="170"/>
              <w:jc w:val="right"/>
              <w:rPr>
                <w:rFonts w:eastAsia="SimSun"/>
                <w:sz w:val="15"/>
                <w:szCs w:val="15"/>
              </w:rPr>
            </w:pPr>
            <w:r w:rsidRPr="00B93EE1">
              <w:rPr>
                <w:rFonts w:eastAsia="SimSun"/>
                <w:sz w:val="15"/>
                <w:szCs w:val="15"/>
              </w:rPr>
              <w:t>2.9</w:t>
            </w:r>
          </w:p>
        </w:tc>
        <w:tc>
          <w:tcPr>
            <w:tcW w:w="923" w:type="dxa"/>
            <w:noWrap/>
            <w:hideMark/>
          </w:tcPr>
          <w:p w14:paraId="6198D419" w14:textId="77777777" w:rsidR="00120717" w:rsidRPr="00B93EE1" w:rsidRDefault="00120717" w:rsidP="00D43564">
            <w:pPr>
              <w:ind w:right="170"/>
              <w:jc w:val="right"/>
              <w:rPr>
                <w:rFonts w:eastAsia="SimSun"/>
                <w:sz w:val="15"/>
                <w:szCs w:val="15"/>
              </w:rPr>
            </w:pPr>
            <w:r w:rsidRPr="00B93EE1">
              <w:rPr>
                <w:rFonts w:eastAsia="SimSun"/>
                <w:sz w:val="15"/>
                <w:szCs w:val="15"/>
              </w:rPr>
              <w:t>2.8</w:t>
            </w:r>
          </w:p>
        </w:tc>
        <w:tc>
          <w:tcPr>
            <w:tcW w:w="923" w:type="dxa"/>
            <w:noWrap/>
            <w:hideMark/>
          </w:tcPr>
          <w:p w14:paraId="3F0DB400" w14:textId="77777777" w:rsidR="00120717" w:rsidRPr="00B93EE1" w:rsidRDefault="00120717" w:rsidP="00D43564">
            <w:pPr>
              <w:ind w:right="170"/>
              <w:jc w:val="right"/>
              <w:rPr>
                <w:rFonts w:eastAsia="SimSun"/>
                <w:sz w:val="15"/>
                <w:szCs w:val="15"/>
              </w:rPr>
            </w:pPr>
            <w:r w:rsidRPr="00B93EE1">
              <w:rPr>
                <w:rFonts w:eastAsia="SimSun"/>
                <w:sz w:val="15"/>
                <w:szCs w:val="15"/>
              </w:rPr>
              <w:t>2.7</w:t>
            </w:r>
          </w:p>
        </w:tc>
        <w:tc>
          <w:tcPr>
            <w:tcW w:w="923" w:type="dxa"/>
            <w:noWrap/>
            <w:hideMark/>
          </w:tcPr>
          <w:p w14:paraId="0BBF3394" w14:textId="77777777" w:rsidR="00120717" w:rsidRPr="00B93EE1" w:rsidRDefault="00120717" w:rsidP="00D43564">
            <w:pPr>
              <w:ind w:right="170"/>
              <w:jc w:val="right"/>
              <w:rPr>
                <w:rFonts w:eastAsia="SimSun"/>
                <w:sz w:val="15"/>
                <w:szCs w:val="15"/>
              </w:rPr>
            </w:pPr>
            <w:r w:rsidRPr="00B93EE1">
              <w:rPr>
                <w:rFonts w:eastAsia="SimSun"/>
                <w:sz w:val="15"/>
                <w:szCs w:val="15"/>
              </w:rPr>
              <w:t>2.3</w:t>
            </w:r>
          </w:p>
        </w:tc>
        <w:tc>
          <w:tcPr>
            <w:tcW w:w="923" w:type="dxa"/>
            <w:noWrap/>
            <w:hideMark/>
          </w:tcPr>
          <w:p w14:paraId="412A647F" w14:textId="77777777" w:rsidR="00120717" w:rsidRPr="00B93EE1" w:rsidRDefault="00120717" w:rsidP="00D43564">
            <w:pPr>
              <w:ind w:right="170"/>
              <w:jc w:val="right"/>
              <w:rPr>
                <w:rFonts w:eastAsia="SimSun"/>
                <w:sz w:val="15"/>
                <w:szCs w:val="15"/>
              </w:rPr>
            </w:pPr>
            <w:r w:rsidRPr="00B93EE1">
              <w:rPr>
                <w:rFonts w:eastAsia="SimSun"/>
                <w:sz w:val="15"/>
                <w:szCs w:val="15"/>
              </w:rPr>
              <w:t>2.1</w:t>
            </w:r>
          </w:p>
        </w:tc>
        <w:tc>
          <w:tcPr>
            <w:tcW w:w="930" w:type="dxa"/>
            <w:noWrap/>
            <w:hideMark/>
          </w:tcPr>
          <w:p w14:paraId="125E2AAA" w14:textId="77777777" w:rsidR="00120717" w:rsidRPr="00B93EE1" w:rsidRDefault="00120717" w:rsidP="00D43564">
            <w:pPr>
              <w:ind w:right="170"/>
              <w:jc w:val="right"/>
              <w:rPr>
                <w:rFonts w:eastAsia="SimSun"/>
                <w:sz w:val="15"/>
                <w:szCs w:val="15"/>
              </w:rPr>
            </w:pPr>
            <w:r w:rsidRPr="00B93EE1">
              <w:rPr>
                <w:rFonts w:eastAsia="SimSun"/>
                <w:sz w:val="15"/>
                <w:szCs w:val="15"/>
              </w:rPr>
              <w:t>3.5</w:t>
            </w:r>
          </w:p>
        </w:tc>
      </w:tr>
      <w:tr w:rsidR="00120717" w:rsidRPr="00B93EE1" w14:paraId="70BEFC9A" w14:textId="77777777" w:rsidTr="00D43564">
        <w:tc>
          <w:tcPr>
            <w:tcW w:w="2547" w:type="dxa"/>
            <w:noWrap/>
            <w:hideMark/>
          </w:tcPr>
          <w:p w14:paraId="6BA40AAC" w14:textId="77777777" w:rsidR="00120717" w:rsidRPr="00B93EE1" w:rsidRDefault="00120717" w:rsidP="00D43564">
            <w:pPr>
              <w:jc w:val="left"/>
              <w:rPr>
                <w:rFonts w:eastAsia="SimSun"/>
                <w:sz w:val="15"/>
                <w:szCs w:val="15"/>
              </w:rPr>
            </w:pPr>
            <w:r w:rsidRPr="00B93EE1">
              <w:rPr>
                <w:rFonts w:eastAsia="SimSun"/>
                <w:sz w:val="15"/>
                <w:szCs w:val="15"/>
              </w:rPr>
              <w:t>Charges for the use of intellectual property</w:t>
            </w:r>
          </w:p>
        </w:tc>
        <w:tc>
          <w:tcPr>
            <w:tcW w:w="924" w:type="dxa"/>
            <w:noWrap/>
            <w:hideMark/>
          </w:tcPr>
          <w:p w14:paraId="0F3A4ADE" w14:textId="77777777" w:rsidR="00120717" w:rsidRPr="00B93EE1" w:rsidRDefault="00120717" w:rsidP="00D43564">
            <w:pPr>
              <w:ind w:right="170"/>
              <w:jc w:val="right"/>
              <w:rPr>
                <w:rFonts w:eastAsia="SimSun"/>
                <w:sz w:val="15"/>
                <w:szCs w:val="15"/>
              </w:rPr>
            </w:pPr>
            <w:r w:rsidRPr="00B93EE1">
              <w:rPr>
                <w:rFonts w:eastAsia="SimSun"/>
                <w:sz w:val="15"/>
                <w:szCs w:val="15"/>
              </w:rPr>
              <w:t>7.0</w:t>
            </w:r>
          </w:p>
        </w:tc>
        <w:tc>
          <w:tcPr>
            <w:tcW w:w="923" w:type="dxa"/>
            <w:noWrap/>
            <w:hideMark/>
          </w:tcPr>
          <w:p w14:paraId="4A56ED28" w14:textId="77777777" w:rsidR="00120717" w:rsidRPr="00B93EE1" w:rsidRDefault="00120717" w:rsidP="00D43564">
            <w:pPr>
              <w:ind w:right="170"/>
              <w:jc w:val="right"/>
              <w:rPr>
                <w:rFonts w:eastAsia="SimSun"/>
                <w:sz w:val="15"/>
                <w:szCs w:val="15"/>
              </w:rPr>
            </w:pPr>
            <w:r w:rsidRPr="00B93EE1">
              <w:rPr>
                <w:rFonts w:eastAsia="SimSun"/>
                <w:sz w:val="15"/>
                <w:szCs w:val="15"/>
              </w:rPr>
              <w:t>7.0</w:t>
            </w:r>
          </w:p>
        </w:tc>
        <w:tc>
          <w:tcPr>
            <w:tcW w:w="923" w:type="dxa"/>
            <w:noWrap/>
            <w:hideMark/>
          </w:tcPr>
          <w:p w14:paraId="03D4EE74" w14:textId="77777777" w:rsidR="00120717" w:rsidRPr="00B93EE1" w:rsidRDefault="00120717" w:rsidP="00D43564">
            <w:pPr>
              <w:ind w:right="170"/>
              <w:jc w:val="right"/>
              <w:rPr>
                <w:rFonts w:eastAsia="SimSun"/>
                <w:sz w:val="15"/>
                <w:szCs w:val="15"/>
              </w:rPr>
            </w:pPr>
            <w:r w:rsidRPr="00B93EE1">
              <w:rPr>
                <w:rFonts w:eastAsia="SimSun"/>
                <w:sz w:val="15"/>
                <w:szCs w:val="15"/>
              </w:rPr>
              <w:t>6.9</w:t>
            </w:r>
          </w:p>
        </w:tc>
        <w:tc>
          <w:tcPr>
            <w:tcW w:w="923" w:type="dxa"/>
            <w:noWrap/>
            <w:hideMark/>
          </w:tcPr>
          <w:p w14:paraId="1ACC803B" w14:textId="77777777" w:rsidR="00120717" w:rsidRPr="00B93EE1" w:rsidRDefault="00120717" w:rsidP="00D43564">
            <w:pPr>
              <w:ind w:right="170"/>
              <w:jc w:val="right"/>
              <w:rPr>
                <w:rFonts w:eastAsia="SimSun"/>
                <w:sz w:val="15"/>
                <w:szCs w:val="15"/>
              </w:rPr>
            </w:pPr>
            <w:r w:rsidRPr="00B93EE1">
              <w:rPr>
                <w:rFonts w:eastAsia="SimSun"/>
                <w:sz w:val="15"/>
                <w:szCs w:val="15"/>
              </w:rPr>
              <w:t>6.6</w:t>
            </w:r>
          </w:p>
        </w:tc>
        <w:tc>
          <w:tcPr>
            <w:tcW w:w="923" w:type="dxa"/>
            <w:noWrap/>
            <w:hideMark/>
          </w:tcPr>
          <w:p w14:paraId="326011BB" w14:textId="77777777" w:rsidR="00120717" w:rsidRPr="00B93EE1" w:rsidRDefault="00120717" w:rsidP="00D43564">
            <w:pPr>
              <w:ind w:right="170"/>
              <w:jc w:val="right"/>
              <w:rPr>
                <w:rFonts w:eastAsia="SimSun"/>
                <w:sz w:val="15"/>
                <w:szCs w:val="15"/>
              </w:rPr>
            </w:pPr>
            <w:r w:rsidRPr="00B93EE1">
              <w:rPr>
                <w:rFonts w:eastAsia="SimSun"/>
                <w:sz w:val="15"/>
                <w:szCs w:val="15"/>
              </w:rPr>
              <w:t>5.9</w:t>
            </w:r>
          </w:p>
        </w:tc>
        <w:tc>
          <w:tcPr>
            <w:tcW w:w="923" w:type="dxa"/>
            <w:noWrap/>
            <w:hideMark/>
          </w:tcPr>
          <w:p w14:paraId="2A94F28D" w14:textId="77777777" w:rsidR="00120717" w:rsidRPr="00B93EE1" w:rsidRDefault="00120717" w:rsidP="00D43564">
            <w:pPr>
              <w:ind w:right="170"/>
              <w:jc w:val="right"/>
              <w:rPr>
                <w:rFonts w:eastAsia="SimSun"/>
                <w:sz w:val="15"/>
                <w:szCs w:val="15"/>
              </w:rPr>
            </w:pPr>
            <w:r w:rsidRPr="00B93EE1">
              <w:rPr>
                <w:rFonts w:eastAsia="SimSun"/>
                <w:sz w:val="15"/>
                <w:szCs w:val="15"/>
              </w:rPr>
              <w:t>6.0</w:t>
            </w:r>
          </w:p>
        </w:tc>
        <w:tc>
          <w:tcPr>
            <w:tcW w:w="930" w:type="dxa"/>
            <w:noWrap/>
            <w:hideMark/>
          </w:tcPr>
          <w:p w14:paraId="2F29C6DE" w14:textId="77777777" w:rsidR="00120717" w:rsidRPr="00B93EE1" w:rsidRDefault="00120717" w:rsidP="00D43564">
            <w:pPr>
              <w:ind w:right="170"/>
              <w:jc w:val="right"/>
              <w:rPr>
                <w:rFonts w:eastAsia="SimSun"/>
                <w:sz w:val="15"/>
                <w:szCs w:val="15"/>
              </w:rPr>
            </w:pPr>
            <w:r w:rsidRPr="00B93EE1">
              <w:rPr>
                <w:rFonts w:eastAsia="SimSun"/>
                <w:sz w:val="15"/>
                <w:szCs w:val="15"/>
              </w:rPr>
              <w:t>8.1</w:t>
            </w:r>
          </w:p>
        </w:tc>
      </w:tr>
      <w:tr w:rsidR="00120717" w:rsidRPr="00B93EE1" w14:paraId="4B0AAAC5"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69ED847F" w14:textId="77777777" w:rsidR="00120717" w:rsidRPr="00B93EE1" w:rsidRDefault="00120717" w:rsidP="00D43564">
            <w:pPr>
              <w:jc w:val="left"/>
              <w:rPr>
                <w:rFonts w:eastAsia="SimSun"/>
                <w:sz w:val="15"/>
                <w:szCs w:val="15"/>
              </w:rPr>
            </w:pPr>
            <w:r w:rsidRPr="00B93EE1">
              <w:rPr>
                <w:rFonts w:eastAsia="SimSun"/>
                <w:sz w:val="15"/>
                <w:szCs w:val="15"/>
              </w:rPr>
              <w:t>Telecommunication, computer, and information</w:t>
            </w:r>
          </w:p>
        </w:tc>
        <w:tc>
          <w:tcPr>
            <w:tcW w:w="924" w:type="dxa"/>
            <w:noWrap/>
            <w:hideMark/>
          </w:tcPr>
          <w:p w14:paraId="5800F359" w14:textId="77777777" w:rsidR="00120717" w:rsidRPr="00B93EE1" w:rsidRDefault="00120717" w:rsidP="00D43564">
            <w:pPr>
              <w:ind w:right="170"/>
              <w:jc w:val="right"/>
              <w:rPr>
                <w:rFonts w:eastAsia="SimSun"/>
                <w:sz w:val="15"/>
                <w:szCs w:val="15"/>
              </w:rPr>
            </w:pPr>
            <w:r w:rsidRPr="00B93EE1">
              <w:rPr>
                <w:rFonts w:eastAsia="SimSun"/>
                <w:sz w:val="15"/>
                <w:szCs w:val="15"/>
              </w:rPr>
              <w:t>5.9</w:t>
            </w:r>
          </w:p>
        </w:tc>
        <w:tc>
          <w:tcPr>
            <w:tcW w:w="923" w:type="dxa"/>
            <w:noWrap/>
            <w:hideMark/>
          </w:tcPr>
          <w:p w14:paraId="378476CC" w14:textId="77777777" w:rsidR="00120717" w:rsidRPr="00B93EE1" w:rsidRDefault="00120717" w:rsidP="00D43564">
            <w:pPr>
              <w:ind w:right="170"/>
              <w:jc w:val="right"/>
              <w:rPr>
                <w:rFonts w:eastAsia="SimSun"/>
                <w:sz w:val="15"/>
                <w:szCs w:val="15"/>
              </w:rPr>
            </w:pPr>
            <w:r w:rsidRPr="00B93EE1">
              <w:rPr>
                <w:rFonts w:eastAsia="SimSun"/>
                <w:sz w:val="15"/>
                <w:szCs w:val="15"/>
              </w:rPr>
              <w:t>7.0</w:t>
            </w:r>
          </w:p>
        </w:tc>
        <w:tc>
          <w:tcPr>
            <w:tcW w:w="923" w:type="dxa"/>
            <w:noWrap/>
            <w:hideMark/>
          </w:tcPr>
          <w:p w14:paraId="6FCE454D" w14:textId="77777777" w:rsidR="00120717" w:rsidRPr="00B93EE1" w:rsidRDefault="00120717" w:rsidP="00D43564">
            <w:pPr>
              <w:ind w:right="170"/>
              <w:jc w:val="right"/>
              <w:rPr>
                <w:rFonts w:eastAsia="SimSun"/>
                <w:sz w:val="15"/>
                <w:szCs w:val="15"/>
              </w:rPr>
            </w:pPr>
            <w:r w:rsidRPr="00B93EE1">
              <w:rPr>
                <w:rFonts w:eastAsia="SimSun"/>
                <w:sz w:val="15"/>
                <w:szCs w:val="15"/>
              </w:rPr>
              <w:t>8.1</w:t>
            </w:r>
          </w:p>
        </w:tc>
        <w:tc>
          <w:tcPr>
            <w:tcW w:w="923" w:type="dxa"/>
            <w:noWrap/>
            <w:hideMark/>
          </w:tcPr>
          <w:p w14:paraId="574588F7" w14:textId="77777777" w:rsidR="00120717" w:rsidRPr="00B93EE1" w:rsidRDefault="00120717" w:rsidP="00D43564">
            <w:pPr>
              <w:ind w:right="170"/>
              <w:jc w:val="right"/>
              <w:rPr>
                <w:rFonts w:eastAsia="SimSun"/>
                <w:sz w:val="15"/>
                <w:szCs w:val="15"/>
              </w:rPr>
            </w:pPr>
            <w:r w:rsidRPr="00B93EE1">
              <w:rPr>
                <w:rFonts w:eastAsia="SimSun"/>
                <w:sz w:val="15"/>
                <w:szCs w:val="15"/>
              </w:rPr>
              <w:t>8.1</w:t>
            </w:r>
          </w:p>
        </w:tc>
        <w:tc>
          <w:tcPr>
            <w:tcW w:w="923" w:type="dxa"/>
            <w:noWrap/>
            <w:hideMark/>
          </w:tcPr>
          <w:p w14:paraId="21A45E73" w14:textId="77777777" w:rsidR="00120717" w:rsidRPr="00B93EE1" w:rsidRDefault="00120717" w:rsidP="00D43564">
            <w:pPr>
              <w:ind w:right="170"/>
              <w:jc w:val="right"/>
              <w:rPr>
                <w:rFonts w:eastAsia="SimSun"/>
                <w:sz w:val="15"/>
                <w:szCs w:val="15"/>
              </w:rPr>
            </w:pPr>
            <w:r w:rsidRPr="00B93EE1">
              <w:rPr>
                <w:rFonts w:eastAsia="SimSun"/>
                <w:sz w:val="15"/>
                <w:szCs w:val="15"/>
              </w:rPr>
              <w:t>8.6</w:t>
            </w:r>
          </w:p>
        </w:tc>
        <w:tc>
          <w:tcPr>
            <w:tcW w:w="923" w:type="dxa"/>
            <w:noWrap/>
            <w:hideMark/>
          </w:tcPr>
          <w:p w14:paraId="39C818C7" w14:textId="77777777" w:rsidR="00120717" w:rsidRPr="00B93EE1" w:rsidRDefault="00120717" w:rsidP="00D43564">
            <w:pPr>
              <w:ind w:right="170"/>
              <w:jc w:val="right"/>
              <w:rPr>
                <w:rFonts w:eastAsia="SimSun"/>
                <w:sz w:val="15"/>
                <w:szCs w:val="15"/>
              </w:rPr>
            </w:pPr>
            <w:r w:rsidRPr="00B93EE1">
              <w:rPr>
                <w:rFonts w:eastAsia="SimSun"/>
                <w:sz w:val="15"/>
                <w:szCs w:val="15"/>
              </w:rPr>
              <w:t>9.2</w:t>
            </w:r>
          </w:p>
        </w:tc>
        <w:tc>
          <w:tcPr>
            <w:tcW w:w="930" w:type="dxa"/>
            <w:noWrap/>
            <w:hideMark/>
          </w:tcPr>
          <w:p w14:paraId="4C6B4A35" w14:textId="77777777" w:rsidR="00120717" w:rsidRPr="00B93EE1" w:rsidRDefault="00120717" w:rsidP="00D43564">
            <w:pPr>
              <w:ind w:right="170"/>
              <w:jc w:val="right"/>
              <w:rPr>
                <w:rFonts w:eastAsia="SimSun"/>
                <w:sz w:val="15"/>
                <w:szCs w:val="15"/>
              </w:rPr>
            </w:pPr>
            <w:r w:rsidRPr="00B93EE1">
              <w:rPr>
                <w:rFonts w:eastAsia="SimSun"/>
                <w:sz w:val="15"/>
                <w:szCs w:val="15"/>
              </w:rPr>
              <w:t>15.3</w:t>
            </w:r>
          </w:p>
        </w:tc>
      </w:tr>
      <w:tr w:rsidR="00120717" w:rsidRPr="00B93EE1" w14:paraId="61AED6F7" w14:textId="77777777" w:rsidTr="00D43564">
        <w:tc>
          <w:tcPr>
            <w:tcW w:w="2547" w:type="dxa"/>
            <w:noWrap/>
            <w:hideMark/>
          </w:tcPr>
          <w:p w14:paraId="73462766" w14:textId="77777777" w:rsidR="00120717" w:rsidRPr="00B93EE1" w:rsidRDefault="00120717" w:rsidP="00D43564">
            <w:pPr>
              <w:jc w:val="left"/>
              <w:rPr>
                <w:rFonts w:eastAsia="SimSun"/>
                <w:sz w:val="15"/>
                <w:szCs w:val="15"/>
              </w:rPr>
            </w:pPr>
            <w:r w:rsidRPr="00B93EE1">
              <w:rPr>
                <w:rFonts w:eastAsia="SimSun"/>
                <w:sz w:val="15"/>
                <w:szCs w:val="15"/>
              </w:rPr>
              <w:t>Other business services</w:t>
            </w:r>
          </w:p>
        </w:tc>
        <w:tc>
          <w:tcPr>
            <w:tcW w:w="924" w:type="dxa"/>
            <w:noWrap/>
            <w:hideMark/>
          </w:tcPr>
          <w:p w14:paraId="65625A1B" w14:textId="77777777" w:rsidR="00120717" w:rsidRPr="00B93EE1" w:rsidRDefault="00120717" w:rsidP="00D43564">
            <w:pPr>
              <w:ind w:right="170"/>
              <w:jc w:val="right"/>
              <w:rPr>
                <w:rFonts w:eastAsia="SimSun"/>
                <w:sz w:val="15"/>
                <w:szCs w:val="15"/>
              </w:rPr>
            </w:pPr>
            <w:r w:rsidRPr="00B93EE1">
              <w:rPr>
                <w:rFonts w:eastAsia="SimSun"/>
                <w:sz w:val="15"/>
                <w:szCs w:val="15"/>
              </w:rPr>
              <w:t>19.8</w:t>
            </w:r>
          </w:p>
        </w:tc>
        <w:tc>
          <w:tcPr>
            <w:tcW w:w="923" w:type="dxa"/>
            <w:noWrap/>
            <w:hideMark/>
          </w:tcPr>
          <w:p w14:paraId="0927A6F0" w14:textId="77777777" w:rsidR="00120717" w:rsidRPr="00B93EE1" w:rsidRDefault="00120717" w:rsidP="00D43564">
            <w:pPr>
              <w:ind w:right="170"/>
              <w:jc w:val="right"/>
              <w:rPr>
                <w:rFonts w:eastAsia="SimSun"/>
                <w:sz w:val="15"/>
                <w:szCs w:val="15"/>
              </w:rPr>
            </w:pPr>
            <w:r w:rsidRPr="00B93EE1">
              <w:rPr>
                <w:rFonts w:eastAsia="SimSun"/>
                <w:sz w:val="15"/>
                <w:szCs w:val="15"/>
              </w:rPr>
              <w:t>18.2</w:t>
            </w:r>
          </w:p>
        </w:tc>
        <w:tc>
          <w:tcPr>
            <w:tcW w:w="923" w:type="dxa"/>
            <w:noWrap/>
            <w:hideMark/>
          </w:tcPr>
          <w:p w14:paraId="513BF298" w14:textId="77777777" w:rsidR="00120717" w:rsidRPr="00B93EE1" w:rsidRDefault="00120717" w:rsidP="00D43564">
            <w:pPr>
              <w:ind w:right="170"/>
              <w:jc w:val="right"/>
              <w:rPr>
                <w:rFonts w:eastAsia="SimSun"/>
                <w:sz w:val="15"/>
                <w:szCs w:val="15"/>
              </w:rPr>
            </w:pPr>
            <w:r w:rsidRPr="00B93EE1">
              <w:rPr>
                <w:rFonts w:eastAsia="SimSun"/>
                <w:sz w:val="15"/>
                <w:szCs w:val="15"/>
              </w:rPr>
              <w:t>17.1</w:t>
            </w:r>
          </w:p>
        </w:tc>
        <w:tc>
          <w:tcPr>
            <w:tcW w:w="923" w:type="dxa"/>
            <w:noWrap/>
            <w:hideMark/>
          </w:tcPr>
          <w:p w14:paraId="03D68DE9" w14:textId="77777777" w:rsidR="00120717" w:rsidRPr="00B93EE1" w:rsidRDefault="00120717" w:rsidP="00D43564">
            <w:pPr>
              <w:ind w:right="170"/>
              <w:jc w:val="right"/>
              <w:rPr>
                <w:rFonts w:eastAsia="SimSun"/>
                <w:sz w:val="15"/>
                <w:szCs w:val="15"/>
              </w:rPr>
            </w:pPr>
            <w:r w:rsidRPr="00B93EE1">
              <w:rPr>
                <w:rFonts w:eastAsia="SimSun"/>
                <w:sz w:val="15"/>
                <w:szCs w:val="15"/>
              </w:rPr>
              <w:t>15.8</w:t>
            </w:r>
          </w:p>
        </w:tc>
        <w:tc>
          <w:tcPr>
            <w:tcW w:w="923" w:type="dxa"/>
            <w:noWrap/>
            <w:hideMark/>
          </w:tcPr>
          <w:p w14:paraId="590ECB35" w14:textId="77777777" w:rsidR="00120717" w:rsidRPr="00B93EE1" w:rsidRDefault="00120717" w:rsidP="00D43564">
            <w:pPr>
              <w:ind w:right="170"/>
              <w:jc w:val="right"/>
              <w:rPr>
                <w:rFonts w:eastAsia="SimSun"/>
                <w:sz w:val="15"/>
                <w:szCs w:val="15"/>
              </w:rPr>
            </w:pPr>
            <w:r w:rsidRPr="00B93EE1">
              <w:rPr>
                <w:rFonts w:eastAsia="SimSun"/>
                <w:sz w:val="15"/>
                <w:szCs w:val="15"/>
              </w:rPr>
              <w:t>16.7</w:t>
            </w:r>
          </w:p>
        </w:tc>
        <w:tc>
          <w:tcPr>
            <w:tcW w:w="923" w:type="dxa"/>
            <w:noWrap/>
            <w:hideMark/>
          </w:tcPr>
          <w:p w14:paraId="27968680" w14:textId="77777777" w:rsidR="00120717" w:rsidRPr="00B93EE1" w:rsidRDefault="00120717" w:rsidP="00D43564">
            <w:pPr>
              <w:ind w:right="170"/>
              <w:jc w:val="right"/>
              <w:rPr>
                <w:rFonts w:eastAsia="SimSun"/>
                <w:sz w:val="15"/>
                <w:szCs w:val="15"/>
              </w:rPr>
            </w:pPr>
            <w:r w:rsidRPr="00B93EE1">
              <w:rPr>
                <w:rFonts w:eastAsia="SimSun"/>
                <w:sz w:val="15"/>
                <w:szCs w:val="15"/>
              </w:rPr>
              <w:t>18.5</w:t>
            </w:r>
          </w:p>
        </w:tc>
        <w:tc>
          <w:tcPr>
            <w:tcW w:w="930" w:type="dxa"/>
            <w:noWrap/>
            <w:hideMark/>
          </w:tcPr>
          <w:p w14:paraId="54B29299" w14:textId="77777777" w:rsidR="00120717" w:rsidRPr="00B93EE1" w:rsidRDefault="00120717" w:rsidP="00D43564">
            <w:pPr>
              <w:ind w:right="170"/>
              <w:jc w:val="right"/>
              <w:rPr>
                <w:rFonts w:eastAsia="SimSun"/>
                <w:sz w:val="15"/>
                <w:szCs w:val="15"/>
              </w:rPr>
            </w:pPr>
            <w:r w:rsidRPr="00B93EE1">
              <w:rPr>
                <w:rFonts w:eastAsia="SimSun"/>
                <w:sz w:val="15"/>
                <w:szCs w:val="15"/>
              </w:rPr>
              <w:t>26.0</w:t>
            </w:r>
          </w:p>
        </w:tc>
      </w:tr>
      <w:tr w:rsidR="00120717" w:rsidRPr="00B93EE1" w14:paraId="2DA0A91C"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0B79A457" w14:textId="77777777" w:rsidR="00120717" w:rsidRPr="00B93EE1" w:rsidRDefault="00120717" w:rsidP="00D43564">
            <w:pPr>
              <w:ind w:left="170"/>
              <w:jc w:val="left"/>
              <w:rPr>
                <w:rFonts w:eastAsia="SimSun"/>
                <w:sz w:val="15"/>
                <w:szCs w:val="15"/>
              </w:rPr>
            </w:pPr>
            <w:r w:rsidRPr="00B93EE1">
              <w:rPr>
                <w:rFonts w:eastAsia="SimSun"/>
                <w:sz w:val="15"/>
                <w:szCs w:val="15"/>
              </w:rPr>
              <w:t>Research and development</w:t>
            </w:r>
          </w:p>
        </w:tc>
        <w:tc>
          <w:tcPr>
            <w:tcW w:w="924" w:type="dxa"/>
            <w:noWrap/>
            <w:hideMark/>
          </w:tcPr>
          <w:p w14:paraId="54A25294" w14:textId="77777777" w:rsidR="00120717" w:rsidRPr="00B93EE1" w:rsidRDefault="00120717" w:rsidP="00D43564">
            <w:pPr>
              <w:ind w:right="170"/>
              <w:jc w:val="right"/>
              <w:rPr>
                <w:rFonts w:eastAsia="SimSun"/>
                <w:sz w:val="15"/>
                <w:szCs w:val="15"/>
              </w:rPr>
            </w:pPr>
            <w:r w:rsidRPr="00B93EE1">
              <w:rPr>
                <w:rFonts w:eastAsia="SimSun"/>
                <w:sz w:val="15"/>
                <w:szCs w:val="15"/>
              </w:rPr>
              <w:t>0.2</w:t>
            </w:r>
          </w:p>
        </w:tc>
        <w:tc>
          <w:tcPr>
            <w:tcW w:w="923" w:type="dxa"/>
            <w:noWrap/>
            <w:hideMark/>
          </w:tcPr>
          <w:p w14:paraId="7246E1B6" w14:textId="77777777" w:rsidR="00120717" w:rsidRPr="00B93EE1" w:rsidRDefault="00120717" w:rsidP="00D43564">
            <w:pPr>
              <w:ind w:right="170"/>
              <w:jc w:val="right"/>
              <w:rPr>
                <w:rFonts w:eastAsia="SimSun"/>
                <w:sz w:val="15"/>
                <w:szCs w:val="15"/>
              </w:rPr>
            </w:pPr>
            <w:r w:rsidRPr="00B93EE1">
              <w:rPr>
                <w:rFonts w:eastAsia="SimSun"/>
                <w:sz w:val="15"/>
                <w:szCs w:val="15"/>
              </w:rPr>
              <w:t>0.3</w:t>
            </w:r>
          </w:p>
        </w:tc>
        <w:tc>
          <w:tcPr>
            <w:tcW w:w="923" w:type="dxa"/>
            <w:noWrap/>
            <w:hideMark/>
          </w:tcPr>
          <w:p w14:paraId="244DFD2D" w14:textId="77777777" w:rsidR="00120717" w:rsidRPr="00B93EE1" w:rsidRDefault="00120717" w:rsidP="00D43564">
            <w:pPr>
              <w:ind w:right="170"/>
              <w:jc w:val="right"/>
              <w:rPr>
                <w:rFonts w:eastAsia="SimSun"/>
                <w:sz w:val="15"/>
                <w:szCs w:val="15"/>
              </w:rPr>
            </w:pPr>
            <w:r w:rsidRPr="00B93EE1">
              <w:rPr>
                <w:rFonts w:eastAsia="SimSun"/>
                <w:sz w:val="15"/>
                <w:szCs w:val="15"/>
              </w:rPr>
              <w:t>0.3</w:t>
            </w:r>
          </w:p>
        </w:tc>
        <w:tc>
          <w:tcPr>
            <w:tcW w:w="923" w:type="dxa"/>
            <w:noWrap/>
            <w:hideMark/>
          </w:tcPr>
          <w:p w14:paraId="5EF67D24" w14:textId="77777777" w:rsidR="00120717" w:rsidRPr="00B93EE1" w:rsidRDefault="00120717" w:rsidP="00D43564">
            <w:pPr>
              <w:ind w:right="170"/>
              <w:jc w:val="right"/>
              <w:rPr>
                <w:rFonts w:eastAsia="SimSun"/>
                <w:sz w:val="15"/>
                <w:szCs w:val="15"/>
              </w:rPr>
            </w:pPr>
            <w:r w:rsidRPr="00B93EE1">
              <w:rPr>
                <w:rFonts w:eastAsia="SimSun"/>
                <w:sz w:val="15"/>
                <w:szCs w:val="15"/>
              </w:rPr>
              <w:t>0.4</w:t>
            </w:r>
          </w:p>
        </w:tc>
        <w:tc>
          <w:tcPr>
            <w:tcW w:w="923" w:type="dxa"/>
            <w:noWrap/>
            <w:hideMark/>
          </w:tcPr>
          <w:p w14:paraId="312BA718" w14:textId="77777777" w:rsidR="00120717" w:rsidRPr="00B93EE1" w:rsidRDefault="00120717" w:rsidP="00D43564">
            <w:pPr>
              <w:ind w:right="170"/>
              <w:jc w:val="right"/>
              <w:rPr>
                <w:rFonts w:eastAsia="SimSun"/>
                <w:sz w:val="15"/>
                <w:szCs w:val="15"/>
              </w:rPr>
            </w:pPr>
            <w:r w:rsidRPr="00B93EE1">
              <w:rPr>
                <w:rFonts w:eastAsia="SimSun"/>
                <w:sz w:val="15"/>
                <w:szCs w:val="15"/>
              </w:rPr>
              <w:t>0.4</w:t>
            </w:r>
          </w:p>
        </w:tc>
        <w:tc>
          <w:tcPr>
            <w:tcW w:w="923" w:type="dxa"/>
            <w:noWrap/>
            <w:hideMark/>
          </w:tcPr>
          <w:p w14:paraId="72B61576" w14:textId="77777777" w:rsidR="00120717" w:rsidRPr="00B93EE1" w:rsidRDefault="00120717" w:rsidP="00D43564">
            <w:pPr>
              <w:ind w:right="170"/>
              <w:jc w:val="right"/>
              <w:rPr>
                <w:rFonts w:eastAsia="SimSun"/>
                <w:sz w:val="15"/>
                <w:szCs w:val="15"/>
              </w:rPr>
            </w:pPr>
            <w:r w:rsidRPr="00B93EE1">
              <w:rPr>
                <w:rFonts w:eastAsia="SimSun"/>
                <w:sz w:val="15"/>
                <w:szCs w:val="15"/>
              </w:rPr>
              <w:t>0.4</w:t>
            </w:r>
          </w:p>
        </w:tc>
        <w:tc>
          <w:tcPr>
            <w:tcW w:w="930" w:type="dxa"/>
            <w:noWrap/>
            <w:hideMark/>
          </w:tcPr>
          <w:p w14:paraId="4E625696" w14:textId="77777777" w:rsidR="00120717" w:rsidRPr="00B93EE1" w:rsidRDefault="00120717" w:rsidP="00D43564">
            <w:pPr>
              <w:ind w:right="170"/>
              <w:jc w:val="right"/>
              <w:rPr>
                <w:rFonts w:eastAsia="SimSun"/>
                <w:sz w:val="15"/>
                <w:szCs w:val="15"/>
              </w:rPr>
            </w:pPr>
            <w:r w:rsidRPr="00B93EE1">
              <w:rPr>
                <w:rFonts w:eastAsia="SimSun"/>
                <w:sz w:val="15"/>
                <w:szCs w:val="15"/>
              </w:rPr>
              <w:t>0.5</w:t>
            </w:r>
          </w:p>
        </w:tc>
      </w:tr>
      <w:tr w:rsidR="00120717" w:rsidRPr="00B93EE1" w14:paraId="57D227B5" w14:textId="77777777" w:rsidTr="00D43564">
        <w:tc>
          <w:tcPr>
            <w:tcW w:w="2547" w:type="dxa"/>
            <w:noWrap/>
            <w:hideMark/>
          </w:tcPr>
          <w:p w14:paraId="0784713D" w14:textId="77777777" w:rsidR="00120717" w:rsidRPr="00B93EE1" w:rsidRDefault="00120717" w:rsidP="00D43564">
            <w:pPr>
              <w:ind w:left="170"/>
              <w:jc w:val="left"/>
              <w:rPr>
                <w:rFonts w:eastAsia="SimSun"/>
                <w:sz w:val="15"/>
                <w:szCs w:val="15"/>
              </w:rPr>
            </w:pPr>
            <w:r w:rsidRPr="00B93EE1">
              <w:rPr>
                <w:rFonts w:eastAsia="SimSun"/>
                <w:sz w:val="15"/>
                <w:szCs w:val="15"/>
              </w:rPr>
              <w:t>Professional and management consulting services</w:t>
            </w:r>
          </w:p>
        </w:tc>
        <w:tc>
          <w:tcPr>
            <w:tcW w:w="924" w:type="dxa"/>
            <w:noWrap/>
            <w:hideMark/>
          </w:tcPr>
          <w:p w14:paraId="7EF8F15F" w14:textId="77777777" w:rsidR="00120717" w:rsidRPr="00B93EE1" w:rsidRDefault="00120717" w:rsidP="00D43564">
            <w:pPr>
              <w:ind w:right="170"/>
              <w:jc w:val="right"/>
              <w:rPr>
                <w:rFonts w:eastAsia="SimSun"/>
                <w:sz w:val="15"/>
                <w:szCs w:val="15"/>
              </w:rPr>
            </w:pPr>
            <w:r w:rsidRPr="00B93EE1">
              <w:rPr>
                <w:rFonts w:eastAsia="SimSun"/>
                <w:sz w:val="15"/>
                <w:szCs w:val="15"/>
              </w:rPr>
              <w:t>4.4</w:t>
            </w:r>
          </w:p>
        </w:tc>
        <w:tc>
          <w:tcPr>
            <w:tcW w:w="923" w:type="dxa"/>
            <w:noWrap/>
            <w:hideMark/>
          </w:tcPr>
          <w:p w14:paraId="2F50BCE7" w14:textId="77777777" w:rsidR="00120717" w:rsidRPr="00B93EE1" w:rsidRDefault="00120717" w:rsidP="00D43564">
            <w:pPr>
              <w:ind w:right="170"/>
              <w:jc w:val="right"/>
              <w:rPr>
                <w:rFonts w:eastAsia="SimSun"/>
                <w:sz w:val="15"/>
                <w:szCs w:val="15"/>
              </w:rPr>
            </w:pPr>
            <w:r w:rsidRPr="00B93EE1">
              <w:rPr>
                <w:rFonts w:eastAsia="SimSun"/>
                <w:sz w:val="15"/>
                <w:szCs w:val="15"/>
              </w:rPr>
              <w:t>5.0</w:t>
            </w:r>
          </w:p>
        </w:tc>
        <w:tc>
          <w:tcPr>
            <w:tcW w:w="923" w:type="dxa"/>
            <w:noWrap/>
            <w:hideMark/>
          </w:tcPr>
          <w:p w14:paraId="476BB944" w14:textId="77777777" w:rsidR="00120717" w:rsidRPr="00B93EE1" w:rsidRDefault="00120717" w:rsidP="00D43564">
            <w:pPr>
              <w:ind w:right="170"/>
              <w:jc w:val="right"/>
              <w:rPr>
                <w:rFonts w:eastAsia="SimSun"/>
                <w:sz w:val="15"/>
                <w:szCs w:val="15"/>
              </w:rPr>
            </w:pPr>
            <w:r w:rsidRPr="00B93EE1">
              <w:rPr>
                <w:rFonts w:eastAsia="SimSun"/>
                <w:sz w:val="15"/>
                <w:szCs w:val="15"/>
              </w:rPr>
              <w:t>5.1</w:t>
            </w:r>
          </w:p>
        </w:tc>
        <w:tc>
          <w:tcPr>
            <w:tcW w:w="923" w:type="dxa"/>
            <w:noWrap/>
            <w:hideMark/>
          </w:tcPr>
          <w:p w14:paraId="0AAF4D42" w14:textId="77777777" w:rsidR="00120717" w:rsidRPr="00B93EE1" w:rsidRDefault="00120717" w:rsidP="00D43564">
            <w:pPr>
              <w:ind w:right="170"/>
              <w:jc w:val="right"/>
              <w:rPr>
                <w:rFonts w:eastAsia="SimSun"/>
                <w:sz w:val="15"/>
                <w:szCs w:val="15"/>
              </w:rPr>
            </w:pPr>
            <w:r w:rsidRPr="00B93EE1">
              <w:rPr>
                <w:rFonts w:eastAsia="SimSun"/>
                <w:sz w:val="15"/>
                <w:szCs w:val="15"/>
              </w:rPr>
              <w:t>5.1</w:t>
            </w:r>
          </w:p>
        </w:tc>
        <w:tc>
          <w:tcPr>
            <w:tcW w:w="923" w:type="dxa"/>
            <w:noWrap/>
            <w:hideMark/>
          </w:tcPr>
          <w:p w14:paraId="02339181" w14:textId="77777777" w:rsidR="00120717" w:rsidRPr="00B93EE1" w:rsidRDefault="00120717" w:rsidP="00D43564">
            <w:pPr>
              <w:ind w:right="170"/>
              <w:jc w:val="right"/>
              <w:rPr>
                <w:rFonts w:eastAsia="SimSun"/>
                <w:sz w:val="15"/>
                <w:szCs w:val="15"/>
              </w:rPr>
            </w:pPr>
            <w:r w:rsidRPr="00B93EE1">
              <w:rPr>
                <w:rFonts w:eastAsia="SimSun"/>
                <w:sz w:val="15"/>
                <w:szCs w:val="15"/>
              </w:rPr>
              <w:t>6.3</w:t>
            </w:r>
          </w:p>
        </w:tc>
        <w:tc>
          <w:tcPr>
            <w:tcW w:w="923" w:type="dxa"/>
            <w:noWrap/>
            <w:hideMark/>
          </w:tcPr>
          <w:p w14:paraId="0F61C201" w14:textId="77777777" w:rsidR="00120717" w:rsidRPr="00B93EE1" w:rsidRDefault="00120717" w:rsidP="00D43564">
            <w:pPr>
              <w:ind w:right="170"/>
              <w:jc w:val="right"/>
              <w:rPr>
                <w:rFonts w:eastAsia="SimSun"/>
                <w:sz w:val="15"/>
                <w:szCs w:val="15"/>
              </w:rPr>
            </w:pPr>
            <w:r w:rsidRPr="00B93EE1">
              <w:rPr>
                <w:rFonts w:eastAsia="SimSun"/>
                <w:sz w:val="15"/>
                <w:szCs w:val="15"/>
              </w:rPr>
              <w:t>7.6</w:t>
            </w:r>
          </w:p>
        </w:tc>
        <w:tc>
          <w:tcPr>
            <w:tcW w:w="930" w:type="dxa"/>
            <w:noWrap/>
            <w:hideMark/>
          </w:tcPr>
          <w:p w14:paraId="345C666D" w14:textId="77777777" w:rsidR="00120717" w:rsidRPr="00B93EE1" w:rsidRDefault="00120717" w:rsidP="00D43564">
            <w:pPr>
              <w:ind w:right="170"/>
              <w:jc w:val="right"/>
              <w:rPr>
                <w:rFonts w:eastAsia="SimSun"/>
                <w:sz w:val="15"/>
                <w:szCs w:val="15"/>
              </w:rPr>
            </w:pPr>
            <w:r w:rsidRPr="00B93EE1">
              <w:rPr>
                <w:rFonts w:eastAsia="SimSun"/>
                <w:sz w:val="15"/>
                <w:szCs w:val="15"/>
              </w:rPr>
              <w:t>11.1</w:t>
            </w:r>
          </w:p>
        </w:tc>
      </w:tr>
      <w:tr w:rsidR="00120717" w:rsidRPr="00B93EE1" w14:paraId="73B40A03"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344A28DD" w14:textId="77777777" w:rsidR="00120717" w:rsidRPr="00B93EE1" w:rsidRDefault="00120717" w:rsidP="00D43564">
            <w:pPr>
              <w:ind w:left="170"/>
              <w:jc w:val="left"/>
              <w:rPr>
                <w:rFonts w:eastAsia="SimSun"/>
                <w:sz w:val="15"/>
                <w:szCs w:val="15"/>
              </w:rPr>
            </w:pPr>
            <w:r w:rsidRPr="00B93EE1">
              <w:rPr>
                <w:rFonts w:eastAsia="SimSun"/>
                <w:sz w:val="15"/>
                <w:szCs w:val="15"/>
              </w:rPr>
              <w:t>Technical, trade-related, and other business services</w:t>
            </w:r>
          </w:p>
        </w:tc>
        <w:tc>
          <w:tcPr>
            <w:tcW w:w="924" w:type="dxa"/>
            <w:noWrap/>
            <w:hideMark/>
          </w:tcPr>
          <w:p w14:paraId="1C0E8586" w14:textId="77777777" w:rsidR="00120717" w:rsidRPr="00B93EE1" w:rsidRDefault="00120717" w:rsidP="00D43564">
            <w:pPr>
              <w:ind w:right="170"/>
              <w:jc w:val="right"/>
              <w:rPr>
                <w:rFonts w:eastAsia="SimSun"/>
                <w:sz w:val="15"/>
                <w:szCs w:val="15"/>
              </w:rPr>
            </w:pPr>
            <w:r w:rsidRPr="00B93EE1">
              <w:rPr>
                <w:rFonts w:eastAsia="SimSun"/>
                <w:sz w:val="15"/>
                <w:szCs w:val="15"/>
              </w:rPr>
              <w:t>15.1</w:t>
            </w:r>
          </w:p>
        </w:tc>
        <w:tc>
          <w:tcPr>
            <w:tcW w:w="923" w:type="dxa"/>
            <w:noWrap/>
            <w:hideMark/>
          </w:tcPr>
          <w:p w14:paraId="742513FC" w14:textId="77777777" w:rsidR="00120717" w:rsidRPr="00B93EE1" w:rsidRDefault="00120717" w:rsidP="00D43564">
            <w:pPr>
              <w:ind w:right="170"/>
              <w:jc w:val="right"/>
              <w:rPr>
                <w:rFonts w:eastAsia="SimSun"/>
                <w:sz w:val="15"/>
                <w:szCs w:val="15"/>
              </w:rPr>
            </w:pPr>
            <w:r w:rsidRPr="00B93EE1">
              <w:rPr>
                <w:rFonts w:eastAsia="SimSun"/>
                <w:sz w:val="15"/>
                <w:szCs w:val="15"/>
              </w:rPr>
              <w:t>12.9</w:t>
            </w:r>
          </w:p>
        </w:tc>
        <w:tc>
          <w:tcPr>
            <w:tcW w:w="923" w:type="dxa"/>
            <w:noWrap/>
            <w:hideMark/>
          </w:tcPr>
          <w:p w14:paraId="4D7C8E20" w14:textId="77777777" w:rsidR="00120717" w:rsidRPr="00B93EE1" w:rsidRDefault="00120717" w:rsidP="00D43564">
            <w:pPr>
              <w:ind w:right="170"/>
              <w:jc w:val="right"/>
              <w:rPr>
                <w:rFonts w:eastAsia="SimSun"/>
                <w:sz w:val="15"/>
                <w:szCs w:val="15"/>
              </w:rPr>
            </w:pPr>
            <w:r w:rsidRPr="00B93EE1">
              <w:rPr>
                <w:rFonts w:eastAsia="SimSun"/>
                <w:sz w:val="15"/>
                <w:szCs w:val="15"/>
              </w:rPr>
              <w:t>11.8</w:t>
            </w:r>
          </w:p>
        </w:tc>
        <w:tc>
          <w:tcPr>
            <w:tcW w:w="923" w:type="dxa"/>
            <w:noWrap/>
            <w:hideMark/>
          </w:tcPr>
          <w:p w14:paraId="3E654AE6" w14:textId="77777777" w:rsidR="00120717" w:rsidRPr="00B93EE1" w:rsidRDefault="00120717" w:rsidP="00D43564">
            <w:pPr>
              <w:ind w:right="170"/>
              <w:jc w:val="right"/>
              <w:rPr>
                <w:rFonts w:eastAsia="SimSun"/>
                <w:sz w:val="15"/>
                <w:szCs w:val="15"/>
              </w:rPr>
            </w:pPr>
            <w:r w:rsidRPr="00B93EE1">
              <w:rPr>
                <w:rFonts w:eastAsia="SimSun"/>
                <w:sz w:val="15"/>
                <w:szCs w:val="15"/>
              </w:rPr>
              <w:t>10.3</w:t>
            </w:r>
          </w:p>
        </w:tc>
        <w:tc>
          <w:tcPr>
            <w:tcW w:w="923" w:type="dxa"/>
            <w:noWrap/>
            <w:hideMark/>
          </w:tcPr>
          <w:p w14:paraId="4EF73B43" w14:textId="77777777" w:rsidR="00120717" w:rsidRPr="00B93EE1" w:rsidRDefault="00120717" w:rsidP="00D43564">
            <w:pPr>
              <w:ind w:right="170"/>
              <w:jc w:val="right"/>
              <w:rPr>
                <w:rFonts w:eastAsia="SimSun"/>
                <w:sz w:val="15"/>
                <w:szCs w:val="15"/>
              </w:rPr>
            </w:pPr>
            <w:r w:rsidRPr="00B93EE1">
              <w:rPr>
                <w:rFonts w:eastAsia="SimSun"/>
                <w:sz w:val="15"/>
                <w:szCs w:val="15"/>
              </w:rPr>
              <w:t>10.0</w:t>
            </w:r>
          </w:p>
        </w:tc>
        <w:tc>
          <w:tcPr>
            <w:tcW w:w="923" w:type="dxa"/>
            <w:noWrap/>
            <w:hideMark/>
          </w:tcPr>
          <w:p w14:paraId="7DA94DC8" w14:textId="77777777" w:rsidR="00120717" w:rsidRPr="00B93EE1" w:rsidRDefault="00120717" w:rsidP="00D43564">
            <w:pPr>
              <w:ind w:right="170"/>
              <w:jc w:val="right"/>
              <w:rPr>
                <w:rFonts w:eastAsia="SimSun"/>
                <w:sz w:val="15"/>
                <w:szCs w:val="15"/>
              </w:rPr>
            </w:pPr>
            <w:r w:rsidRPr="00B93EE1">
              <w:rPr>
                <w:rFonts w:eastAsia="SimSun"/>
                <w:sz w:val="15"/>
                <w:szCs w:val="15"/>
              </w:rPr>
              <w:t>10.5</w:t>
            </w:r>
          </w:p>
        </w:tc>
        <w:tc>
          <w:tcPr>
            <w:tcW w:w="930" w:type="dxa"/>
            <w:noWrap/>
            <w:hideMark/>
          </w:tcPr>
          <w:p w14:paraId="6319E6B1" w14:textId="77777777" w:rsidR="00120717" w:rsidRPr="00B93EE1" w:rsidRDefault="00120717" w:rsidP="00D43564">
            <w:pPr>
              <w:ind w:right="170"/>
              <w:jc w:val="right"/>
              <w:rPr>
                <w:rFonts w:eastAsia="SimSun"/>
                <w:sz w:val="15"/>
                <w:szCs w:val="15"/>
              </w:rPr>
            </w:pPr>
            <w:r w:rsidRPr="00B93EE1">
              <w:rPr>
                <w:rFonts w:eastAsia="SimSun"/>
                <w:sz w:val="15"/>
                <w:szCs w:val="15"/>
              </w:rPr>
              <w:t>14.5</w:t>
            </w:r>
          </w:p>
        </w:tc>
      </w:tr>
      <w:tr w:rsidR="00120717" w:rsidRPr="00B93EE1" w14:paraId="15132E32" w14:textId="77777777" w:rsidTr="00D43564">
        <w:tc>
          <w:tcPr>
            <w:tcW w:w="2547" w:type="dxa"/>
            <w:noWrap/>
            <w:hideMark/>
          </w:tcPr>
          <w:p w14:paraId="5CF0FCA4" w14:textId="77777777" w:rsidR="00120717" w:rsidRPr="00B93EE1" w:rsidRDefault="00120717" w:rsidP="00D43564">
            <w:pPr>
              <w:jc w:val="left"/>
              <w:rPr>
                <w:rFonts w:eastAsia="SimSun"/>
                <w:sz w:val="15"/>
                <w:szCs w:val="15"/>
              </w:rPr>
            </w:pPr>
            <w:r w:rsidRPr="00B93EE1">
              <w:rPr>
                <w:rFonts w:eastAsia="SimSun"/>
                <w:sz w:val="15"/>
                <w:szCs w:val="15"/>
              </w:rPr>
              <w:t>Personal, cultural, and recreational services</w:t>
            </w:r>
          </w:p>
        </w:tc>
        <w:tc>
          <w:tcPr>
            <w:tcW w:w="924" w:type="dxa"/>
            <w:noWrap/>
            <w:hideMark/>
          </w:tcPr>
          <w:p w14:paraId="2418FA9E" w14:textId="77777777" w:rsidR="00120717" w:rsidRPr="00B93EE1" w:rsidRDefault="00120717" w:rsidP="00D43564">
            <w:pPr>
              <w:ind w:right="170"/>
              <w:jc w:val="right"/>
              <w:rPr>
                <w:rFonts w:eastAsia="SimSun"/>
                <w:sz w:val="15"/>
                <w:szCs w:val="15"/>
              </w:rPr>
            </w:pPr>
            <w:r w:rsidRPr="00B93EE1">
              <w:rPr>
                <w:rFonts w:eastAsia="SimSun"/>
                <w:sz w:val="15"/>
                <w:szCs w:val="15"/>
              </w:rPr>
              <w:t>1.2</w:t>
            </w:r>
          </w:p>
        </w:tc>
        <w:tc>
          <w:tcPr>
            <w:tcW w:w="923" w:type="dxa"/>
            <w:noWrap/>
            <w:hideMark/>
          </w:tcPr>
          <w:p w14:paraId="6D534D79" w14:textId="77777777" w:rsidR="00120717" w:rsidRPr="00B93EE1" w:rsidRDefault="00120717" w:rsidP="00D43564">
            <w:pPr>
              <w:ind w:right="170"/>
              <w:jc w:val="right"/>
              <w:rPr>
                <w:rFonts w:eastAsia="SimSun"/>
                <w:sz w:val="15"/>
                <w:szCs w:val="15"/>
              </w:rPr>
            </w:pPr>
            <w:r w:rsidRPr="00B93EE1">
              <w:rPr>
                <w:rFonts w:eastAsia="SimSun"/>
                <w:sz w:val="15"/>
                <w:szCs w:val="15"/>
              </w:rPr>
              <w:t>1.4</w:t>
            </w:r>
          </w:p>
        </w:tc>
        <w:tc>
          <w:tcPr>
            <w:tcW w:w="923" w:type="dxa"/>
            <w:noWrap/>
            <w:hideMark/>
          </w:tcPr>
          <w:p w14:paraId="2FCFFF23" w14:textId="77777777" w:rsidR="00120717" w:rsidRPr="00B93EE1" w:rsidRDefault="00120717" w:rsidP="00D43564">
            <w:pPr>
              <w:ind w:right="170"/>
              <w:jc w:val="right"/>
              <w:rPr>
                <w:rFonts w:eastAsia="SimSun"/>
                <w:sz w:val="15"/>
                <w:szCs w:val="15"/>
              </w:rPr>
            </w:pPr>
            <w:r w:rsidRPr="00B93EE1">
              <w:rPr>
                <w:rFonts w:eastAsia="SimSun"/>
                <w:sz w:val="15"/>
                <w:szCs w:val="15"/>
              </w:rPr>
              <w:t>2.0</w:t>
            </w:r>
          </w:p>
        </w:tc>
        <w:tc>
          <w:tcPr>
            <w:tcW w:w="923" w:type="dxa"/>
            <w:noWrap/>
            <w:hideMark/>
          </w:tcPr>
          <w:p w14:paraId="597BB602" w14:textId="77777777" w:rsidR="00120717" w:rsidRPr="00B93EE1" w:rsidRDefault="00120717" w:rsidP="00D43564">
            <w:pPr>
              <w:ind w:right="170"/>
              <w:jc w:val="right"/>
              <w:rPr>
                <w:rFonts w:eastAsia="SimSun"/>
                <w:sz w:val="15"/>
                <w:szCs w:val="15"/>
              </w:rPr>
            </w:pPr>
            <w:r w:rsidRPr="00B93EE1">
              <w:rPr>
                <w:rFonts w:eastAsia="SimSun"/>
                <w:sz w:val="15"/>
                <w:szCs w:val="15"/>
              </w:rPr>
              <w:t>2.7</w:t>
            </w:r>
          </w:p>
        </w:tc>
        <w:tc>
          <w:tcPr>
            <w:tcW w:w="923" w:type="dxa"/>
            <w:noWrap/>
            <w:hideMark/>
          </w:tcPr>
          <w:p w14:paraId="7A0251D3" w14:textId="77777777" w:rsidR="00120717" w:rsidRPr="00B93EE1" w:rsidRDefault="00120717" w:rsidP="00D43564">
            <w:pPr>
              <w:ind w:right="170"/>
              <w:jc w:val="right"/>
              <w:rPr>
                <w:rFonts w:eastAsia="SimSun"/>
                <w:sz w:val="15"/>
                <w:szCs w:val="15"/>
              </w:rPr>
            </w:pPr>
            <w:r w:rsidRPr="00B93EE1">
              <w:rPr>
                <w:rFonts w:eastAsia="SimSun"/>
                <w:sz w:val="15"/>
                <w:szCs w:val="15"/>
              </w:rPr>
              <w:t>2.9</w:t>
            </w:r>
          </w:p>
        </w:tc>
        <w:tc>
          <w:tcPr>
            <w:tcW w:w="923" w:type="dxa"/>
            <w:noWrap/>
            <w:hideMark/>
          </w:tcPr>
          <w:p w14:paraId="460A0975" w14:textId="77777777" w:rsidR="00120717" w:rsidRPr="00B93EE1" w:rsidRDefault="00120717" w:rsidP="00D43564">
            <w:pPr>
              <w:ind w:right="170"/>
              <w:jc w:val="right"/>
              <w:rPr>
                <w:rFonts w:eastAsia="SimSun"/>
                <w:sz w:val="15"/>
                <w:szCs w:val="15"/>
              </w:rPr>
            </w:pPr>
            <w:r w:rsidRPr="00B93EE1">
              <w:rPr>
                <w:rFonts w:eastAsia="SimSun"/>
                <w:sz w:val="15"/>
                <w:szCs w:val="15"/>
              </w:rPr>
              <w:t>3.5</w:t>
            </w:r>
          </w:p>
        </w:tc>
        <w:tc>
          <w:tcPr>
            <w:tcW w:w="930" w:type="dxa"/>
            <w:noWrap/>
            <w:hideMark/>
          </w:tcPr>
          <w:p w14:paraId="0A19A673" w14:textId="77777777" w:rsidR="00120717" w:rsidRPr="00B93EE1" w:rsidRDefault="00120717" w:rsidP="00D43564">
            <w:pPr>
              <w:ind w:right="170"/>
              <w:jc w:val="right"/>
              <w:rPr>
                <w:rFonts w:eastAsia="SimSun"/>
                <w:sz w:val="15"/>
                <w:szCs w:val="15"/>
              </w:rPr>
            </w:pPr>
            <w:r w:rsidRPr="00B93EE1">
              <w:rPr>
                <w:rFonts w:eastAsia="SimSun"/>
                <w:sz w:val="15"/>
                <w:szCs w:val="15"/>
              </w:rPr>
              <w:t>6.0</w:t>
            </w:r>
          </w:p>
        </w:tc>
      </w:tr>
      <w:tr w:rsidR="00120717" w:rsidRPr="00B93EE1" w14:paraId="113F8CC4"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1BDFF248" w14:textId="77777777" w:rsidR="00120717" w:rsidRPr="00B93EE1" w:rsidRDefault="00120717" w:rsidP="00D43564">
            <w:pPr>
              <w:jc w:val="left"/>
              <w:rPr>
                <w:rFonts w:eastAsia="SimSun"/>
                <w:sz w:val="15"/>
                <w:szCs w:val="15"/>
              </w:rPr>
            </w:pPr>
            <w:r w:rsidRPr="00B93EE1">
              <w:rPr>
                <w:rFonts w:eastAsia="SimSun"/>
                <w:sz w:val="15"/>
                <w:szCs w:val="15"/>
              </w:rPr>
              <w:t>Government services</w:t>
            </w:r>
          </w:p>
        </w:tc>
        <w:tc>
          <w:tcPr>
            <w:tcW w:w="924" w:type="dxa"/>
            <w:noWrap/>
            <w:hideMark/>
          </w:tcPr>
          <w:p w14:paraId="795E7DE2" w14:textId="77777777" w:rsidR="00120717" w:rsidRPr="00B93EE1" w:rsidRDefault="00120717" w:rsidP="00D43564">
            <w:pPr>
              <w:ind w:right="170"/>
              <w:jc w:val="right"/>
              <w:rPr>
                <w:rFonts w:eastAsia="SimSun"/>
                <w:sz w:val="15"/>
                <w:szCs w:val="15"/>
              </w:rPr>
            </w:pPr>
            <w:r w:rsidRPr="00B93EE1">
              <w:rPr>
                <w:rFonts w:eastAsia="SimSun"/>
                <w:sz w:val="15"/>
                <w:szCs w:val="15"/>
              </w:rPr>
              <w:t>1.3</w:t>
            </w:r>
          </w:p>
        </w:tc>
        <w:tc>
          <w:tcPr>
            <w:tcW w:w="923" w:type="dxa"/>
            <w:noWrap/>
            <w:hideMark/>
          </w:tcPr>
          <w:p w14:paraId="39103D1D" w14:textId="77777777" w:rsidR="00120717" w:rsidRPr="00B93EE1" w:rsidRDefault="00120717" w:rsidP="00D43564">
            <w:pPr>
              <w:ind w:right="170"/>
              <w:jc w:val="right"/>
              <w:rPr>
                <w:rFonts w:eastAsia="SimSun"/>
                <w:sz w:val="15"/>
                <w:szCs w:val="15"/>
              </w:rPr>
            </w:pPr>
            <w:r w:rsidRPr="00B93EE1">
              <w:rPr>
                <w:rFonts w:eastAsia="SimSun"/>
                <w:sz w:val="15"/>
                <w:szCs w:val="15"/>
              </w:rPr>
              <w:t>1.2</w:t>
            </w:r>
          </w:p>
        </w:tc>
        <w:tc>
          <w:tcPr>
            <w:tcW w:w="923" w:type="dxa"/>
            <w:noWrap/>
            <w:hideMark/>
          </w:tcPr>
          <w:p w14:paraId="3F055EAC" w14:textId="77777777" w:rsidR="00120717" w:rsidRPr="00B93EE1" w:rsidRDefault="00120717" w:rsidP="00D43564">
            <w:pPr>
              <w:ind w:right="170"/>
              <w:jc w:val="right"/>
              <w:rPr>
                <w:rFonts w:eastAsia="SimSun"/>
                <w:sz w:val="15"/>
                <w:szCs w:val="15"/>
              </w:rPr>
            </w:pPr>
            <w:r w:rsidRPr="00B93EE1">
              <w:rPr>
                <w:rFonts w:eastAsia="SimSun"/>
                <w:sz w:val="15"/>
                <w:szCs w:val="15"/>
              </w:rPr>
              <w:t>1.1</w:t>
            </w:r>
          </w:p>
        </w:tc>
        <w:tc>
          <w:tcPr>
            <w:tcW w:w="923" w:type="dxa"/>
            <w:noWrap/>
            <w:hideMark/>
          </w:tcPr>
          <w:p w14:paraId="4C0DBDDB" w14:textId="77777777" w:rsidR="00120717" w:rsidRPr="00B93EE1" w:rsidRDefault="00120717" w:rsidP="00D43564">
            <w:pPr>
              <w:ind w:right="170"/>
              <w:jc w:val="right"/>
              <w:rPr>
                <w:rFonts w:eastAsia="SimSun"/>
                <w:sz w:val="15"/>
                <w:szCs w:val="15"/>
              </w:rPr>
            </w:pPr>
            <w:r w:rsidRPr="00B93EE1">
              <w:rPr>
                <w:rFonts w:eastAsia="SimSun"/>
                <w:sz w:val="15"/>
                <w:szCs w:val="15"/>
              </w:rPr>
              <w:t>1.0</w:t>
            </w:r>
          </w:p>
        </w:tc>
        <w:tc>
          <w:tcPr>
            <w:tcW w:w="923" w:type="dxa"/>
            <w:noWrap/>
            <w:hideMark/>
          </w:tcPr>
          <w:p w14:paraId="46395E70" w14:textId="77777777" w:rsidR="00120717" w:rsidRPr="00B93EE1" w:rsidRDefault="00120717" w:rsidP="00D43564">
            <w:pPr>
              <w:ind w:right="170"/>
              <w:jc w:val="right"/>
              <w:rPr>
                <w:rFonts w:eastAsia="SimSun"/>
                <w:sz w:val="15"/>
                <w:szCs w:val="15"/>
              </w:rPr>
            </w:pPr>
            <w:r w:rsidRPr="00B93EE1">
              <w:rPr>
                <w:rFonts w:eastAsia="SimSun"/>
                <w:sz w:val="15"/>
                <w:szCs w:val="15"/>
              </w:rPr>
              <w:t>1.0</w:t>
            </w:r>
          </w:p>
        </w:tc>
        <w:tc>
          <w:tcPr>
            <w:tcW w:w="923" w:type="dxa"/>
            <w:noWrap/>
            <w:hideMark/>
          </w:tcPr>
          <w:p w14:paraId="21E8CD66" w14:textId="77777777" w:rsidR="00120717" w:rsidRPr="00B93EE1" w:rsidRDefault="00120717" w:rsidP="00D43564">
            <w:pPr>
              <w:ind w:right="170"/>
              <w:jc w:val="right"/>
              <w:rPr>
                <w:rFonts w:eastAsia="SimSun"/>
                <w:sz w:val="15"/>
                <w:szCs w:val="15"/>
              </w:rPr>
            </w:pPr>
            <w:r w:rsidRPr="00B93EE1">
              <w:rPr>
                <w:rFonts w:eastAsia="SimSun"/>
                <w:sz w:val="15"/>
                <w:szCs w:val="15"/>
              </w:rPr>
              <w:t>1.0</w:t>
            </w:r>
          </w:p>
        </w:tc>
        <w:tc>
          <w:tcPr>
            <w:tcW w:w="930" w:type="dxa"/>
            <w:noWrap/>
            <w:hideMark/>
          </w:tcPr>
          <w:p w14:paraId="7B1C8C4E" w14:textId="77777777" w:rsidR="00120717" w:rsidRPr="00B93EE1" w:rsidRDefault="00120717" w:rsidP="00D43564">
            <w:pPr>
              <w:ind w:right="170"/>
              <w:jc w:val="right"/>
              <w:rPr>
                <w:rFonts w:eastAsia="SimSun"/>
                <w:sz w:val="15"/>
                <w:szCs w:val="15"/>
              </w:rPr>
            </w:pPr>
            <w:r w:rsidRPr="00B93EE1">
              <w:rPr>
                <w:rFonts w:eastAsia="SimSun"/>
                <w:sz w:val="15"/>
                <w:szCs w:val="15"/>
              </w:rPr>
              <w:t>1.2</w:t>
            </w:r>
          </w:p>
        </w:tc>
      </w:tr>
    </w:tbl>
    <w:p w14:paraId="4E07FB91" w14:textId="77777777" w:rsidR="00120717" w:rsidRPr="00B93EE1" w:rsidRDefault="00120717" w:rsidP="003C53A8">
      <w:pPr>
        <w:pStyle w:val="NoteText"/>
        <w:spacing w:before="120"/>
      </w:pPr>
      <w:r w:rsidRPr="00B93EE1">
        <w:t>..</w:t>
      </w:r>
      <w:r w:rsidRPr="00B93EE1">
        <w:tab/>
        <w:t>Not available. Marked as confidential.</w:t>
      </w:r>
    </w:p>
    <w:p w14:paraId="234AC4A4" w14:textId="77777777" w:rsidR="00120717" w:rsidRPr="00B93EE1" w:rsidRDefault="00120717" w:rsidP="003C53A8">
      <w:pPr>
        <w:pStyle w:val="NoteText"/>
        <w:spacing w:before="120"/>
      </w:pPr>
      <w:r w:rsidRPr="00B93EE1">
        <w:t>Note:</w:t>
      </w:r>
      <w:r w:rsidRPr="00B93EE1">
        <w:tab/>
        <w:t>Figures are based on fiscal year: 1 April to 31 March.</w:t>
      </w:r>
    </w:p>
    <w:p w14:paraId="06668EB0" w14:textId="77777777" w:rsidR="00120717" w:rsidRPr="00B93EE1" w:rsidRDefault="00120717" w:rsidP="003C53A8">
      <w:pPr>
        <w:pStyle w:val="NoteText"/>
        <w:spacing w:before="120" w:after="240"/>
      </w:pPr>
      <w:r w:rsidRPr="00B93EE1">
        <w:t>Source:</w:t>
      </w:r>
      <w:r w:rsidRPr="00B93EE1">
        <w:tab/>
        <w:t xml:space="preserve">Statistics New Zealand, </w:t>
      </w:r>
      <w:r w:rsidRPr="00B93EE1">
        <w:rPr>
          <w:i/>
          <w:iCs/>
        </w:rPr>
        <w:t>Balance of Payments</w:t>
      </w:r>
      <w:r w:rsidRPr="00B93EE1">
        <w:t xml:space="preserve">. Viewed at: </w:t>
      </w:r>
      <w:hyperlink r:id="rId24" w:history="1">
        <w:r w:rsidRPr="00B93EE1">
          <w:rPr>
            <w:rStyle w:val="Hyperlink"/>
          </w:rPr>
          <w:t>https://www.stats.govt.nz/topics/balance-of-payments</w:t>
        </w:r>
      </w:hyperlink>
      <w:r w:rsidRPr="00B93EE1">
        <w:t>.</w:t>
      </w:r>
    </w:p>
    <w:p w14:paraId="277CB7E0" w14:textId="77777777" w:rsidR="00120717" w:rsidRPr="00F64A35" w:rsidRDefault="00120717" w:rsidP="00B945A5">
      <w:pPr>
        <w:pStyle w:val="Heading3"/>
      </w:pPr>
      <w:bookmarkStart w:id="45" w:name="_Toc415735846"/>
      <w:bookmarkStart w:id="46" w:name="_Toc97800121"/>
      <w:r w:rsidRPr="00B93EE1">
        <w:t xml:space="preserve">Foreign </w:t>
      </w:r>
      <w:bookmarkEnd w:id="45"/>
      <w:r w:rsidRPr="00B93EE1">
        <w:t>direct investment</w:t>
      </w:r>
      <w:bookmarkEnd w:id="46"/>
    </w:p>
    <w:p w14:paraId="76A6E037" w14:textId="5FEE0DE9" w:rsidR="00120717" w:rsidRPr="00F64A35" w:rsidRDefault="00120717" w:rsidP="00DD5FD9">
      <w:pPr>
        <w:pStyle w:val="BodyText"/>
      </w:pPr>
      <w:r w:rsidRPr="00B93EE1">
        <w:t xml:space="preserve">According to the IMF, New Zealand has higher barriers to </w:t>
      </w:r>
      <w:proofErr w:type="spellStart"/>
      <w:r w:rsidRPr="00B93EE1">
        <w:t>FDI</w:t>
      </w:r>
      <w:proofErr w:type="spellEnd"/>
      <w:r w:rsidRPr="00B93EE1">
        <w:t xml:space="preserve"> than do its peers, which somewhat impedes entry to foreign firms.</w:t>
      </w:r>
      <w:r w:rsidRPr="00B93EE1">
        <w:rPr>
          <w:rStyle w:val="FootnoteReference"/>
          <w:color w:val="2C2825"/>
          <w:szCs w:val="18"/>
          <w:lang w:eastAsia="en-GB"/>
        </w:rPr>
        <w:footnoteReference w:id="38"/>
      </w:r>
      <w:r w:rsidRPr="00B93EE1">
        <w:t xml:space="preserve"> The recent reform of the Overseas Investment Act is an opportunity to attract more high-quality </w:t>
      </w:r>
      <w:proofErr w:type="spellStart"/>
      <w:r w:rsidRPr="00B93EE1">
        <w:t>FDI</w:t>
      </w:r>
      <w:proofErr w:type="spellEnd"/>
      <w:r w:rsidRPr="00B93EE1">
        <w:t xml:space="preserve"> </w:t>
      </w:r>
      <w:r w:rsidRPr="001A2CCA">
        <w:t>(Section 2.4</w:t>
      </w:r>
      <w:r w:rsidRPr="00B93EE1">
        <w:t xml:space="preserve">). The stock of inward </w:t>
      </w:r>
      <w:proofErr w:type="spellStart"/>
      <w:r w:rsidRPr="00B93EE1">
        <w:t>FDI</w:t>
      </w:r>
      <w:proofErr w:type="spellEnd"/>
      <w:r w:rsidRPr="00B93EE1">
        <w:t xml:space="preserve"> increased from </w:t>
      </w:r>
      <w:r w:rsidRPr="00B93EE1">
        <w:lastRenderedPageBreak/>
        <w:t xml:space="preserve">NZD 99.6 billion in 2014/15 (41.1% of GDP) to NZD 130.9 billion in 2020/21 or 40.2% of GDP (Table 1.4). Australia remains the largest overseas investor, albeit decreasingly, accounting for 50.5% of total inward </w:t>
      </w:r>
      <w:proofErr w:type="spellStart"/>
      <w:r w:rsidRPr="00B93EE1">
        <w:t>FDI</w:t>
      </w:r>
      <w:proofErr w:type="spellEnd"/>
      <w:r w:rsidRPr="00B93EE1">
        <w:t xml:space="preserve"> stock as at end-March 2021 (51.6% as at end-March 2015), followed by Hong Kong, China (7.5%); the United</w:t>
      </w:r>
      <w:r w:rsidR="00A04806">
        <w:t> </w:t>
      </w:r>
      <w:r w:rsidRPr="00B93EE1">
        <w:t xml:space="preserve">States (6.7%); Singapore (5.6%); Japan (5.1%); and the United Kingdom (4.4%). By economic activity, the main recipients of inward </w:t>
      </w:r>
      <w:proofErr w:type="spellStart"/>
      <w:r w:rsidRPr="00B93EE1">
        <w:t>FDI</w:t>
      </w:r>
      <w:proofErr w:type="spellEnd"/>
      <w:r w:rsidRPr="00B93EE1">
        <w:t xml:space="preserve"> are the financial sector with 39.1% share, followed by manufacturing (12.9%), and agriculture, forestry, and fishing (7.8%).</w:t>
      </w:r>
    </w:p>
    <w:p w14:paraId="7AF4A7FF" w14:textId="200F7432" w:rsidR="00120717" w:rsidRPr="00B93EE1" w:rsidRDefault="00E724E6" w:rsidP="00E724E6">
      <w:pPr>
        <w:pStyle w:val="Caption"/>
      </w:pPr>
      <w:bookmarkStart w:id="47" w:name="_Toc418783232"/>
      <w:bookmarkStart w:id="48" w:name="_Toc97793384"/>
      <w:r>
        <w:t xml:space="preserve">Table </w:t>
      </w:r>
      <w:r w:rsidR="0012793B">
        <w:fldChar w:fldCharType="begin"/>
      </w:r>
      <w:r w:rsidR="0012793B">
        <w:instrText xml:space="preserve"> STYLEREF 1 \s </w:instrText>
      </w:r>
      <w:r w:rsidR="0012793B">
        <w:fldChar w:fldCharType="separate"/>
      </w:r>
      <w:r w:rsidR="00D37A97">
        <w:rPr>
          <w:noProof/>
        </w:rPr>
        <w:t>1</w:t>
      </w:r>
      <w:r w:rsidR="0012793B">
        <w:rPr>
          <w:noProof/>
        </w:rPr>
        <w:fldChar w:fldCharType="end"/>
      </w:r>
      <w:r w:rsidR="00D37A97">
        <w:t>.</w:t>
      </w:r>
      <w:r w:rsidR="0012793B">
        <w:fldChar w:fldCharType="begin"/>
      </w:r>
      <w:r w:rsidR="0012793B">
        <w:instrText xml:space="preserve"> SEQ T</w:instrText>
      </w:r>
      <w:r w:rsidR="0012793B">
        <w:instrText xml:space="preserve">able \* ARABIC \s 1 </w:instrText>
      </w:r>
      <w:r w:rsidR="0012793B">
        <w:fldChar w:fldCharType="separate"/>
      </w:r>
      <w:r w:rsidR="00D37A97">
        <w:rPr>
          <w:noProof/>
        </w:rPr>
        <w:t>4</w:t>
      </w:r>
      <w:r w:rsidR="0012793B">
        <w:rPr>
          <w:noProof/>
        </w:rPr>
        <w:fldChar w:fldCharType="end"/>
      </w:r>
      <w:r w:rsidR="00120717" w:rsidRPr="00B93EE1">
        <w:t xml:space="preserve"> Inward stock of foreign direct investment, 2014/15-2020/2</w:t>
      </w:r>
      <w:bookmarkEnd w:id="47"/>
      <w:r w:rsidR="00120717" w:rsidRPr="00B93EE1">
        <w:t>1</w:t>
      </w:r>
      <w:bookmarkEnd w:id="48"/>
    </w:p>
    <w:tbl>
      <w:tblPr>
        <w:tblStyle w:val="WTOTable1"/>
        <w:tblW w:w="0" w:type="auto"/>
        <w:tblLayout w:type="fixed"/>
        <w:tblCellMar>
          <w:left w:w="57" w:type="dxa"/>
          <w:right w:w="57" w:type="dxa"/>
        </w:tblCellMar>
        <w:tblLook w:val="04A0" w:firstRow="1" w:lastRow="0" w:firstColumn="1" w:lastColumn="0" w:noHBand="0" w:noVBand="1"/>
      </w:tblPr>
      <w:tblGrid>
        <w:gridCol w:w="2547"/>
        <w:gridCol w:w="924"/>
        <w:gridCol w:w="924"/>
        <w:gridCol w:w="924"/>
        <w:gridCol w:w="924"/>
        <w:gridCol w:w="924"/>
        <w:gridCol w:w="924"/>
        <w:gridCol w:w="925"/>
      </w:tblGrid>
      <w:tr w:rsidR="00120717" w:rsidRPr="00B93EE1" w14:paraId="37A46BCB" w14:textId="77777777" w:rsidTr="00D43564">
        <w:trPr>
          <w:cnfStyle w:val="100000000000" w:firstRow="1" w:lastRow="0" w:firstColumn="0" w:lastColumn="0" w:oddVBand="0" w:evenVBand="0" w:oddHBand="0" w:evenHBand="0" w:firstRowFirstColumn="0" w:firstRowLastColumn="0" w:lastRowFirstColumn="0" w:lastRowLastColumn="0"/>
          <w:tblHeader/>
        </w:trPr>
        <w:tc>
          <w:tcPr>
            <w:tcW w:w="2547" w:type="dxa"/>
            <w:noWrap/>
            <w:hideMark/>
          </w:tcPr>
          <w:p w14:paraId="16DDD1F5" w14:textId="77777777" w:rsidR="00120717" w:rsidRPr="00B93EE1" w:rsidRDefault="00120717" w:rsidP="00D43564">
            <w:pPr>
              <w:jc w:val="left"/>
              <w:rPr>
                <w:rFonts w:cs="Calibri"/>
                <w:b w:val="0"/>
                <w:color w:val="FFFFFF" w:themeColor="background1"/>
                <w:sz w:val="16"/>
                <w:szCs w:val="16"/>
              </w:rPr>
            </w:pPr>
            <w:r w:rsidRPr="00B93EE1">
              <w:rPr>
                <w:rFonts w:cs="Calibri"/>
                <w:color w:val="FFFFFF" w:themeColor="background1"/>
                <w:sz w:val="16"/>
                <w:szCs w:val="16"/>
              </w:rPr>
              <w:t> </w:t>
            </w:r>
          </w:p>
        </w:tc>
        <w:tc>
          <w:tcPr>
            <w:tcW w:w="924" w:type="dxa"/>
            <w:noWrap/>
            <w:hideMark/>
          </w:tcPr>
          <w:p w14:paraId="56CC6245"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2014/15</w:t>
            </w:r>
          </w:p>
        </w:tc>
        <w:tc>
          <w:tcPr>
            <w:tcW w:w="924" w:type="dxa"/>
            <w:noWrap/>
            <w:hideMark/>
          </w:tcPr>
          <w:p w14:paraId="79E2C8BB"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2015/16</w:t>
            </w:r>
          </w:p>
        </w:tc>
        <w:tc>
          <w:tcPr>
            <w:tcW w:w="924" w:type="dxa"/>
            <w:noWrap/>
            <w:hideMark/>
          </w:tcPr>
          <w:p w14:paraId="0C3B9BB5"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2016/17</w:t>
            </w:r>
          </w:p>
        </w:tc>
        <w:tc>
          <w:tcPr>
            <w:tcW w:w="924" w:type="dxa"/>
            <w:noWrap/>
            <w:hideMark/>
          </w:tcPr>
          <w:p w14:paraId="65D12646"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2017/18</w:t>
            </w:r>
          </w:p>
        </w:tc>
        <w:tc>
          <w:tcPr>
            <w:tcW w:w="924" w:type="dxa"/>
            <w:noWrap/>
            <w:hideMark/>
          </w:tcPr>
          <w:p w14:paraId="23B63C20" w14:textId="77777777" w:rsidR="00120717" w:rsidRPr="00B93EE1" w:rsidRDefault="00120717" w:rsidP="00D43564">
            <w:pPr>
              <w:jc w:val="left"/>
              <w:rPr>
                <w:rFonts w:cs="Calibri"/>
                <w:color w:val="FFFFFF" w:themeColor="background1"/>
                <w:sz w:val="16"/>
                <w:szCs w:val="16"/>
              </w:rPr>
            </w:pPr>
            <w:r w:rsidRPr="00B93EE1">
              <w:rPr>
                <w:rFonts w:cs="Calibri"/>
                <w:color w:val="FFFFFF" w:themeColor="background1"/>
                <w:sz w:val="16"/>
                <w:szCs w:val="16"/>
              </w:rPr>
              <w:t>2018/19</w:t>
            </w:r>
          </w:p>
        </w:tc>
        <w:tc>
          <w:tcPr>
            <w:tcW w:w="924" w:type="dxa"/>
            <w:noWrap/>
            <w:hideMark/>
          </w:tcPr>
          <w:p w14:paraId="212D524C"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2019/20</w:t>
            </w:r>
          </w:p>
        </w:tc>
        <w:tc>
          <w:tcPr>
            <w:tcW w:w="925" w:type="dxa"/>
            <w:noWrap/>
            <w:hideMark/>
          </w:tcPr>
          <w:p w14:paraId="62BAE9B3"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2020/21</w:t>
            </w:r>
          </w:p>
        </w:tc>
      </w:tr>
      <w:tr w:rsidR="00120717" w:rsidRPr="00B93EE1" w14:paraId="3A127A91" w14:textId="77777777" w:rsidTr="00D43564">
        <w:tc>
          <w:tcPr>
            <w:tcW w:w="2547" w:type="dxa"/>
            <w:noWrap/>
            <w:hideMark/>
          </w:tcPr>
          <w:p w14:paraId="39C81693" w14:textId="77777777" w:rsidR="00120717" w:rsidRPr="00B93EE1" w:rsidRDefault="00120717" w:rsidP="00D43564">
            <w:pPr>
              <w:jc w:val="left"/>
              <w:rPr>
                <w:rFonts w:cs="Calibri"/>
                <w:b/>
                <w:bCs/>
                <w:color w:val="000000"/>
                <w:sz w:val="16"/>
                <w:szCs w:val="16"/>
              </w:rPr>
            </w:pPr>
            <w:r w:rsidRPr="00B93EE1">
              <w:rPr>
                <w:rFonts w:cs="Calibri"/>
                <w:b/>
                <w:bCs/>
                <w:color w:val="000000"/>
                <w:sz w:val="16"/>
                <w:szCs w:val="16"/>
              </w:rPr>
              <w:t xml:space="preserve">Total inward </w:t>
            </w:r>
            <w:proofErr w:type="spellStart"/>
            <w:r w:rsidRPr="00B93EE1">
              <w:rPr>
                <w:rFonts w:cs="Calibri"/>
                <w:b/>
                <w:bCs/>
                <w:color w:val="000000"/>
                <w:sz w:val="16"/>
                <w:szCs w:val="16"/>
              </w:rPr>
              <w:t>FDI</w:t>
            </w:r>
            <w:proofErr w:type="spellEnd"/>
            <w:r w:rsidRPr="00B93EE1">
              <w:rPr>
                <w:rFonts w:cs="Calibri"/>
                <w:b/>
                <w:bCs/>
                <w:color w:val="000000"/>
                <w:sz w:val="16"/>
                <w:szCs w:val="16"/>
              </w:rPr>
              <w:t xml:space="preserve"> stock (NZD billion)</w:t>
            </w:r>
          </w:p>
        </w:tc>
        <w:tc>
          <w:tcPr>
            <w:tcW w:w="924" w:type="dxa"/>
            <w:noWrap/>
            <w:hideMark/>
          </w:tcPr>
          <w:p w14:paraId="4C16D85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99.6</w:t>
            </w:r>
          </w:p>
        </w:tc>
        <w:tc>
          <w:tcPr>
            <w:tcW w:w="924" w:type="dxa"/>
            <w:noWrap/>
            <w:hideMark/>
          </w:tcPr>
          <w:p w14:paraId="2376AB1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98.6</w:t>
            </w:r>
          </w:p>
        </w:tc>
        <w:tc>
          <w:tcPr>
            <w:tcW w:w="924" w:type="dxa"/>
            <w:noWrap/>
            <w:hideMark/>
          </w:tcPr>
          <w:p w14:paraId="1A8E8C9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101.1</w:t>
            </w:r>
          </w:p>
        </w:tc>
        <w:tc>
          <w:tcPr>
            <w:tcW w:w="924" w:type="dxa"/>
            <w:noWrap/>
            <w:hideMark/>
          </w:tcPr>
          <w:p w14:paraId="69B5352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108.2</w:t>
            </w:r>
          </w:p>
        </w:tc>
        <w:tc>
          <w:tcPr>
            <w:tcW w:w="924" w:type="dxa"/>
            <w:noWrap/>
            <w:hideMark/>
          </w:tcPr>
          <w:p w14:paraId="67C51C5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114.9</w:t>
            </w:r>
          </w:p>
        </w:tc>
        <w:tc>
          <w:tcPr>
            <w:tcW w:w="924" w:type="dxa"/>
            <w:noWrap/>
            <w:hideMark/>
          </w:tcPr>
          <w:p w14:paraId="0FDE1E0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121.6</w:t>
            </w:r>
          </w:p>
        </w:tc>
        <w:tc>
          <w:tcPr>
            <w:tcW w:w="925" w:type="dxa"/>
            <w:noWrap/>
            <w:hideMark/>
          </w:tcPr>
          <w:p w14:paraId="5732271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130.9</w:t>
            </w:r>
          </w:p>
        </w:tc>
      </w:tr>
      <w:tr w:rsidR="00120717" w:rsidRPr="00B93EE1" w14:paraId="6A5AA9CA"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71F4E503" w14:textId="77777777" w:rsidR="00120717" w:rsidRPr="00B93EE1" w:rsidRDefault="00120717" w:rsidP="00D43564">
            <w:pPr>
              <w:ind w:left="284"/>
              <w:jc w:val="left"/>
              <w:rPr>
                <w:rFonts w:cs="Calibri"/>
                <w:b/>
                <w:bCs/>
                <w:color w:val="000000"/>
                <w:sz w:val="16"/>
                <w:szCs w:val="16"/>
              </w:rPr>
            </w:pPr>
            <w:r w:rsidRPr="00B93EE1">
              <w:rPr>
                <w:rFonts w:cs="Calibri"/>
                <w:b/>
                <w:bCs/>
                <w:color w:val="000000"/>
                <w:sz w:val="16"/>
                <w:szCs w:val="16"/>
              </w:rPr>
              <w:t>% of GDP</w:t>
            </w:r>
          </w:p>
        </w:tc>
        <w:tc>
          <w:tcPr>
            <w:tcW w:w="924" w:type="dxa"/>
            <w:noWrap/>
            <w:hideMark/>
          </w:tcPr>
          <w:p w14:paraId="5B02AA3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41.1</w:t>
            </w:r>
          </w:p>
        </w:tc>
        <w:tc>
          <w:tcPr>
            <w:tcW w:w="924" w:type="dxa"/>
            <w:noWrap/>
            <w:hideMark/>
          </w:tcPr>
          <w:p w14:paraId="1048B8D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38.6</w:t>
            </w:r>
          </w:p>
        </w:tc>
        <w:tc>
          <w:tcPr>
            <w:tcW w:w="924" w:type="dxa"/>
            <w:noWrap/>
            <w:hideMark/>
          </w:tcPr>
          <w:p w14:paraId="50E857D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37.2</w:t>
            </w:r>
          </w:p>
        </w:tc>
        <w:tc>
          <w:tcPr>
            <w:tcW w:w="924" w:type="dxa"/>
            <w:noWrap/>
            <w:hideMark/>
          </w:tcPr>
          <w:p w14:paraId="7C7F9CD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37.2</w:t>
            </w:r>
          </w:p>
        </w:tc>
        <w:tc>
          <w:tcPr>
            <w:tcW w:w="924" w:type="dxa"/>
            <w:noWrap/>
            <w:hideMark/>
          </w:tcPr>
          <w:p w14:paraId="46B1B37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37.5</w:t>
            </w:r>
          </w:p>
        </w:tc>
        <w:tc>
          <w:tcPr>
            <w:tcW w:w="924" w:type="dxa"/>
            <w:noWrap/>
            <w:hideMark/>
          </w:tcPr>
          <w:p w14:paraId="2A3F76C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37.7</w:t>
            </w:r>
          </w:p>
        </w:tc>
        <w:tc>
          <w:tcPr>
            <w:tcW w:w="925" w:type="dxa"/>
            <w:noWrap/>
            <w:hideMark/>
          </w:tcPr>
          <w:p w14:paraId="5FBCD59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40.2</w:t>
            </w:r>
          </w:p>
        </w:tc>
      </w:tr>
      <w:tr w:rsidR="00120717" w:rsidRPr="00B93EE1" w14:paraId="2E0DDBC8" w14:textId="77777777" w:rsidTr="00D43564">
        <w:tc>
          <w:tcPr>
            <w:tcW w:w="2547" w:type="dxa"/>
            <w:noWrap/>
            <w:hideMark/>
          </w:tcPr>
          <w:p w14:paraId="3330A378" w14:textId="77777777" w:rsidR="00120717" w:rsidRPr="00B93EE1" w:rsidRDefault="00120717" w:rsidP="00D43564">
            <w:pPr>
              <w:jc w:val="left"/>
              <w:rPr>
                <w:rFonts w:cs="Calibri"/>
                <w:b/>
                <w:bCs/>
                <w:color w:val="000000"/>
                <w:sz w:val="16"/>
                <w:szCs w:val="16"/>
              </w:rPr>
            </w:pPr>
            <w:r w:rsidRPr="00B93EE1">
              <w:rPr>
                <w:rFonts w:cs="Calibri"/>
                <w:b/>
                <w:bCs/>
                <w:color w:val="000000"/>
                <w:sz w:val="16"/>
                <w:szCs w:val="16"/>
              </w:rPr>
              <w:t>By origin (% of total)</w:t>
            </w:r>
          </w:p>
        </w:tc>
        <w:tc>
          <w:tcPr>
            <w:tcW w:w="924" w:type="dxa"/>
            <w:noWrap/>
            <w:hideMark/>
          </w:tcPr>
          <w:p w14:paraId="6BFBFA73" w14:textId="77777777" w:rsidR="00120717" w:rsidRPr="00B93EE1" w:rsidRDefault="00120717" w:rsidP="00D43564">
            <w:pPr>
              <w:ind w:right="170"/>
              <w:rPr>
                <w:rFonts w:cs="Calibri"/>
                <w:b/>
                <w:bCs/>
                <w:color w:val="000000"/>
                <w:sz w:val="16"/>
                <w:szCs w:val="16"/>
              </w:rPr>
            </w:pPr>
          </w:p>
        </w:tc>
        <w:tc>
          <w:tcPr>
            <w:tcW w:w="924" w:type="dxa"/>
            <w:noWrap/>
            <w:hideMark/>
          </w:tcPr>
          <w:p w14:paraId="3CC3EF09" w14:textId="77777777" w:rsidR="00120717" w:rsidRPr="00B93EE1" w:rsidRDefault="00120717" w:rsidP="00D43564">
            <w:pPr>
              <w:ind w:right="170"/>
              <w:rPr>
                <w:sz w:val="20"/>
              </w:rPr>
            </w:pPr>
          </w:p>
        </w:tc>
        <w:tc>
          <w:tcPr>
            <w:tcW w:w="924" w:type="dxa"/>
            <w:noWrap/>
            <w:hideMark/>
          </w:tcPr>
          <w:p w14:paraId="43B5FD6B" w14:textId="77777777" w:rsidR="00120717" w:rsidRPr="00B93EE1" w:rsidRDefault="00120717" w:rsidP="00D43564">
            <w:pPr>
              <w:ind w:right="170"/>
              <w:rPr>
                <w:sz w:val="20"/>
              </w:rPr>
            </w:pPr>
          </w:p>
        </w:tc>
        <w:tc>
          <w:tcPr>
            <w:tcW w:w="924" w:type="dxa"/>
            <w:noWrap/>
            <w:hideMark/>
          </w:tcPr>
          <w:p w14:paraId="37C7C0D9" w14:textId="77777777" w:rsidR="00120717" w:rsidRPr="00B93EE1" w:rsidRDefault="00120717" w:rsidP="00D43564">
            <w:pPr>
              <w:ind w:right="170"/>
              <w:rPr>
                <w:sz w:val="20"/>
              </w:rPr>
            </w:pPr>
          </w:p>
        </w:tc>
        <w:tc>
          <w:tcPr>
            <w:tcW w:w="924" w:type="dxa"/>
            <w:noWrap/>
            <w:hideMark/>
          </w:tcPr>
          <w:p w14:paraId="053E098C" w14:textId="77777777" w:rsidR="00120717" w:rsidRPr="00B93EE1" w:rsidRDefault="00120717" w:rsidP="00D43564">
            <w:pPr>
              <w:ind w:right="170"/>
              <w:rPr>
                <w:sz w:val="20"/>
              </w:rPr>
            </w:pPr>
          </w:p>
        </w:tc>
        <w:tc>
          <w:tcPr>
            <w:tcW w:w="924" w:type="dxa"/>
            <w:noWrap/>
            <w:hideMark/>
          </w:tcPr>
          <w:p w14:paraId="3800E2A0" w14:textId="77777777" w:rsidR="00120717" w:rsidRPr="00B93EE1" w:rsidRDefault="00120717" w:rsidP="00D43564">
            <w:pPr>
              <w:ind w:right="170"/>
              <w:rPr>
                <w:sz w:val="20"/>
              </w:rPr>
            </w:pPr>
          </w:p>
        </w:tc>
        <w:tc>
          <w:tcPr>
            <w:tcW w:w="925" w:type="dxa"/>
            <w:noWrap/>
            <w:hideMark/>
          </w:tcPr>
          <w:p w14:paraId="1502F8C2" w14:textId="77777777" w:rsidR="00120717" w:rsidRPr="00B93EE1" w:rsidRDefault="00120717" w:rsidP="00D43564">
            <w:pPr>
              <w:ind w:right="170"/>
              <w:rPr>
                <w:sz w:val="20"/>
              </w:rPr>
            </w:pPr>
          </w:p>
        </w:tc>
      </w:tr>
      <w:tr w:rsidR="00120717" w:rsidRPr="00B93EE1" w14:paraId="2B426B2E"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64B54F10" w14:textId="77777777" w:rsidR="00120717" w:rsidRPr="00B93EE1" w:rsidRDefault="00120717" w:rsidP="00D43564">
            <w:pPr>
              <w:jc w:val="left"/>
              <w:rPr>
                <w:rFonts w:cs="Calibri"/>
                <w:color w:val="000000"/>
                <w:sz w:val="16"/>
                <w:szCs w:val="16"/>
              </w:rPr>
            </w:pPr>
            <w:r w:rsidRPr="00B93EE1">
              <w:rPr>
                <w:rFonts w:cs="Calibri"/>
                <w:color w:val="000000"/>
                <w:sz w:val="16"/>
                <w:szCs w:val="16"/>
              </w:rPr>
              <w:t>Australia</w:t>
            </w:r>
          </w:p>
        </w:tc>
        <w:tc>
          <w:tcPr>
            <w:tcW w:w="924" w:type="dxa"/>
            <w:noWrap/>
            <w:hideMark/>
          </w:tcPr>
          <w:p w14:paraId="1AA6F6A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51.6</w:t>
            </w:r>
          </w:p>
        </w:tc>
        <w:tc>
          <w:tcPr>
            <w:tcW w:w="924" w:type="dxa"/>
            <w:noWrap/>
            <w:hideMark/>
          </w:tcPr>
          <w:p w14:paraId="12501B7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51.3</w:t>
            </w:r>
          </w:p>
        </w:tc>
        <w:tc>
          <w:tcPr>
            <w:tcW w:w="924" w:type="dxa"/>
            <w:noWrap/>
            <w:hideMark/>
          </w:tcPr>
          <w:p w14:paraId="263B493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52.8</w:t>
            </w:r>
          </w:p>
        </w:tc>
        <w:tc>
          <w:tcPr>
            <w:tcW w:w="924" w:type="dxa"/>
            <w:noWrap/>
            <w:hideMark/>
          </w:tcPr>
          <w:p w14:paraId="4B740B9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52.5</w:t>
            </w:r>
          </w:p>
        </w:tc>
        <w:tc>
          <w:tcPr>
            <w:tcW w:w="924" w:type="dxa"/>
            <w:noWrap/>
            <w:hideMark/>
          </w:tcPr>
          <w:p w14:paraId="3DEE309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48.5</w:t>
            </w:r>
          </w:p>
        </w:tc>
        <w:tc>
          <w:tcPr>
            <w:tcW w:w="924" w:type="dxa"/>
            <w:noWrap/>
            <w:hideMark/>
          </w:tcPr>
          <w:p w14:paraId="75CB17A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49.0</w:t>
            </w:r>
          </w:p>
        </w:tc>
        <w:tc>
          <w:tcPr>
            <w:tcW w:w="925" w:type="dxa"/>
            <w:noWrap/>
            <w:hideMark/>
          </w:tcPr>
          <w:p w14:paraId="0B5732B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50.5</w:t>
            </w:r>
          </w:p>
        </w:tc>
      </w:tr>
      <w:tr w:rsidR="00120717" w:rsidRPr="00B93EE1" w14:paraId="5FA04E26" w14:textId="77777777" w:rsidTr="00D43564">
        <w:tc>
          <w:tcPr>
            <w:tcW w:w="2547" w:type="dxa"/>
            <w:noWrap/>
            <w:hideMark/>
          </w:tcPr>
          <w:p w14:paraId="2E169A7B" w14:textId="77777777" w:rsidR="00120717" w:rsidRPr="00B93EE1" w:rsidRDefault="00120717" w:rsidP="00D43564">
            <w:pPr>
              <w:jc w:val="left"/>
              <w:rPr>
                <w:rFonts w:cs="Calibri"/>
                <w:color w:val="000000"/>
                <w:sz w:val="16"/>
                <w:szCs w:val="16"/>
              </w:rPr>
            </w:pPr>
            <w:r w:rsidRPr="00B93EE1">
              <w:rPr>
                <w:rFonts w:cs="Calibri"/>
                <w:color w:val="000000"/>
                <w:sz w:val="16"/>
                <w:szCs w:val="16"/>
              </w:rPr>
              <w:t>Hong Kong, China</w:t>
            </w:r>
          </w:p>
        </w:tc>
        <w:tc>
          <w:tcPr>
            <w:tcW w:w="924" w:type="dxa"/>
            <w:noWrap/>
            <w:hideMark/>
          </w:tcPr>
          <w:p w14:paraId="3431213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5.6</w:t>
            </w:r>
          </w:p>
        </w:tc>
        <w:tc>
          <w:tcPr>
            <w:tcW w:w="924" w:type="dxa"/>
            <w:noWrap/>
            <w:hideMark/>
          </w:tcPr>
          <w:p w14:paraId="5BD3641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5.6</w:t>
            </w:r>
          </w:p>
        </w:tc>
        <w:tc>
          <w:tcPr>
            <w:tcW w:w="924" w:type="dxa"/>
            <w:noWrap/>
            <w:hideMark/>
          </w:tcPr>
          <w:p w14:paraId="57B29F0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6.0</w:t>
            </w:r>
          </w:p>
        </w:tc>
        <w:tc>
          <w:tcPr>
            <w:tcW w:w="924" w:type="dxa"/>
            <w:noWrap/>
            <w:hideMark/>
          </w:tcPr>
          <w:p w14:paraId="7A8C2BA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8.7</w:t>
            </w:r>
          </w:p>
        </w:tc>
        <w:tc>
          <w:tcPr>
            <w:tcW w:w="924" w:type="dxa"/>
            <w:noWrap/>
            <w:hideMark/>
          </w:tcPr>
          <w:p w14:paraId="6E74A56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8.3</w:t>
            </w:r>
          </w:p>
        </w:tc>
        <w:tc>
          <w:tcPr>
            <w:tcW w:w="924" w:type="dxa"/>
            <w:noWrap/>
            <w:hideMark/>
          </w:tcPr>
          <w:p w14:paraId="0BF934C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8.1</w:t>
            </w:r>
          </w:p>
        </w:tc>
        <w:tc>
          <w:tcPr>
            <w:tcW w:w="925" w:type="dxa"/>
            <w:noWrap/>
            <w:hideMark/>
          </w:tcPr>
          <w:p w14:paraId="7269CB1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7.5</w:t>
            </w:r>
          </w:p>
        </w:tc>
      </w:tr>
      <w:tr w:rsidR="00120717" w:rsidRPr="00B93EE1" w14:paraId="7663FC47"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23E2F521" w14:textId="77777777" w:rsidR="00120717" w:rsidRPr="00B93EE1" w:rsidRDefault="00120717" w:rsidP="00D43564">
            <w:pPr>
              <w:jc w:val="left"/>
              <w:rPr>
                <w:rFonts w:cs="Calibri"/>
                <w:color w:val="000000"/>
                <w:sz w:val="16"/>
                <w:szCs w:val="16"/>
              </w:rPr>
            </w:pPr>
            <w:r w:rsidRPr="00B93EE1">
              <w:rPr>
                <w:rFonts w:cs="Calibri"/>
                <w:color w:val="000000"/>
                <w:sz w:val="16"/>
                <w:szCs w:val="16"/>
              </w:rPr>
              <w:t>United States</w:t>
            </w:r>
          </w:p>
        </w:tc>
        <w:tc>
          <w:tcPr>
            <w:tcW w:w="924" w:type="dxa"/>
            <w:noWrap/>
            <w:hideMark/>
          </w:tcPr>
          <w:p w14:paraId="54E2A6F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8.0</w:t>
            </w:r>
          </w:p>
        </w:tc>
        <w:tc>
          <w:tcPr>
            <w:tcW w:w="924" w:type="dxa"/>
            <w:noWrap/>
            <w:hideMark/>
          </w:tcPr>
          <w:p w14:paraId="162D140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8.1</w:t>
            </w:r>
          </w:p>
        </w:tc>
        <w:tc>
          <w:tcPr>
            <w:tcW w:w="924" w:type="dxa"/>
            <w:noWrap/>
            <w:hideMark/>
          </w:tcPr>
          <w:p w14:paraId="5A65008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8.1</w:t>
            </w:r>
          </w:p>
        </w:tc>
        <w:tc>
          <w:tcPr>
            <w:tcW w:w="924" w:type="dxa"/>
            <w:noWrap/>
            <w:hideMark/>
          </w:tcPr>
          <w:p w14:paraId="6FD2A55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7.6</w:t>
            </w:r>
          </w:p>
        </w:tc>
        <w:tc>
          <w:tcPr>
            <w:tcW w:w="924" w:type="dxa"/>
            <w:noWrap/>
            <w:hideMark/>
          </w:tcPr>
          <w:p w14:paraId="7F1DFA6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6.8</w:t>
            </w:r>
          </w:p>
        </w:tc>
        <w:tc>
          <w:tcPr>
            <w:tcW w:w="924" w:type="dxa"/>
            <w:noWrap/>
            <w:hideMark/>
          </w:tcPr>
          <w:p w14:paraId="3C1D49A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6.6</w:t>
            </w:r>
          </w:p>
        </w:tc>
        <w:tc>
          <w:tcPr>
            <w:tcW w:w="925" w:type="dxa"/>
            <w:noWrap/>
            <w:hideMark/>
          </w:tcPr>
          <w:p w14:paraId="4A9FFAC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6.7</w:t>
            </w:r>
          </w:p>
        </w:tc>
      </w:tr>
      <w:tr w:rsidR="00120717" w:rsidRPr="00B93EE1" w14:paraId="22CC2841" w14:textId="77777777" w:rsidTr="00D43564">
        <w:tc>
          <w:tcPr>
            <w:tcW w:w="2547" w:type="dxa"/>
            <w:noWrap/>
            <w:hideMark/>
          </w:tcPr>
          <w:p w14:paraId="74D23024" w14:textId="77777777" w:rsidR="00120717" w:rsidRPr="00B93EE1" w:rsidRDefault="00120717" w:rsidP="00D43564">
            <w:pPr>
              <w:jc w:val="left"/>
              <w:rPr>
                <w:rFonts w:cs="Calibri"/>
                <w:color w:val="000000"/>
                <w:sz w:val="16"/>
                <w:szCs w:val="16"/>
              </w:rPr>
            </w:pPr>
            <w:r w:rsidRPr="00B93EE1">
              <w:rPr>
                <w:rFonts w:cs="Calibri"/>
                <w:color w:val="000000"/>
                <w:sz w:val="16"/>
                <w:szCs w:val="16"/>
              </w:rPr>
              <w:t>Singapore</w:t>
            </w:r>
          </w:p>
        </w:tc>
        <w:tc>
          <w:tcPr>
            <w:tcW w:w="924" w:type="dxa"/>
            <w:noWrap/>
            <w:hideMark/>
          </w:tcPr>
          <w:p w14:paraId="3E8DDB2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5.1</w:t>
            </w:r>
          </w:p>
        </w:tc>
        <w:tc>
          <w:tcPr>
            <w:tcW w:w="924" w:type="dxa"/>
            <w:noWrap/>
            <w:hideMark/>
          </w:tcPr>
          <w:p w14:paraId="631C32D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5.4</w:t>
            </w:r>
          </w:p>
        </w:tc>
        <w:tc>
          <w:tcPr>
            <w:tcW w:w="924" w:type="dxa"/>
            <w:noWrap/>
            <w:hideMark/>
          </w:tcPr>
          <w:p w14:paraId="4BD64DB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4.0</w:t>
            </w:r>
          </w:p>
        </w:tc>
        <w:tc>
          <w:tcPr>
            <w:tcW w:w="924" w:type="dxa"/>
            <w:noWrap/>
            <w:hideMark/>
          </w:tcPr>
          <w:p w14:paraId="77717FB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3.7</w:t>
            </w:r>
          </w:p>
        </w:tc>
        <w:tc>
          <w:tcPr>
            <w:tcW w:w="924" w:type="dxa"/>
            <w:noWrap/>
            <w:hideMark/>
          </w:tcPr>
          <w:p w14:paraId="583D557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4.3</w:t>
            </w:r>
          </w:p>
        </w:tc>
        <w:tc>
          <w:tcPr>
            <w:tcW w:w="924" w:type="dxa"/>
            <w:noWrap/>
            <w:hideMark/>
          </w:tcPr>
          <w:p w14:paraId="440482E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4.9</w:t>
            </w:r>
          </w:p>
        </w:tc>
        <w:tc>
          <w:tcPr>
            <w:tcW w:w="925" w:type="dxa"/>
            <w:noWrap/>
            <w:hideMark/>
          </w:tcPr>
          <w:p w14:paraId="7C1DEAF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5.6</w:t>
            </w:r>
          </w:p>
        </w:tc>
      </w:tr>
      <w:tr w:rsidR="00120717" w:rsidRPr="00B93EE1" w14:paraId="7A60D9E8"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0D30F858" w14:textId="77777777" w:rsidR="00120717" w:rsidRPr="00B93EE1" w:rsidRDefault="00120717" w:rsidP="00D43564">
            <w:pPr>
              <w:jc w:val="left"/>
              <w:rPr>
                <w:rFonts w:cs="Calibri"/>
                <w:color w:val="000000"/>
                <w:sz w:val="16"/>
                <w:szCs w:val="16"/>
              </w:rPr>
            </w:pPr>
            <w:r w:rsidRPr="00B93EE1">
              <w:rPr>
                <w:rFonts w:cs="Calibri"/>
                <w:color w:val="000000"/>
                <w:sz w:val="16"/>
                <w:szCs w:val="16"/>
              </w:rPr>
              <w:t>Japan</w:t>
            </w:r>
          </w:p>
        </w:tc>
        <w:tc>
          <w:tcPr>
            <w:tcW w:w="924" w:type="dxa"/>
            <w:noWrap/>
            <w:hideMark/>
          </w:tcPr>
          <w:p w14:paraId="2AB3FA5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4.8</w:t>
            </w:r>
          </w:p>
        </w:tc>
        <w:tc>
          <w:tcPr>
            <w:tcW w:w="924" w:type="dxa"/>
            <w:noWrap/>
            <w:hideMark/>
          </w:tcPr>
          <w:p w14:paraId="5596F80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4.9</w:t>
            </w:r>
          </w:p>
        </w:tc>
        <w:tc>
          <w:tcPr>
            <w:tcW w:w="924" w:type="dxa"/>
            <w:noWrap/>
            <w:hideMark/>
          </w:tcPr>
          <w:p w14:paraId="1BB5EF0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5.2</w:t>
            </w:r>
          </w:p>
        </w:tc>
        <w:tc>
          <w:tcPr>
            <w:tcW w:w="924" w:type="dxa"/>
            <w:noWrap/>
            <w:hideMark/>
          </w:tcPr>
          <w:p w14:paraId="2D9F81C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5.1</w:t>
            </w:r>
          </w:p>
        </w:tc>
        <w:tc>
          <w:tcPr>
            <w:tcW w:w="924" w:type="dxa"/>
            <w:noWrap/>
            <w:hideMark/>
          </w:tcPr>
          <w:p w14:paraId="5B42D63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5.0</w:t>
            </w:r>
          </w:p>
        </w:tc>
        <w:tc>
          <w:tcPr>
            <w:tcW w:w="924" w:type="dxa"/>
            <w:noWrap/>
            <w:hideMark/>
          </w:tcPr>
          <w:p w14:paraId="2E2189F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4.7</w:t>
            </w:r>
          </w:p>
        </w:tc>
        <w:tc>
          <w:tcPr>
            <w:tcW w:w="925" w:type="dxa"/>
            <w:noWrap/>
            <w:hideMark/>
          </w:tcPr>
          <w:p w14:paraId="57B5F40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5.1</w:t>
            </w:r>
          </w:p>
        </w:tc>
      </w:tr>
      <w:tr w:rsidR="00120717" w:rsidRPr="00B93EE1" w14:paraId="707C8F91" w14:textId="77777777" w:rsidTr="00D43564">
        <w:tc>
          <w:tcPr>
            <w:tcW w:w="2547" w:type="dxa"/>
            <w:noWrap/>
            <w:hideMark/>
          </w:tcPr>
          <w:p w14:paraId="7094A026" w14:textId="77777777" w:rsidR="00120717" w:rsidRPr="00B93EE1" w:rsidRDefault="00120717" w:rsidP="00D43564">
            <w:pPr>
              <w:jc w:val="left"/>
              <w:rPr>
                <w:rFonts w:cs="Calibri"/>
                <w:color w:val="000000"/>
                <w:sz w:val="16"/>
                <w:szCs w:val="16"/>
              </w:rPr>
            </w:pPr>
            <w:r w:rsidRPr="00B93EE1">
              <w:rPr>
                <w:rFonts w:cs="Calibri"/>
                <w:color w:val="000000"/>
                <w:sz w:val="16"/>
                <w:szCs w:val="16"/>
              </w:rPr>
              <w:t>United Kingdom</w:t>
            </w:r>
          </w:p>
        </w:tc>
        <w:tc>
          <w:tcPr>
            <w:tcW w:w="924" w:type="dxa"/>
            <w:noWrap/>
            <w:hideMark/>
          </w:tcPr>
          <w:p w14:paraId="10D0D03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5.4</w:t>
            </w:r>
          </w:p>
        </w:tc>
        <w:tc>
          <w:tcPr>
            <w:tcW w:w="924" w:type="dxa"/>
            <w:noWrap/>
            <w:hideMark/>
          </w:tcPr>
          <w:p w14:paraId="35D06B9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5.4</w:t>
            </w:r>
          </w:p>
        </w:tc>
        <w:tc>
          <w:tcPr>
            <w:tcW w:w="924" w:type="dxa"/>
            <w:noWrap/>
            <w:hideMark/>
          </w:tcPr>
          <w:p w14:paraId="17BBDCF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5.4</w:t>
            </w:r>
          </w:p>
        </w:tc>
        <w:tc>
          <w:tcPr>
            <w:tcW w:w="924" w:type="dxa"/>
            <w:noWrap/>
            <w:hideMark/>
          </w:tcPr>
          <w:p w14:paraId="1D17CAA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4.8</w:t>
            </w:r>
          </w:p>
        </w:tc>
        <w:tc>
          <w:tcPr>
            <w:tcW w:w="924" w:type="dxa"/>
            <w:noWrap/>
            <w:hideMark/>
          </w:tcPr>
          <w:p w14:paraId="34C6AFA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4.7</w:t>
            </w:r>
          </w:p>
        </w:tc>
        <w:tc>
          <w:tcPr>
            <w:tcW w:w="924" w:type="dxa"/>
            <w:noWrap/>
            <w:hideMark/>
          </w:tcPr>
          <w:p w14:paraId="454E6A7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4.6</w:t>
            </w:r>
          </w:p>
        </w:tc>
        <w:tc>
          <w:tcPr>
            <w:tcW w:w="925" w:type="dxa"/>
            <w:noWrap/>
            <w:hideMark/>
          </w:tcPr>
          <w:p w14:paraId="6C5769A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4.4</w:t>
            </w:r>
          </w:p>
        </w:tc>
      </w:tr>
      <w:tr w:rsidR="00120717" w:rsidRPr="00B93EE1" w14:paraId="0B9B53BC"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759CA988" w14:textId="77777777" w:rsidR="00120717" w:rsidRPr="00B93EE1" w:rsidRDefault="00120717" w:rsidP="00D43564">
            <w:pPr>
              <w:jc w:val="left"/>
              <w:rPr>
                <w:rFonts w:cs="Calibri"/>
                <w:color w:val="000000"/>
                <w:sz w:val="16"/>
                <w:szCs w:val="16"/>
              </w:rPr>
            </w:pPr>
            <w:r w:rsidRPr="00B93EE1">
              <w:rPr>
                <w:rFonts w:cs="Calibri"/>
                <w:color w:val="000000"/>
                <w:sz w:val="16"/>
                <w:szCs w:val="16"/>
              </w:rPr>
              <w:t>Canada</w:t>
            </w:r>
          </w:p>
        </w:tc>
        <w:tc>
          <w:tcPr>
            <w:tcW w:w="924" w:type="dxa"/>
            <w:noWrap/>
            <w:hideMark/>
          </w:tcPr>
          <w:p w14:paraId="1620A9F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3.3</w:t>
            </w:r>
          </w:p>
        </w:tc>
        <w:tc>
          <w:tcPr>
            <w:tcW w:w="924" w:type="dxa"/>
            <w:noWrap/>
            <w:hideMark/>
          </w:tcPr>
          <w:p w14:paraId="7E2611D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4.1</w:t>
            </w:r>
          </w:p>
        </w:tc>
        <w:tc>
          <w:tcPr>
            <w:tcW w:w="924" w:type="dxa"/>
            <w:noWrap/>
            <w:hideMark/>
          </w:tcPr>
          <w:p w14:paraId="1586870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2.7</w:t>
            </w:r>
          </w:p>
        </w:tc>
        <w:tc>
          <w:tcPr>
            <w:tcW w:w="924" w:type="dxa"/>
            <w:noWrap/>
            <w:hideMark/>
          </w:tcPr>
          <w:p w14:paraId="64F5B91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3.4</w:t>
            </w:r>
          </w:p>
        </w:tc>
        <w:tc>
          <w:tcPr>
            <w:tcW w:w="924" w:type="dxa"/>
            <w:noWrap/>
            <w:hideMark/>
          </w:tcPr>
          <w:p w14:paraId="41CA294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4.4</w:t>
            </w:r>
          </w:p>
        </w:tc>
        <w:tc>
          <w:tcPr>
            <w:tcW w:w="924" w:type="dxa"/>
            <w:noWrap/>
            <w:hideMark/>
          </w:tcPr>
          <w:p w14:paraId="039F648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4.2</w:t>
            </w:r>
          </w:p>
        </w:tc>
        <w:tc>
          <w:tcPr>
            <w:tcW w:w="925" w:type="dxa"/>
            <w:noWrap/>
            <w:hideMark/>
          </w:tcPr>
          <w:p w14:paraId="14E0B56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3.5</w:t>
            </w:r>
          </w:p>
        </w:tc>
      </w:tr>
      <w:tr w:rsidR="00120717" w:rsidRPr="00B93EE1" w14:paraId="1FA9491A" w14:textId="77777777" w:rsidTr="00D43564">
        <w:tc>
          <w:tcPr>
            <w:tcW w:w="2547" w:type="dxa"/>
            <w:noWrap/>
            <w:hideMark/>
          </w:tcPr>
          <w:p w14:paraId="60E812AF" w14:textId="77777777" w:rsidR="00120717" w:rsidRPr="00B93EE1" w:rsidRDefault="00120717" w:rsidP="00D43564">
            <w:pPr>
              <w:jc w:val="left"/>
              <w:rPr>
                <w:rFonts w:cs="Calibri"/>
                <w:color w:val="000000"/>
                <w:sz w:val="16"/>
                <w:szCs w:val="16"/>
              </w:rPr>
            </w:pPr>
            <w:r w:rsidRPr="00B93EE1">
              <w:rPr>
                <w:rFonts w:cs="Calibri"/>
                <w:color w:val="000000"/>
                <w:sz w:val="16"/>
                <w:szCs w:val="16"/>
              </w:rPr>
              <w:t>Netherlands</w:t>
            </w:r>
          </w:p>
        </w:tc>
        <w:tc>
          <w:tcPr>
            <w:tcW w:w="924" w:type="dxa"/>
            <w:noWrap/>
            <w:hideMark/>
          </w:tcPr>
          <w:p w14:paraId="4221B70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3.6</w:t>
            </w:r>
          </w:p>
        </w:tc>
        <w:tc>
          <w:tcPr>
            <w:tcW w:w="924" w:type="dxa"/>
            <w:noWrap/>
            <w:hideMark/>
          </w:tcPr>
          <w:p w14:paraId="2277D0F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4.3</w:t>
            </w:r>
          </w:p>
        </w:tc>
        <w:tc>
          <w:tcPr>
            <w:tcW w:w="924" w:type="dxa"/>
            <w:noWrap/>
            <w:hideMark/>
          </w:tcPr>
          <w:p w14:paraId="6997DDB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4.1</w:t>
            </w:r>
          </w:p>
        </w:tc>
        <w:tc>
          <w:tcPr>
            <w:tcW w:w="924" w:type="dxa"/>
            <w:noWrap/>
            <w:hideMark/>
          </w:tcPr>
          <w:p w14:paraId="0221440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3.8</w:t>
            </w:r>
          </w:p>
        </w:tc>
        <w:tc>
          <w:tcPr>
            <w:tcW w:w="924" w:type="dxa"/>
            <w:noWrap/>
            <w:hideMark/>
          </w:tcPr>
          <w:p w14:paraId="513B306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3.6</w:t>
            </w:r>
          </w:p>
        </w:tc>
        <w:tc>
          <w:tcPr>
            <w:tcW w:w="924" w:type="dxa"/>
            <w:noWrap/>
            <w:hideMark/>
          </w:tcPr>
          <w:p w14:paraId="66BDEA2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3.3</w:t>
            </w:r>
          </w:p>
        </w:tc>
        <w:tc>
          <w:tcPr>
            <w:tcW w:w="925" w:type="dxa"/>
            <w:noWrap/>
            <w:hideMark/>
          </w:tcPr>
          <w:p w14:paraId="1ECC536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3.1</w:t>
            </w:r>
          </w:p>
        </w:tc>
      </w:tr>
      <w:tr w:rsidR="00120717" w:rsidRPr="00B93EE1" w14:paraId="41BF93FB"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3C662F61" w14:textId="77777777" w:rsidR="00120717" w:rsidRPr="00B93EE1" w:rsidRDefault="00120717" w:rsidP="00D43564">
            <w:pPr>
              <w:jc w:val="left"/>
              <w:rPr>
                <w:rFonts w:cs="Calibri"/>
                <w:color w:val="000000"/>
                <w:sz w:val="16"/>
                <w:szCs w:val="16"/>
              </w:rPr>
            </w:pPr>
            <w:r w:rsidRPr="00B93EE1">
              <w:rPr>
                <w:rFonts w:cs="Calibri"/>
                <w:color w:val="000000"/>
                <w:sz w:val="16"/>
                <w:szCs w:val="16"/>
              </w:rPr>
              <w:t>Cayman Islands</w:t>
            </w:r>
          </w:p>
        </w:tc>
        <w:tc>
          <w:tcPr>
            <w:tcW w:w="924" w:type="dxa"/>
            <w:noWrap/>
            <w:hideMark/>
          </w:tcPr>
          <w:p w14:paraId="37347A4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1.1</w:t>
            </w:r>
          </w:p>
        </w:tc>
        <w:tc>
          <w:tcPr>
            <w:tcW w:w="924" w:type="dxa"/>
            <w:noWrap/>
            <w:hideMark/>
          </w:tcPr>
          <w:p w14:paraId="7343A7B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1.0</w:t>
            </w:r>
          </w:p>
        </w:tc>
        <w:tc>
          <w:tcPr>
            <w:tcW w:w="924" w:type="dxa"/>
            <w:noWrap/>
            <w:hideMark/>
          </w:tcPr>
          <w:p w14:paraId="0585307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1.1</w:t>
            </w:r>
          </w:p>
        </w:tc>
        <w:tc>
          <w:tcPr>
            <w:tcW w:w="924" w:type="dxa"/>
            <w:noWrap/>
            <w:hideMark/>
          </w:tcPr>
          <w:p w14:paraId="61A0B56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1.1</w:t>
            </w:r>
          </w:p>
        </w:tc>
        <w:tc>
          <w:tcPr>
            <w:tcW w:w="924" w:type="dxa"/>
            <w:noWrap/>
            <w:hideMark/>
          </w:tcPr>
          <w:p w14:paraId="6D5CBD8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w:t>
            </w:r>
          </w:p>
        </w:tc>
        <w:tc>
          <w:tcPr>
            <w:tcW w:w="924" w:type="dxa"/>
            <w:noWrap/>
            <w:hideMark/>
          </w:tcPr>
          <w:p w14:paraId="19E1022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1.9</w:t>
            </w:r>
          </w:p>
        </w:tc>
        <w:tc>
          <w:tcPr>
            <w:tcW w:w="925" w:type="dxa"/>
            <w:noWrap/>
            <w:hideMark/>
          </w:tcPr>
          <w:p w14:paraId="681D292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1.9</w:t>
            </w:r>
          </w:p>
        </w:tc>
      </w:tr>
      <w:tr w:rsidR="00120717" w:rsidRPr="00B93EE1" w14:paraId="18430929" w14:textId="77777777" w:rsidTr="00D43564">
        <w:tc>
          <w:tcPr>
            <w:tcW w:w="2547" w:type="dxa"/>
            <w:noWrap/>
            <w:hideMark/>
          </w:tcPr>
          <w:p w14:paraId="6D9CD87A" w14:textId="77777777" w:rsidR="00120717" w:rsidRPr="00B93EE1" w:rsidRDefault="00120717" w:rsidP="00D43564">
            <w:pPr>
              <w:jc w:val="left"/>
              <w:rPr>
                <w:rFonts w:cs="Calibri"/>
                <w:color w:val="000000"/>
                <w:sz w:val="16"/>
                <w:szCs w:val="16"/>
              </w:rPr>
            </w:pPr>
            <w:r w:rsidRPr="00B93EE1">
              <w:rPr>
                <w:rFonts w:cs="Calibri"/>
                <w:color w:val="000000"/>
                <w:sz w:val="16"/>
                <w:szCs w:val="16"/>
              </w:rPr>
              <w:t>Switzerland</w:t>
            </w:r>
          </w:p>
        </w:tc>
        <w:tc>
          <w:tcPr>
            <w:tcW w:w="924" w:type="dxa"/>
            <w:noWrap/>
            <w:hideMark/>
          </w:tcPr>
          <w:p w14:paraId="3529A76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0.5</w:t>
            </w:r>
          </w:p>
        </w:tc>
        <w:tc>
          <w:tcPr>
            <w:tcW w:w="924" w:type="dxa"/>
            <w:noWrap/>
            <w:hideMark/>
          </w:tcPr>
          <w:p w14:paraId="1A08B1A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c>
          <w:tcPr>
            <w:tcW w:w="924" w:type="dxa"/>
            <w:noWrap/>
            <w:hideMark/>
          </w:tcPr>
          <w:p w14:paraId="5A9512B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0.9</w:t>
            </w:r>
          </w:p>
        </w:tc>
        <w:tc>
          <w:tcPr>
            <w:tcW w:w="924" w:type="dxa"/>
            <w:noWrap/>
            <w:hideMark/>
          </w:tcPr>
          <w:p w14:paraId="23FBBA4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0.6</w:t>
            </w:r>
          </w:p>
        </w:tc>
        <w:tc>
          <w:tcPr>
            <w:tcW w:w="924" w:type="dxa"/>
            <w:noWrap/>
            <w:hideMark/>
          </w:tcPr>
          <w:p w14:paraId="0B26917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1.6</w:t>
            </w:r>
          </w:p>
        </w:tc>
        <w:tc>
          <w:tcPr>
            <w:tcW w:w="924" w:type="dxa"/>
            <w:noWrap/>
            <w:hideMark/>
          </w:tcPr>
          <w:p w14:paraId="61A80B6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1.6</w:t>
            </w:r>
          </w:p>
        </w:tc>
        <w:tc>
          <w:tcPr>
            <w:tcW w:w="925" w:type="dxa"/>
            <w:noWrap/>
            <w:hideMark/>
          </w:tcPr>
          <w:p w14:paraId="06CA419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1.4</w:t>
            </w:r>
          </w:p>
        </w:tc>
      </w:tr>
      <w:tr w:rsidR="00120717" w:rsidRPr="00B93EE1" w14:paraId="54557D45"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5EC3326C" w14:textId="77777777" w:rsidR="00120717" w:rsidRPr="00B93EE1" w:rsidRDefault="00120717" w:rsidP="00D43564">
            <w:pPr>
              <w:jc w:val="left"/>
              <w:rPr>
                <w:rFonts w:cs="Calibri"/>
                <w:color w:val="000000"/>
                <w:sz w:val="16"/>
                <w:szCs w:val="16"/>
              </w:rPr>
            </w:pPr>
            <w:r w:rsidRPr="00B93EE1">
              <w:rPr>
                <w:rFonts w:cs="Calibri"/>
                <w:color w:val="000000"/>
                <w:sz w:val="16"/>
                <w:szCs w:val="16"/>
              </w:rPr>
              <w:t>China</w:t>
            </w:r>
          </w:p>
        </w:tc>
        <w:tc>
          <w:tcPr>
            <w:tcW w:w="924" w:type="dxa"/>
            <w:noWrap/>
            <w:hideMark/>
          </w:tcPr>
          <w:p w14:paraId="017252D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4" w:type="dxa"/>
            <w:noWrap/>
            <w:hideMark/>
          </w:tcPr>
          <w:p w14:paraId="19E0FAB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4" w:type="dxa"/>
            <w:noWrap/>
            <w:hideMark/>
          </w:tcPr>
          <w:p w14:paraId="67000F6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1.1</w:t>
            </w:r>
          </w:p>
        </w:tc>
        <w:tc>
          <w:tcPr>
            <w:tcW w:w="924" w:type="dxa"/>
            <w:noWrap/>
            <w:hideMark/>
          </w:tcPr>
          <w:p w14:paraId="085CF47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w:t>
            </w:r>
          </w:p>
        </w:tc>
        <w:tc>
          <w:tcPr>
            <w:tcW w:w="924" w:type="dxa"/>
            <w:noWrap/>
            <w:hideMark/>
          </w:tcPr>
          <w:p w14:paraId="711A96C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1.3</w:t>
            </w:r>
          </w:p>
        </w:tc>
        <w:tc>
          <w:tcPr>
            <w:tcW w:w="924" w:type="dxa"/>
            <w:noWrap/>
            <w:hideMark/>
          </w:tcPr>
          <w:p w14:paraId="2417103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1.3</w:t>
            </w:r>
          </w:p>
        </w:tc>
        <w:tc>
          <w:tcPr>
            <w:tcW w:w="925" w:type="dxa"/>
            <w:noWrap/>
            <w:hideMark/>
          </w:tcPr>
          <w:p w14:paraId="23D598D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1.3</w:t>
            </w:r>
          </w:p>
        </w:tc>
      </w:tr>
      <w:tr w:rsidR="00120717" w:rsidRPr="00B93EE1" w14:paraId="3CDBA51E" w14:textId="77777777" w:rsidTr="00D43564">
        <w:tc>
          <w:tcPr>
            <w:tcW w:w="2547" w:type="dxa"/>
            <w:noWrap/>
            <w:hideMark/>
          </w:tcPr>
          <w:p w14:paraId="6EB3A1FF" w14:textId="77777777" w:rsidR="00120717" w:rsidRPr="00B93EE1" w:rsidRDefault="00120717" w:rsidP="00D43564">
            <w:pPr>
              <w:jc w:val="left"/>
              <w:rPr>
                <w:rFonts w:cs="Calibri"/>
                <w:color w:val="000000"/>
                <w:sz w:val="16"/>
                <w:szCs w:val="16"/>
              </w:rPr>
            </w:pPr>
            <w:r w:rsidRPr="00B93EE1">
              <w:rPr>
                <w:rFonts w:cs="Calibri"/>
                <w:color w:val="000000"/>
                <w:sz w:val="16"/>
                <w:szCs w:val="16"/>
              </w:rPr>
              <w:t>British Virgin Islands</w:t>
            </w:r>
          </w:p>
        </w:tc>
        <w:tc>
          <w:tcPr>
            <w:tcW w:w="924" w:type="dxa"/>
            <w:noWrap/>
            <w:hideMark/>
          </w:tcPr>
          <w:p w14:paraId="7C5A9CF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3.1</w:t>
            </w:r>
          </w:p>
        </w:tc>
        <w:tc>
          <w:tcPr>
            <w:tcW w:w="924" w:type="dxa"/>
            <w:noWrap/>
            <w:hideMark/>
          </w:tcPr>
          <w:p w14:paraId="3B45585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3.1</w:t>
            </w:r>
          </w:p>
        </w:tc>
        <w:tc>
          <w:tcPr>
            <w:tcW w:w="924" w:type="dxa"/>
            <w:noWrap/>
            <w:hideMark/>
          </w:tcPr>
          <w:p w14:paraId="6E5C12D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3.1</w:t>
            </w:r>
          </w:p>
        </w:tc>
        <w:tc>
          <w:tcPr>
            <w:tcW w:w="924" w:type="dxa"/>
            <w:noWrap/>
            <w:hideMark/>
          </w:tcPr>
          <w:p w14:paraId="5D4BDC9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1.1</w:t>
            </w:r>
          </w:p>
        </w:tc>
        <w:tc>
          <w:tcPr>
            <w:tcW w:w="924" w:type="dxa"/>
            <w:noWrap/>
            <w:hideMark/>
          </w:tcPr>
          <w:p w14:paraId="425B152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1.5</w:t>
            </w:r>
          </w:p>
        </w:tc>
        <w:tc>
          <w:tcPr>
            <w:tcW w:w="924" w:type="dxa"/>
            <w:noWrap/>
            <w:hideMark/>
          </w:tcPr>
          <w:p w14:paraId="3B465F4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1.3</w:t>
            </w:r>
          </w:p>
        </w:tc>
        <w:tc>
          <w:tcPr>
            <w:tcW w:w="925" w:type="dxa"/>
            <w:noWrap/>
            <w:hideMark/>
          </w:tcPr>
          <w:p w14:paraId="15C18A1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1.3</w:t>
            </w:r>
          </w:p>
        </w:tc>
      </w:tr>
      <w:tr w:rsidR="00120717" w:rsidRPr="00B93EE1" w14:paraId="5EAF4B90"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515A470A" w14:textId="77777777" w:rsidR="00120717" w:rsidRPr="00B93EE1" w:rsidRDefault="00120717" w:rsidP="00D43564">
            <w:pPr>
              <w:jc w:val="left"/>
              <w:rPr>
                <w:rFonts w:cs="Calibri"/>
                <w:color w:val="000000"/>
                <w:sz w:val="16"/>
                <w:szCs w:val="16"/>
              </w:rPr>
            </w:pPr>
            <w:r w:rsidRPr="00B93EE1">
              <w:rPr>
                <w:rFonts w:cs="Calibri"/>
                <w:color w:val="000000"/>
                <w:sz w:val="16"/>
                <w:szCs w:val="16"/>
              </w:rPr>
              <w:t>Germany</w:t>
            </w:r>
          </w:p>
        </w:tc>
        <w:tc>
          <w:tcPr>
            <w:tcW w:w="924" w:type="dxa"/>
            <w:noWrap/>
            <w:hideMark/>
          </w:tcPr>
          <w:p w14:paraId="0F642DF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-0.2</w:t>
            </w:r>
          </w:p>
        </w:tc>
        <w:tc>
          <w:tcPr>
            <w:tcW w:w="924" w:type="dxa"/>
            <w:noWrap/>
            <w:hideMark/>
          </w:tcPr>
          <w:p w14:paraId="1145173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c>
          <w:tcPr>
            <w:tcW w:w="924" w:type="dxa"/>
            <w:noWrap/>
            <w:hideMark/>
          </w:tcPr>
          <w:p w14:paraId="22980CF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-0.2</w:t>
            </w:r>
          </w:p>
        </w:tc>
        <w:tc>
          <w:tcPr>
            <w:tcW w:w="924" w:type="dxa"/>
            <w:noWrap/>
            <w:hideMark/>
          </w:tcPr>
          <w:p w14:paraId="3E3743B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4" w:type="dxa"/>
            <w:noWrap/>
            <w:hideMark/>
          </w:tcPr>
          <w:p w14:paraId="692D9C5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0.6</w:t>
            </w:r>
          </w:p>
        </w:tc>
        <w:tc>
          <w:tcPr>
            <w:tcW w:w="924" w:type="dxa"/>
            <w:noWrap/>
            <w:hideMark/>
          </w:tcPr>
          <w:p w14:paraId="15D3C62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0.5</w:t>
            </w:r>
          </w:p>
        </w:tc>
        <w:tc>
          <w:tcPr>
            <w:tcW w:w="925" w:type="dxa"/>
            <w:noWrap/>
            <w:hideMark/>
          </w:tcPr>
          <w:p w14:paraId="78653BA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0.5</w:t>
            </w:r>
          </w:p>
        </w:tc>
      </w:tr>
      <w:tr w:rsidR="00120717" w:rsidRPr="00B93EE1" w14:paraId="0FBB0004" w14:textId="77777777" w:rsidTr="00D43564">
        <w:tc>
          <w:tcPr>
            <w:tcW w:w="2547" w:type="dxa"/>
            <w:noWrap/>
            <w:hideMark/>
          </w:tcPr>
          <w:p w14:paraId="05F2CCED" w14:textId="77777777" w:rsidR="00120717" w:rsidRPr="00B93EE1" w:rsidRDefault="00120717" w:rsidP="00D43564">
            <w:pPr>
              <w:jc w:val="left"/>
              <w:rPr>
                <w:rFonts w:cs="Calibri"/>
                <w:color w:val="000000"/>
                <w:sz w:val="16"/>
                <w:szCs w:val="16"/>
              </w:rPr>
            </w:pPr>
            <w:r w:rsidRPr="00B93EE1">
              <w:rPr>
                <w:rFonts w:cs="Calibri"/>
                <w:color w:val="000000"/>
                <w:sz w:val="16"/>
                <w:szCs w:val="16"/>
              </w:rPr>
              <w:t>Luxembourg</w:t>
            </w:r>
          </w:p>
        </w:tc>
        <w:tc>
          <w:tcPr>
            <w:tcW w:w="924" w:type="dxa"/>
            <w:noWrap/>
            <w:hideMark/>
          </w:tcPr>
          <w:p w14:paraId="4EAC4C0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42ECAD2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c>
          <w:tcPr>
            <w:tcW w:w="924" w:type="dxa"/>
            <w:noWrap/>
            <w:hideMark/>
          </w:tcPr>
          <w:p w14:paraId="0CBAEB5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c>
          <w:tcPr>
            <w:tcW w:w="924" w:type="dxa"/>
            <w:noWrap/>
            <w:hideMark/>
          </w:tcPr>
          <w:p w14:paraId="79E310F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4" w:type="dxa"/>
            <w:noWrap/>
            <w:hideMark/>
          </w:tcPr>
          <w:p w14:paraId="170FB67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0.6</w:t>
            </w:r>
          </w:p>
        </w:tc>
        <w:tc>
          <w:tcPr>
            <w:tcW w:w="924" w:type="dxa"/>
            <w:noWrap/>
            <w:hideMark/>
          </w:tcPr>
          <w:p w14:paraId="50D6E2B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0.5</w:t>
            </w:r>
          </w:p>
        </w:tc>
        <w:tc>
          <w:tcPr>
            <w:tcW w:w="925" w:type="dxa"/>
            <w:noWrap/>
            <w:hideMark/>
          </w:tcPr>
          <w:p w14:paraId="5EC391B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0.5</w:t>
            </w:r>
          </w:p>
        </w:tc>
      </w:tr>
      <w:tr w:rsidR="00120717" w:rsidRPr="00B93EE1" w14:paraId="39D342C9"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13FC52B4" w14:textId="77777777" w:rsidR="00120717" w:rsidRPr="00B93EE1" w:rsidRDefault="00120717" w:rsidP="00D43564">
            <w:pPr>
              <w:jc w:val="left"/>
              <w:rPr>
                <w:rFonts w:cs="Calibri"/>
                <w:b/>
                <w:bCs/>
                <w:color w:val="000000"/>
                <w:sz w:val="16"/>
                <w:szCs w:val="16"/>
              </w:rPr>
            </w:pPr>
            <w:r w:rsidRPr="00B93EE1">
              <w:rPr>
                <w:rFonts w:cs="Calibri"/>
                <w:b/>
                <w:bCs/>
                <w:color w:val="000000"/>
                <w:sz w:val="16"/>
                <w:szCs w:val="16"/>
              </w:rPr>
              <w:t>By economic activity (% of total)</w:t>
            </w:r>
          </w:p>
        </w:tc>
        <w:tc>
          <w:tcPr>
            <w:tcW w:w="924" w:type="dxa"/>
            <w:noWrap/>
            <w:hideMark/>
          </w:tcPr>
          <w:p w14:paraId="51FD6E2D" w14:textId="77777777" w:rsidR="00120717" w:rsidRPr="00B93EE1" w:rsidRDefault="00120717" w:rsidP="00D43564">
            <w:pPr>
              <w:ind w:right="170"/>
              <w:rPr>
                <w:rFonts w:cs="Calibri"/>
                <w:b/>
                <w:bCs/>
                <w:color w:val="000000"/>
                <w:sz w:val="16"/>
                <w:szCs w:val="16"/>
              </w:rPr>
            </w:pPr>
          </w:p>
        </w:tc>
        <w:tc>
          <w:tcPr>
            <w:tcW w:w="924" w:type="dxa"/>
            <w:noWrap/>
            <w:hideMark/>
          </w:tcPr>
          <w:p w14:paraId="02788353" w14:textId="77777777" w:rsidR="00120717" w:rsidRPr="00B93EE1" w:rsidRDefault="00120717" w:rsidP="00D43564">
            <w:pPr>
              <w:ind w:right="170"/>
              <w:rPr>
                <w:sz w:val="20"/>
              </w:rPr>
            </w:pPr>
          </w:p>
        </w:tc>
        <w:tc>
          <w:tcPr>
            <w:tcW w:w="924" w:type="dxa"/>
            <w:noWrap/>
            <w:hideMark/>
          </w:tcPr>
          <w:p w14:paraId="6452CBDC" w14:textId="77777777" w:rsidR="00120717" w:rsidRPr="00B93EE1" w:rsidRDefault="00120717" w:rsidP="00D43564">
            <w:pPr>
              <w:ind w:right="170"/>
              <w:rPr>
                <w:sz w:val="20"/>
              </w:rPr>
            </w:pPr>
          </w:p>
        </w:tc>
        <w:tc>
          <w:tcPr>
            <w:tcW w:w="924" w:type="dxa"/>
            <w:noWrap/>
            <w:hideMark/>
          </w:tcPr>
          <w:p w14:paraId="5763A66B" w14:textId="77777777" w:rsidR="00120717" w:rsidRPr="00B93EE1" w:rsidRDefault="00120717" w:rsidP="00D43564">
            <w:pPr>
              <w:ind w:right="170"/>
              <w:rPr>
                <w:sz w:val="20"/>
              </w:rPr>
            </w:pPr>
          </w:p>
        </w:tc>
        <w:tc>
          <w:tcPr>
            <w:tcW w:w="924" w:type="dxa"/>
            <w:noWrap/>
            <w:hideMark/>
          </w:tcPr>
          <w:p w14:paraId="24F42C24" w14:textId="77777777" w:rsidR="00120717" w:rsidRPr="00B93EE1" w:rsidRDefault="00120717" w:rsidP="00D43564">
            <w:pPr>
              <w:ind w:right="170"/>
              <w:rPr>
                <w:sz w:val="20"/>
              </w:rPr>
            </w:pPr>
          </w:p>
        </w:tc>
        <w:tc>
          <w:tcPr>
            <w:tcW w:w="924" w:type="dxa"/>
            <w:noWrap/>
            <w:hideMark/>
          </w:tcPr>
          <w:p w14:paraId="464E2FAE" w14:textId="77777777" w:rsidR="00120717" w:rsidRPr="00B93EE1" w:rsidRDefault="00120717" w:rsidP="00D43564">
            <w:pPr>
              <w:ind w:right="170"/>
              <w:rPr>
                <w:sz w:val="20"/>
              </w:rPr>
            </w:pPr>
          </w:p>
        </w:tc>
        <w:tc>
          <w:tcPr>
            <w:tcW w:w="925" w:type="dxa"/>
            <w:noWrap/>
            <w:hideMark/>
          </w:tcPr>
          <w:p w14:paraId="4087EE71" w14:textId="77777777" w:rsidR="00120717" w:rsidRPr="00B93EE1" w:rsidRDefault="00120717" w:rsidP="00D43564">
            <w:pPr>
              <w:ind w:right="170"/>
              <w:rPr>
                <w:sz w:val="20"/>
              </w:rPr>
            </w:pPr>
          </w:p>
        </w:tc>
      </w:tr>
      <w:tr w:rsidR="00120717" w:rsidRPr="00B93EE1" w14:paraId="0687F5CA" w14:textId="77777777" w:rsidTr="00D43564">
        <w:tc>
          <w:tcPr>
            <w:tcW w:w="2547" w:type="dxa"/>
            <w:noWrap/>
            <w:hideMark/>
          </w:tcPr>
          <w:p w14:paraId="78B5FBC6" w14:textId="77777777" w:rsidR="00120717" w:rsidRPr="00B93EE1" w:rsidRDefault="00120717" w:rsidP="00D43564">
            <w:pPr>
              <w:jc w:val="left"/>
              <w:rPr>
                <w:rFonts w:cs="Calibri"/>
                <w:sz w:val="16"/>
                <w:szCs w:val="16"/>
              </w:rPr>
            </w:pPr>
            <w:r w:rsidRPr="00B93EE1">
              <w:rPr>
                <w:rFonts w:cs="Calibri"/>
                <w:sz w:val="16"/>
                <w:szCs w:val="16"/>
              </w:rPr>
              <w:t>Agriculture, forestry, and fishing</w:t>
            </w:r>
          </w:p>
        </w:tc>
        <w:tc>
          <w:tcPr>
            <w:tcW w:w="924" w:type="dxa"/>
            <w:noWrap/>
            <w:hideMark/>
          </w:tcPr>
          <w:p w14:paraId="7888C43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6.1</w:t>
            </w:r>
          </w:p>
        </w:tc>
        <w:tc>
          <w:tcPr>
            <w:tcW w:w="924" w:type="dxa"/>
            <w:noWrap/>
            <w:hideMark/>
          </w:tcPr>
          <w:p w14:paraId="31DBE0A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6.9</w:t>
            </w:r>
          </w:p>
        </w:tc>
        <w:tc>
          <w:tcPr>
            <w:tcW w:w="924" w:type="dxa"/>
            <w:noWrap/>
            <w:hideMark/>
          </w:tcPr>
          <w:p w14:paraId="5B4701F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7.2</w:t>
            </w:r>
          </w:p>
        </w:tc>
        <w:tc>
          <w:tcPr>
            <w:tcW w:w="924" w:type="dxa"/>
            <w:noWrap/>
            <w:hideMark/>
          </w:tcPr>
          <w:p w14:paraId="4E237EF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7.3</w:t>
            </w:r>
          </w:p>
        </w:tc>
        <w:tc>
          <w:tcPr>
            <w:tcW w:w="924" w:type="dxa"/>
            <w:noWrap/>
            <w:hideMark/>
          </w:tcPr>
          <w:p w14:paraId="42CB2EA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8.1</w:t>
            </w:r>
          </w:p>
        </w:tc>
        <w:tc>
          <w:tcPr>
            <w:tcW w:w="924" w:type="dxa"/>
            <w:noWrap/>
            <w:hideMark/>
          </w:tcPr>
          <w:p w14:paraId="07C8F9B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8.3</w:t>
            </w:r>
          </w:p>
        </w:tc>
        <w:tc>
          <w:tcPr>
            <w:tcW w:w="925" w:type="dxa"/>
            <w:noWrap/>
            <w:hideMark/>
          </w:tcPr>
          <w:p w14:paraId="441F799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7.8</w:t>
            </w:r>
          </w:p>
        </w:tc>
      </w:tr>
      <w:tr w:rsidR="00120717" w:rsidRPr="00B93EE1" w14:paraId="2F480519"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28ED03C0" w14:textId="77777777" w:rsidR="00120717" w:rsidRPr="00B93EE1" w:rsidRDefault="00120717" w:rsidP="00D43564">
            <w:pPr>
              <w:jc w:val="left"/>
              <w:rPr>
                <w:rFonts w:cs="Calibri"/>
                <w:sz w:val="16"/>
                <w:szCs w:val="16"/>
              </w:rPr>
            </w:pPr>
            <w:r w:rsidRPr="00B93EE1">
              <w:rPr>
                <w:rFonts w:cs="Calibri"/>
                <w:sz w:val="16"/>
                <w:szCs w:val="16"/>
              </w:rPr>
              <w:t>Mining</w:t>
            </w:r>
          </w:p>
        </w:tc>
        <w:tc>
          <w:tcPr>
            <w:tcW w:w="924" w:type="dxa"/>
            <w:noWrap/>
            <w:hideMark/>
          </w:tcPr>
          <w:p w14:paraId="27B5AD8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2.3</w:t>
            </w:r>
          </w:p>
        </w:tc>
        <w:tc>
          <w:tcPr>
            <w:tcW w:w="924" w:type="dxa"/>
            <w:noWrap/>
            <w:hideMark/>
          </w:tcPr>
          <w:p w14:paraId="7FCEC02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1.4</w:t>
            </w:r>
          </w:p>
        </w:tc>
        <w:tc>
          <w:tcPr>
            <w:tcW w:w="924" w:type="dxa"/>
            <w:noWrap/>
            <w:hideMark/>
          </w:tcPr>
          <w:p w14:paraId="39AF57A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4" w:type="dxa"/>
            <w:noWrap/>
            <w:hideMark/>
          </w:tcPr>
          <w:p w14:paraId="16C2DC0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4" w:type="dxa"/>
            <w:noWrap/>
            <w:hideMark/>
          </w:tcPr>
          <w:p w14:paraId="4C7F555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1.9</w:t>
            </w:r>
          </w:p>
        </w:tc>
        <w:tc>
          <w:tcPr>
            <w:tcW w:w="924" w:type="dxa"/>
            <w:noWrap/>
            <w:hideMark/>
          </w:tcPr>
          <w:p w14:paraId="4BF9431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1.5</w:t>
            </w:r>
          </w:p>
        </w:tc>
        <w:tc>
          <w:tcPr>
            <w:tcW w:w="925" w:type="dxa"/>
            <w:noWrap/>
            <w:hideMark/>
          </w:tcPr>
          <w:p w14:paraId="3490BA4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1.6</w:t>
            </w:r>
          </w:p>
        </w:tc>
      </w:tr>
      <w:tr w:rsidR="00120717" w:rsidRPr="00B93EE1" w14:paraId="1767A6CE" w14:textId="77777777" w:rsidTr="00D43564">
        <w:tc>
          <w:tcPr>
            <w:tcW w:w="2547" w:type="dxa"/>
            <w:noWrap/>
            <w:hideMark/>
          </w:tcPr>
          <w:p w14:paraId="78F863D9" w14:textId="77777777" w:rsidR="00120717" w:rsidRPr="00B93EE1" w:rsidRDefault="00120717" w:rsidP="00D43564">
            <w:pPr>
              <w:jc w:val="left"/>
              <w:rPr>
                <w:rFonts w:cs="Calibri"/>
                <w:sz w:val="16"/>
                <w:szCs w:val="16"/>
              </w:rPr>
            </w:pPr>
            <w:r w:rsidRPr="00B93EE1">
              <w:rPr>
                <w:rFonts w:cs="Calibri"/>
                <w:sz w:val="16"/>
                <w:szCs w:val="16"/>
              </w:rPr>
              <w:t>Manufacturing</w:t>
            </w:r>
          </w:p>
        </w:tc>
        <w:tc>
          <w:tcPr>
            <w:tcW w:w="924" w:type="dxa"/>
            <w:noWrap/>
            <w:hideMark/>
          </w:tcPr>
          <w:p w14:paraId="6C1B7EE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14.4</w:t>
            </w:r>
          </w:p>
        </w:tc>
        <w:tc>
          <w:tcPr>
            <w:tcW w:w="924" w:type="dxa"/>
            <w:noWrap/>
            <w:hideMark/>
          </w:tcPr>
          <w:p w14:paraId="75DF721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15.1</w:t>
            </w:r>
          </w:p>
        </w:tc>
        <w:tc>
          <w:tcPr>
            <w:tcW w:w="924" w:type="dxa"/>
            <w:noWrap/>
            <w:hideMark/>
          </w:tcPr>
          <w:p w14:paraId="18292CB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15.3</w:t>
            </w:r>
          </w:p>
        </w:tc>
        <w:tc>
          <w:tcPr>
            <w:tcW w:w="924" w:type="dxa"/>
            <w:noWrap/>
            <w:hideMark/>
          </w:tcPr>
          <w:p w14:paraId="7EA5E15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14.2</w:t>
            </w:r>
          </w:p>
        </w:tc>
        <w:tc>
          <w:tcPr>
            <w:tcW w:w="924" w:type="dxa"/>
            <w:noWrap/>
            <w:hideMark/>
          </w:tcPr>
          <w:p w14:paraId="3CC1C30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14.9</w:t>
            </w:r>
          </w:p>
        </w:tc>
        <w:tc>
          <w:tcPr>
            <w:tcW w:w="924" w:type="dxa"/>
            <w:noWrap/>
            <w:hideMark/>
          </w:tcPr>
          <w:p w14:paraId="7063E53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14.5</w:t>
            </w:r>
          </w:p>
        </w:tc>
        <w:tc>
          <w:tcPr>
            <w:tcW w:w="925" w:type="dxa"/>
            <w:noWrap/>
            <w:hideMark/>
          </w:tcPr>
          <w:p w14:paraId="435E657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12.9</w:t>
            </w:r>
          </w:p>
        </w:tc>
      </w:tr>
      <w:tr w:rsidR="00120717" w:rsidRPr="00B93EE1" w14:paraId="65CBFE9C"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7E76EA20" w14:textId="77777777" w:rsidR="00120717" w:rsidRPr="00B93EE1" w:rsidRDefault="00120717" w:rsidP="00D43564">
            <w:pPr>
              <w:jc w:val="left"/>
              <w:rPr>
                <w:rFonts w:cs="Calibri"/>
                <w:sz w:val="16"/>
                <w:szCs w:val="16"/>
              </w:rPr>
            </w:pPr>
            <w:r w:rsidRPr="00B93EE1">
              <w:rPr>
                <w:rFonts w:cs="Calibri"/>
                <w:sz w:val="16"/>
                <w:szCs w:val="16"/>
              </w:rPr>
              <w:t>Electricity, gas, water, and waste</w:t>
            </w:r>
          </w:p>
        </w:tc>
        <w:tc>
          <w:tcPr>
            <w:tcW w:w="924" w:type="dxa"/>
            <w:noWrap/>
            <w:hideMark/>
          </w:tcPr>
          <w:p w14:paraId="3300BDC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4.7</w:t>
            </w:r>
          </w:p>
        </w:tc>
        <w:tc>
          <w:tcPr>
            <w:tcW w:w="924" w:type="dxa"/>
            <w:noWrap/>
            <w:hideMark/>
          </w:tcPr>
          <w:p w14:paraId="3E7DEB7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2.6</w:t>
            </w:r>
          </w:p>
        </w:tc>
        <w:tc>
          <w:tcPr>
            <w:tcW w:w="924" w:type="dxa"/>
            <w:noWrap/>
            <w:hideMark/>
          </w:tcPr>
          <w:p w14:paraId="7FBE079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2.5</w:t>
            </w:r>
          </w:p>
        </w:tc>
        <w:tc>
          <w:tcPr>
            <w:tcW w:w="924" w:type="dxa"/>
            <w:noWrap/>
            <w:hideMark/>
          </w:tcPr>
          <w:p w14:paraId="38363F3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2.4</w:t>
            </w:r>
          </w:p>
        </w:tc>
        <w:tc>
          <w:tcPr>
            <w:tcW w:w="924" w:type="dxa"/>
            <w:noWrap/>
            <w:hideMark/>
          </w:tcPr>
          <w:p w14:paraId="1424EC1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2.3</w:t>
            </w:r>
          </w:p>
        </w:tc>
        <w:tc>
          <w:tcPr>
            <w:tcW w:w="924" w:type="dxa"/>
            <w:noWrap/>
            <w:hideMark/>
          </w:tcPr>
          <w:p w14:paraId="6781FB8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2.2</w:t>
            </w:r>
          </w:p>
        </w:tc>
        <w:tc>
          <w:tcPr>
            <w:tcW w:w="925" w:type="dxa"/>
            <w:noWrap/>
            <w:hideMark/>
          </w:tcPr>
          <w:p w14:paraId="009B6DB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2.0</w:t>
            </w:r>
          </w:p>
        </w:tc>
      </w:tr>
      <w:tr w:rsidR="00120717" w:rsidRPr="00B93EE1" w14:paraId="16826D16" w14:textId="77777777" w:rsidTr="00D43564">
        <w:tc>
          <w:tcPr>
            <w:tcW w:w="2547" w:type="dxa"/>
            <w:noWrap/>
            <w:hideMark/>
          </w:tcPr>
          <w:p w14:paraId="5DF3824F" w14:textId="77777777" w:rsidR="00120717" w:rsidRPr="00B93EE1" w:rsidRDefault="00120717" w:rsidP="00D43564">
            <w:pPr>
              <w:jc w:val="left"/>
              <w:rPr>
                <w:rFonts w:cs="Calibri"/>
                <w:sz w:val="16"/>
                <w:szCs w:val="16"/>
              </w:rPr>
            </w:pPr>
            <w:r w:rsidRPr="00B93EE1">
              <w:rPr>
                <w:rFonts w:cs="Calibri"/>
                <w:sz w:val="16"/>
                <w:szCs w:val="16"/>
              </w:rPr>
              <w:t>Construction</w:t>
            </w:r>
          </w:p>
        </w:tc>
        <w:tc>
          <w:tcPr>
            <w:tcW w:w="924" w:type="dxa"/>
            <w:noWrap/>
            <w:hideMark/>
          </w:tcPr>
          <w:p w14:paraId="61DAFB9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0.5</w:t>
            </w:r>
          </w:p>
        </w:tc>
        <w:tc>
          <w:tcPr>
            <w:tcW w:w="924" w:type="dxa"/>
            <w:noWrap/>
            <w:hideMark/>
          </w:tcPr>
          <w:p w14:paraId="28F3E45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0.5</w:t>
            </w:r>
          </w:p>
        </w:tc>
        <w:tc>
          <w:tcPr>
            <w:tcW w:w="924" w:type="dxa"/>
            <w:noWrap/>
            <w:hideMark/>
          </w:tcPr>
          <w:p w14:paraId="2F8AE44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0.5</w:t>
            </w:r>
          </w:p>
        </w:tc>
        <w:tc>
          <w:tcPr>
            <w:tcW w:w="924" w:type="dxa"/>
            <w:noWrap/>
            <w:hideMark/>
          </w:tcPr>
          <w:p w14:paraId="7E650E8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0.6</w:t>
            </w:r>
          </w:p>
        </w:tc>
        <w:tc>
          <w:tcPr>
            <w:tcW w:w="924" w:type="dxa"/>
            <w:noWrap/>
            <w:hideMark/>
          </w:tcPr>
          <w:p w14:paraId="05EB1F7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0.5</w:t>
            </w:r>
          </w:p>
        </w:tc>
        <w:tc>
          <w:tcPr>
            <w:tcW w:w="924" w:type="dxa"/>
            <w:noWrap/>
            <w:hideMark/>
          </w:tcPr>
          <w:p w14:paraId="2824058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5" w:type="dxa"/>
            <w:noWrap/>
            <w:hideMark/>
          </w:tcPr>
          <w:p w14:paraId="08F412D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r>
      <w:tr w:rsidR="00120717" w:rsidRPr="00B93EE1" w14:paraId="2F74B03B"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249FAF53" w14:textId="77777777" w:rsidR="00120717" w:rsidRPr="00B93EE1" w:rsidRDefault="00120717" w:rsidP="00D43564">
            <w:pPr>
              <w:jc w:val="left"/>
              <w:rPr>
                <w:rFonts w:cs="Calibri"/>
                <w:sz w:val="16"/>
                <w:szCs w:val="16"/>
              </w:rPr>
            </w:pPr>
            <w:r w:rsidRPr="00B93EE1">
              <w:rPr>
                <w:rFonts w:cs="Calibri"/>
                <w:sz w:val="16"/>
                <w:szCs w:val="16"/>
              </w:rPr>
              <w:t>Wholesale trade</w:t>
            </w:r>
          </w:p>
        </w:tc>
        <w:tc>
          <w:tcPr>
            <w:tcW w:w="924" w:type="dxa"/>
            <w:noWrap/>
            <w:hideMark/>
          </w:tcPr>
          <w:p w14:paraId="1D15BDD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4.5</w:t>
            </w:r>
          </w:p>
        </w:tc>
        <w:tc>
          <w:tcPr>
            <w:tcW w:w="924" w:type="dxa"/>
            <w:noWrap/>
            <w:hideMark/>
          </w:tcPr>
          <w:p w14:paraId="662003B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5.1</w:t>
            </w:r>
          </w:p>
        </w:tc>
        <w:tc>
          <w:tcPr>
            <w:tcW w:w="924" w:type="dxa"/>
            <w:noWrap/>
            <w:hideMark/>
          </w:tcPr>
          <w:p w14:paraId="753C83C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5.1</w:t>
            </w:r>
          </w:p>
        </w:tc>
        <w:tc>
          <w:tcPr>
            <w:tcW w:w="924" w:type="dxa"/>
            <w:noWrap/>
            <w:hideMark/>
          </w:tcPr>
          <w:p w14:paraId="2D98A83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5.5</w:t>
            </w:r>
          </w:p>
        </w:tc>
        <w:tc>
          <w:tcPr>
            <w:tcW w:w="924" w:type="dxa"/>
            <w:noWrap/>
            <w:hideMark/>
          </w:tcPr>
          <w:p w14:paraId="5479F29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5.4</w:t>
            </w:r>
          </w:p>
        </w:tc>
        <w:tc>
          <w:tcPr>
            <w:tcW w:w="924" w:type="dxa"/>
            <w:noWrap/>
            <w:hideMark/>
          </w:tcPr>
          <w:p w14:paraId="655B5B1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6.4</w:t>
            </w:r>
          </w:p>
        </w:tc>
        <w:tc>
          <w:tcPr>
            <w:tcW w:w="925" w:type="dxa"/>
            <w:noWrap/>
            <w:hideMark/>
          </w:tcPr>
          <w:p w14:paraId="7CC1BCC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5.4</w:t>
            </w:r>
          </w:p>
        </w:tc>
      </w:tr>
      <w:tr w:rsidR="00120717" w:rsidRPr="00B93EE1" w14:paraId="3296295D" w14:textId="77777777" w:rsidTr="00D43564">
        <w:tc>
          <w:tcPr>
            <w:tcW w:w="2547" w:type="dxa"/>
            <w:noWrap/>
            <w:hideMark/>
          </w:tcPr>
          <w:p w14:paraId="2A99A445" w14:textId="77777777" w:rsidR="00120717" w:rsidRPr="00B93EE1" w:rsidRDefault="00120717" w:rsidP="00D43564">
            <w:pPr>
              <w:jc w:val="left"/>
              <w:rPr>
                <w:rFonts w:cs="Calibri"/>
                <w:sz w:val="16"/>
                <w:szCs w:val="16"/>
              </w:rPr>
            </w:pPr>
            <w:r w:rsidRPr="00B93EE1">
              <w:rPr>
                <w:rFonts w:cs="Calibri"/>
                <w:sz w:val="16"/>
                <w:szCs w:val="16"/>
              </w:rPr>
              <w:t>Retail trade</w:t>
            </w:r>
          </w:p>
        </w:tc>
        <w:tc>
          <w:tcPr>
            <w:tcW w:w="924" w:type="dxa"/>
            <w:noWrap/>
            <w:hideMark/>
          </w:tcPr>
          <w:p w14:paraId="633FC6E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6.7</w:t>
            </w:r>
          </w:p>
        </w:tc>
        <w:tc>
          <w:tcPr>
            <w:tcW w:w="924" w:type="dxa"/>
            <w:noWrap/>
            <w:hideMark/>
          </w:tcPr>
          <w:p w14:paraId="20BF667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5.5</w:t>
            </w:r>
          </w:p>
        </w:tc>
        <w:tc>
          <w:tcPr>
            <w:tcW w:w="924" w:type="dxa"/>
            <w:noWrap/>
            <w:hideMark/>
          </w:tcPr>
          <w:p w14:paraId="69CA9A1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6.0</w:t>
            </w:r>
          </w:p>
        </w:tc>
        <w:tc>
          <w:tcPr>
            <w:tcW w:w="924" w:type="dxa"/>
            <w:noWrap/>
            <w:hideMark/>
          </w:tcPr>
          <w:p w14:paraId="1C85C99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5.4</w:t>
            </w:r>
          </w:p>
        </w:tc>
        <w:tc>
          <w:tcPr>
            <w:tcW w:w="924" w:type="dxa"/>
            <w:noWrap/>
            <w:hideMark/>
          </w:tcPr>
          <w:p w14:paraId="53941F1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5.9</w:t>
            </w:r>
          </w:p>
        </w:tc>
        <w:tc>
          <w:tcPr>
            <w:tcW w:w="924" w:type="dxa"/>
            <w:noWrap/>
            <w:hideMark/>
          </w:tcPr>
          <w:p w14:paraId="7478AE4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5.4</w:t>
            </w:r>
          </w:p>
        </w:tc>
        <w:tc>
          <w:tcPr>
            <w:tcW w:w="925" w:type="dxa"/>
            <w:noWrap/>
            <w:hideMark/>
          </w:tcPr>
          <w:p w14:paraId="54C2071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5.2</w:t>
            </w:r>
          </w:p>
        </w:tc>
      </w:tr>
      <w:tr w:rsidR="00120717" w:rsidRPr="00B93EE1" w14:paraId="46E4E082"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45BD96DF" w14:textId="77777777" w:rsidR="00120717" w:rsidRPr="00B93EE1" w:rsidRDefault="00120717" w:rsidP="00D43564">
            <w:pPr>
              <w:jc w:val="left"/>
              <w:rPr>
                <w:rFonts w:cs="Calibri"/>
                <w:sz w:val="16"/>
                <w:szCs w:val="16"/>
              </w:rPr>
            </w:pPr>
            <w:r w:rsidRPr="00B93EE1">
              <w:rPr>
                <w:rFonts w:cs="Calibri"/>
                <w:sz w:val="16"/>
                <w:szCs w:val="16"/>
              </w:rPr>
              <w:t>Accommodation and food services</w:t>
            </w:r>
          </w:p>
        </w:tc>
        <w:tc>
          <w:tcPr>
            <w:tcW w:w="924" w:type="dxa"/>
            <w:noWrap/>
            <w:hideMark/>
          </w:tcPr>
          <w:p w14:paraId="1551CAC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0.8</w:t>
            </w:r>
          </w:p>
        </w:tc>
        <w:tc>
          <w:tcPr>
            <w:tcW w:w="924" w:type="dxa"/>
            <w:noWrap/>
            <w:hideMark/>
          </w:tcPr>
          <w:p w14:paraId="7DDDA92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4" w:type="dxa"/>
            <w:noWrap/>
            <w:hideMark/>
          </w:tcPr>
          <w:p w14:paraId="3BAF547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0.8</w:t>
            </w:r>
          </w:p>
        </w:tc>
        <w:tc>
          <w:tcPr>
            <w:tcW w:w="924" w:type="dxa"/>
            <w:noWrap/>
            <w:hideMark/>
          </w:tcPr>
          <w:p w14:paraId="50478F6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1.0</w:t>
            </w:r>
          </w:p>
        </w:tc>
        <w:tc>
          <w:tcPr>
            <w:tcW w:w="924" w:type="dxa"/>
            <w:noWrap/>
            <w:hideMark/>
          </w:tcPr>
          <w:p w14:paraId="645625A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1.1</w:t>
            </w:r>
          </w:p>
        </w:tc>
        <w:tc>
          <w:tcPr>
            <w:tcW w:w="924" w:type="dxa"/>
            <w:noWrap/>
            <w:hideMark/>
          </w:tcPr>
          <w:p w14:paraId="57EF8EC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1.8</w:t>
            </w:r>
          </w:p>
        </w:tc>
        <w:tc>
          <w:tcPr>
            <w:tcW w:w="925" w:type="dxa"/>
            <w:noWrap/>
            <w:hideMark/>
          </w:tcPr>
          <w:p w14:paraId="1C46101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2.1</w:t>
            </w:r>
          </w:p>
        </w:tc>
      </w:tr>
      <w:tr w:rsidR="00120717" w:rsidRPr="00B93EE1" w14:paraId="3DFD1712" w14:textId="77777777" w:rsidTr="00D43564">
        <w:tc>
          <w:tcPr>
            <w:tcW w:w="2547" w:type="dxa"/>
            <w:noWrap/>
            <w:hideMark/>
          </w:tcPr>
          <w:p w14:paraId="5585A900" w14:textId="77777777" w:rsidR="00120717" w:rsidRPr="00B93EE1" w:rsidRDefault="00120717" w:rsidP="00D43564">
            <w:pPr>
              <w:jc w:val="left"/>
              <w:rPr>
                <w:rFonts w:cs="Calibri"/>
                <w:sz w:val="16"/>
                <w:szCs w:val="16"/>
              </w:rPr>
            </w:pPr>
            <w:r w:rsidRPr="00B93EE1">
              <w:rPr>
                <w:rFonts w:cs="Calibri"/>
                <w:sz w:val="16"/>
                <w:szCs w:val="16"/>
              </w:rPr>
              <w:t>Transport, postal, and warehousing</w:t>
            </w:r>
          </w:p>
        </w:tc>
        <w:tc>
          <w:tcPr>
            <w:tcW w:w="924" w:type="dxa"/>
            <w:noWrap/>
            <w:hideMark/>
          </w:tcPr>
          <w:p w14:paraId="03B153A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c>
          <w:tcPr>
            <w:tcW w:w="924" w:type="dxa"/>
            <w:noWrap/>
            <w:hideMark/>
          </w:tcPr>
          <w:p w14:paraId="44E3ABD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0.2</w:t>
            </w:r>
          </w:p>
        </w:tc>
        <w:tc>
          <w:tcPr>
            <w:tcW w:w="924" w:type="dxa"/>
            <w:noWrap/>
            <w:hideMark/>
          </w:tcPr>
          <w:p w14:paraId="6D439C4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0.8</w:t>
            </w:r>
          </w:p>
        </w:tc>
        <w:tc>
          <w:tcPr>
            <w:tcW w:w="924" w:type="dxa"/>
            <w:noWrap/>
            <w:hideMark/>
          </w:tcPr>
          <w:p w14:paraId="55CF862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4" w:type="dxa"/>
            <w:noWrap/>
            <w:hideMark/>
          </w:tcPr>
          <w:p w14:paraId="155AFDF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0.6</w:t>
            </w:r>
          </w:p>
        </w:tc>
        <w:tc>
          <w:tcPr>
            <w:tcW w:w="924" w:type="dxa"/>
            <w:noWrap/>
            <w:hideMark/>
          </w:tcPr>
          <w:p w14:paraId="5ECD6DC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5" w:type="dxa"/>
            <w:noWrap/>
            <w:hideMark/>
          </w:tcPr>
          <w:p w14:paraId="09F959F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0.8</w:t>
            </w:r>
          </w:p>
        </w:tc>
      </w:tr>
      <w:tr w:rsidR="00120717" w:rsidRPr="00B93EE1" w14:paraId="44D8D665"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316AEC2D" w14:textId="77777777" w:rsidR="00120717" w:rsidRPr="00B93EE1" w:rsidRDefault="00120717" w:rsidP="00D43564">
            <w:pPr>
              <w:jc w:val="left"/>
              <w:rPr>
                <w:rFonts w:cs="Calibri"/>
                <w:sz w:val="16"/>
                <w:szCs w:val="16"/>
              </w:rPr>
            </w:pPr>
            <w:r w:rsidRPr="00B93EE1">
              <w:rPr>
                <w:rFonts w:cs="Calibri"/>
                <w:sz w:val="16"/>
                <w:szCs w:val="16"/>
              </w:rPr>
              <w:t>Information media and telecommunications</w:t>
            </w:r>
          </w:p>
        </w:tc>
        <w:tc>
          <w:tcPr>
            <w:tcW w:w="924" w:type="dxa"/>
            <w:noWrap/>
            <w:hideMark/>
          </w:tcPr>
          <w:p w14:paraId="6DF33DA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2.4</w:t>
            </w:r>
          </w:p>
        </w:tc>
        <w:tc>
          <w:tcPr>
            <w:tcW w:w="924" w:type="dxa"/>
            <w:noWrap/>
            <w:hideMark/>
          </w:tcPr>
          <w:p w14:paraId="27904E0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2.9</w:t>
            </w:r>
          </w:p>
        </w:tc>
        <w:tc>
          <w:tcPr>
            <w:tcW w:w="924" w:type="dxa"/>
            <w:noWrap/>
            <w:hideMark/>
          </w:tcPr>
          <w:p w14:paraId="660E958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2.8</w:t>
            </w:r>
          </w:p>
        </w:tc>
        <w:tc>
          <w:tcPr>
            <w:tcW w:w="924" w:type="dxa"/>
            <w:noWrap/>
            <w:hideMark/>
          </w:tcPr>
          <w:p w14:paraId="588BF36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2.6</w:t>
            </w:r>
          </w:p>
        </w:tc>
        <w:tc>
          <w:tcPr>
            <w:tcW w:w="924" w:type="dxa"/>
            <w:noWrap/>
            <w:hideMark/>
          </w:tcPr>
          <w:p w14:paraId="0C0489B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2.3</w:t>
            </w:r>
          </w:p>
        </w:tc>
        <w:tc>
          <w:tcPr>
            <w:tcW w:w="924" w:type="dxa"/>
            <w:noWrap/>
            <w:hideMark/>
          </w:tcPr>
          <w:p w14:paraId="2523CAC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2.1</w:t>
            </w:r>
          </w:p>
        </w:tc>
        <w:tc>
          <w:tcPr>
            <w:tcW w:w="925" w:type="dxa"/>
            <w:noWrap/>
            <w:hideMark/>
          </w:tcPr>
          <w:p w14:paraId="692829C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1.8</w:t>
            </w:r>
          </w:p>
        </w:tc>
      </w:tr>
      <w:tr w:rsidR="00120717" w:rsidRPr="00B93EE1" w14:paraId="480AF0F1" w14:textId="77777777" w:rsidTr="00D43564">
        <w:tc>
          <w:tcPr>
            <w:tcW w:w="2547" w:type="dxa"/>
            <w:noWrap/>
            <w:hideMark/>
          </w:tcPr>
          <w:p w14:paraId="4DA5C59F" w14:textId="77777777" w:rsidR="00120717" w:rsidRPr="00B93EE1" w:rsidRDefault="00120717" w:rsidP="00D43564">
            <w:pPr>
              <w:jc w:val="left"/>
              <w:rPr>
                <w:rFonts w:cs="Calibri"/>
                <w:sz w:val="16"/>
                <w:szCs w:val="16"/>
              </w:rPr>
            </w:pPr>
            <w:r w:rsidRPr="00B93EE1">
              <w:rPr>
                <w:rFonts w:cs="Calibri"/>
                <w:sz w:val="16"/>
                <w:szCs w:val="16"/>
              </w:rPr>
              <w:t>Financial and insurance services</w:t>
            </w:r>
          </w:p>
        </w:tc>
        <w:tc>
          <w:tcPr>
            <w:tcW w:w="924" w:type="dxa"/>
            <w:noWrap/>
            <w:hideMark/>
          </w:tcPr>
          <w:p w14:paraId="6B9B31E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33.0</w:t>
            </w:r>
          </w:p>
        </w:tc>
        <w:tc>
          <w:tcPr>
            <w:tcW w:w="924" w:type="dxa"/>
            <w:noWrap/>
            <w:hideMark/>
          </w:tcPr>
          <w:p w14:paraId="3BD7A17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34.7</w:t>
            </w:r>
          </w:p>
        </w:tc>
        <w:tc>
          <w:tcPr>
            <w:tcW w:w="924" w:type="dxa"/>
            <w:noWrap/>
            <w:hideMark/>
          </w:tcPr>
          <w:p w14:paraId="5A5A7E5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34.7</w:t>
            </w:r>
          </w:p>
        </w:tc>
        <w:tc>
          <w:tcPr>
            <w:tcW w:w="924" w:type="dxa"/>
            <w:noWrap/>
            <w:hideMark/>
          </w:tcPr>
          <w:p w14:paraId="5CADB23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35.7</w:t>
            </w:r>
          </w:p>
        </w:tc>
        <w:tc>
          <w:tcPr>
            <w:tcW w:w="924" w:type="dxa"/>
            <w:noWrap/>
            <w:hideMark/>
          </w:tcPr>
          <w:p w14:paraId="0E9A9CF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34.0</w:t>
            </w:r>
          </w:p>
        </w:tc>
        <w:tc>
          <w:tcPr>
            <w:tcW w:w="924" w:type="dxa"/>
            <w:noWrap/>
            <w:hideMark/>
          </w:tcPr>
          <w:p w14:paraId="5C84269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35.7</w:t>
            </w:r>
          </w:p>
        </w:tc>
        <w:tc>
          <w:tcPr>
            <w:tcW w:w="925" w:type="dxa"/>
            <w:noWrap/>
            <w:hideMark/>
          </w:tcPr>
          <w:p w14:paraId="54C9428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39.1</w:t>
            </w:r>
          </w:p>
        </w:tc>
      </w:tr>
      <w:tr w:rsidR="00120717" w:rsidRPr="00B93EE1" w14:paraId="54D6D23F"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66CA1F98" w14:textId="77777777" w:rsidR="00120717" w:rsidRPr="00B93EE1" w:rsidRDefault="00120717" w:rsidP="00D43564">
            <w:pPr>
              <w:jc w:val="left"/>
              <w:rPr>
                <w:rFonts w:cs="Calibri"/>
                <w:sz w:val="16"/>
                <w:szCs w:val="16"/>
              </w:rPr>
            </w:pPr>
            <w:r w:rsidRPr="00B93EE1">
              <w:rPr>
                <w:rFonts w:cs="Calibri"/>
                <w:sz w:val="16"/>
                <w:szCs w:val="16"/>
              </w:rPr>
              <w:t>Rental, hiring, and real estate services</w:t>
            </w:r>
          </w:p>
        </w:tc>
        <w:tc>
          <w:tcPr>
            <w:tcW w:w="924" w:type="dxa"/>
            <w:noWrap/>
            <w:hideMark/>
          </w:tcPr>
          <w:p w14:paraId="732B067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3.4</w:t>
            </w:r>
          </w:p>
        </w:tc>
        <w:tc>
          <w:tcPr>
            <w:tcW w:w="924" w:type="dxa"/>
            <w:noWrap/>
            <w:hideMark/>
          </w:tcPr>
          <w:p w14:paraId="54A349C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3.8</w:t>
            </w:r>
          </w:p>
        </w:tc>
        <w:tc>
          <w:tcPr>
            <w:tcW w:w="924" w:type="dxa"/>
            <w:noWrap/>
            <w:hideMark/>
          </w:tcPr>
          <w:p w14:paraId="17518B8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3.4</w:t>
            </w:r>
          </w:p>
        </w:tc>
        <w:tc>
          <w:tcPr>
            <w:tcW w:w="924" w:type="dxa"/>
            <w:noWrap/>
            <w:hideMark/>
          </w:tcPr>
          <w:p w14:paraId="2E6314D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3.5</w:t>
            </w:r>
          </w:p>
        </w:tc>
        <w:tc>
          <w:tcPr>
            <w:tcW w:w="924" w:type="dxa"/>
            <w:noWrap/>
            <w:hideMark/>
          </w:tcPr>
          <w:p w14:paraId="2A23183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3.4</w:t>
            </w:r>
          </w:p>
        </w:tc>
        <w:tc>
          <w:tcPr>
            <w:tcW w:w="924" w:type="dxa"/>
            <w:noWrap/>
            <w:hideMark/>
          </w:tcPr>
          <w:p w14:paraId="1F64612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3.2</w:t>
            </w:r>
          </w:p>
        </w:tc>
        <w:tc>
          <w:tcPr>
            <w:tcW w:w="925" w:type="dxa"/>
            <w:noWrap/>
            <w:hideMark/>
          </w:tcPr>
          <w:p w14:paraId="68EFDBF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3.4</w:t>
            </w:r>
          </w:p>
        </w:tc>
      </w:tr>
      <w:tr w:rsidR="00120717" w:rsidRPr="00B93EE1" w14:paraId="1C9B6165" w14:textId="77777777" w:rsidTr="00D43564">
        <w:tc>
          <w:tcPr>
            <w:tcW w:w="2547" w:type="dxa"/>
            <w:noWrap/>
            <w:hideMark/>
          </w:tcPr>
          <w:p w14:paraId="504C9F37" w14:textId="77777777" w:rsidR="00120717" w:rsidRPr="00B93EE1" w:rsidRDefault="00120717" w:rsidP="00D43564">
            <w:pPr>
              <w:jc w:val="left"/>
              <w:rPr>
                <w:rFonts w:cs="Calibri"/>
                <w:sz w:val="16"/>
                <w:szCs w:val="16"/>
              </w:rPr>
            </w:pPr>
            <w:r w:rsidRPr="00B93EE1">
              <w:rPr>
                <w:rFonts w:cs="Calibri"/>
                <w:sz w:val="16"/>
                <w:szCs w:val="16"/>
              </w:rPr>
              <w:t>Professional, scientific, and technical services</w:t>
            </w:r>
          </w:p>
        </w:tc>
        <w:tc>
          <w:tcPr>
            <w:tcW w:w="924" w:type="dxa"/>
            <w:noWrap/>
            <w:hideMark/>
          </w:tcPr>
          <w:p w14:paraId="2684E32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2.3</w:t>
            </w:r>
          </w:p>
        </w:tc>
        <w:tc>
          <w:tcPr>
            <w:tcW w:w="924" w:type="dxa"/>
            <w:noWrap/>
            <w:hideMark/>
          </w:tcPr>
          <w:p w14:paraId="530A8D9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1.8</w:t>
            </w:r>
          </w:p>
        </w:tc>
        <w:tc>
          <w:tcPr>
            <w:tcW w:w="924" w:type="dxa"/>
            <w:noWrap/>
            <w:hideMark/>
          </w:tcPr>
          <w:p w14:paraId="56E74F9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1.6</w:t>
            </w:r>
          </w:p>
        </w:tc>
        <w:tc>
          <w:tcPr>
            <w:tcW w:w="924" w:type="dxa"/>
            <w:noWrap/>
            <w:hideMark/>
          </w:tcPr>
          <w:p w14:paraId="02E6583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3.0</w:t>
            </w:r>
          </w:p>
        </w:tc>
        <w:tc>
          <w:tcPr>
            <w:tcW w:w="924" w:type="dxa"/>
            <w:noWrap/>
            <w:hideMark/>
          </w:tcPr>
          <w:p w14:paraId="59D2D41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2.9</w:t>
            </w:r>
          </w:p>
        </w:tc>
        <w:tc>
          <w:tcPr>
            <w:tcW w:w="924" w:type="dxa"/>
            <w:noWrap/>
            <w:hideMark/>
          </w:tcPr>
          <w:p w14:paraId="081FC40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1.8</w:t>
            </w:r>
          </w:p>
        </w:tc>
        <w:tc>
          <w:tcPr>
            <w:tcW w:w="925" w:type="dxa"/>
            <w:noWrap/>
            <w:hideMark/>
          </w:tcPr>
          <w:p w14:paraId="45B06EE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2.2</w:t>
            </w:r>
          </w:p>
        </w:tc>
      </w:tr>
      <w:tr w:rsidR="00120717" w:rsidRPr="00B93EE1" w14:paraId="0D5951F7"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0FF4327E" w14:textId="77777777" w:rsidR="00120717" w:rsidRPr="00B93EE1" w:rsidRDefault="00120717" w:rsidP="00D43564">
            <w:pPr>
              <w:jc w:val="left"/>
              <w:rPr>
                <w:rFonts w:cs="Calibri"/>
                <w:sz w:val="16"/>
                <w:szCs w:val="16"/>
              </w:rPr>
            </w:pPr>
            <w:r w:rsidRPr="00B93EE1">
              <w:rPr>
                <w:rFonts w:cs="Calibri"/>
                <w:sz w:val="16"/>
                <w:szCs w:val="16"/>
              </w:rPr>
              <w:t>Administrative and support services</w:t>
            </w:r>
          </w:p>
        </w:tc>
        <w:tc>
          <w:tcPr>
            <w:tcW w:w="924" w:type="dxa"/>
            <w:noWrap/>
            <w:hideMark/>
          </w:tcPr>
          <w:p w14:paraId="2641B43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0.6</w:t>
            </w:r>
          </w:p>
        </w:tc>
        <w:tc>
          <w:tcPr>
            <w:tcW w:w="924" w:type="dxa"/>
            <w:noWrap/>
            <w:hideMark/>
          </w:tcPr>
          <w:p w14:paraId="41AC3EE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0.9</w:t>
            </w:r>
          </w:p>
        </w:tc>
        <w:tc>
          <w:tcPr>
            <w:tcW w:w="924" w:type="dxa"/>
            <w:noWrap/>
            <w:hideMark/>
          </w:tcPr>
          <w:p w14:paraId="07F7283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1.0</w:t>
            </w:r>
          </w:p>
        </w:tc>
        <w:tc>
          <w:tcPr>
            <w:tcW w:w="924" w:type="dxa"/>
            <w:noWrap/>
            <w:hideMark/>
          </w:tcPr>
          <w:p w14:paraId="2FCDEA0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0.8</w:t>
            </w:r>
          </w:p>
        </w:tc>
        <w:tc>
          <w:tcPr>
            <w:tcW w:w="924" w:type="dxa"/>
            <w:noWrap/>
            <w:hideMark/>
          </w:tcPr>
          <w:p w14:paraId="099886B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c>
          <w:tcPr>
            <w:tcW w:w="924" w:type="dxa"/>
            <w:noWrap/>
            <w:hideMark/>
          </w:tcPr>
          <w:p w14:paraId="3B74980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c>
          <w:tcPr>
            <w:tcW w:w="925" w:type="dxa"/>
            <w:noWrap/>
            <w:hideMark/>
          </w:tcPr>
          <w:p w14:paraId="02F85EC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r>
      <w:tr w:rsidR="00120717" w:rsidRPr="00B93EE1" w14:paraId="1CC421B9" w14:textId="77777777" w:rsidTr="00D43564">
        <w:tc>
          <w:tcPr>
            <w:tcW w:w="2547" w:type="dxa"/>
            <w:noWrap/>
            <w:hideMark/>
          </w:tcPr>
          <w:p w14:paraId="36AA1766" w14:textId="77777777" w:rsidR="00120717" w:rsidRPr="00B93EE1" w:rsidRDefault="00120717" w:rsidP="00D43564">
            <w:pPr>
              <w:jc w:val="left"/>
              <w:rPr>
                <w:rFonts w:cs="Calibri"/>
                <w:sz w:val="16"/>
                <w:szCs w:val="16"/>
              </w:rPr>
            </w:pPr>
            <w:r w:rsidRPr="00B93EE1">
              <w:rPr>
                <w:rFonts w:cs="Calibri"/>
                <w:sz w:val="16"/>
                <w:szCs w:val="16"/>
              </w:rPr>
              <w:t>Public administration and safety</w:t>
            </w:r>
          </w:p>
        </w:tc>
        <w:tc>
          <w:tcPr>
            <w:tcW w:w="924" w:type="dxa"/>
            <w:noWrap/>
            <w:hideMark/>
          </w:tcPr>
          <w:p w14:paraId="3650640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451AD87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1EFC26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5601831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130FFB5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672A834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64FB6E5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7C14541C"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2B4E7932" w14:textId="77777777" w:rsidR="00120717" w:rsidRPr="00B93EE1" w:rsidRDefault="00120717" w:rsidP="00D43564">
            <w:pPr>
              <w:jc w:val="left"/>
              <w:rPr>
                <w:rFonts w:cs="Calibri"/>
                <w:sz w:val="16"/>
                <w:szCs w:val="16"/>
              </w:rPr>
            </w:pPr>
            <w:r w:rsidRPr="00B93EE1">
              <w:rPr>
                <w:rFonts w:cs="Calibri"/>
                <w:sz w:val="16"/>
                <w:szCs w:val="16"/>
              </w:rPr>
              <w:t>Education and training</w:t>
            </w:r>
          </w:p>
        </w:tc>
        <w:tc>
          <w:tcPr>
            <w:tcW w:w="924" w:type="dxa"/>
            <w:noWrap/>
            <w:hideMark/>
          </w:tcPr>
          <w:p w14:paraId="7C8C357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29EC59A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6B37DDF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594C24F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593269C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7E11AA0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5" w:type="dxa"/>
            <w:noWrap/>
            <w:hideMark/>
          </w:tcPr>
          <w:p w14:paraId="06B580A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r>
      <w:tr w:rsidR="00120717" w:rsidRPr="00B93EE1" w14:paraId="381B6C9A" w14:textId="77777777" w:rsidTr="00D43564">
        <w:tc>
          <w:tcPr>
            <w:tcW w:w="2547" w:type="dxa"/>
            <w:noWrap/>
            <w:hideMark/>
          </w:tcPr>
          <w:p w14:paraId="32EBBC25" w14:textId="77777777" w:rsidR="00120717" w:rsidRPr="00B93EE1" w:rsidRDefault="00120717" w:rsidP="00D43564">
            <w:pPr>
              <w:jc w:val="left"/>
              <w:rPr>
                <w:rFonts w:cs="Calibri"/>
                <w:sz w:val="16"/>
                <w:szCs w:val="16"/>
              </w:rPr>
            </w:pPr>
            <w:r w:rsidRPr="00B93EE1">
              <w:rPr>
                <w:rFonts w:cs="Calibri"/>
                <w:sz w:val="16"/>
                <w:szCs w:val="16"/>
              </w:rPr>
              <w:t>Health care and social assistance</w:t>
            </w:r>
          </w:p>
        </w:tc>
        <w:tc>
          <w:tcPr>
            <w:tcW w:w="924" w:type="dxa"/>
            <w:noWrap/>
            <w:hideMark/>
          </w:tcPr>
          <w:p w14:paraId="189DA89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1.4</w:t>
            </w:r>
          </w:p>
        </w:tc>
        <w:tc>
          <w:tcPr>
            <w:tcW w:w="924" w:type="dxa"/>
            <w:noWrap/>
            <w:hideMark/>
          </w:tcPr>
          <w:p w14:paraId="735977D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w:t>
            </w:r>
          </w:p>
        </w:tc>
        <w:tc>
          <w:tcPr>
            <w:tcW w:w="924" w:type="dxa"/>
            <w:noWrap/>
            <w:hideMark/>
          </w:tcPr>
          <w:p w14:paraId="4A56EB1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w:t>
            </w:r>
          </w:p>
        </w:tc>
        <w:tc>
          <w:tcPr>
            <w:tcW w:w="924" w:type="dxa"/>
            <w:noWrap/>
            <w:hideMark/>
          </w:tcPr>
          <w:p w14:paraId="03859A9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1.4</w:t>
            </w:r>
          </w:p>
        </w:tc>
        <w:tc>
          <w:tcPr>
            <w:tcW w:w="924" w:type="dxa"/>
            <w:noWrap/>
            <w:hideMark/>
          </w:tcPr>
          <w:p w14:paraId="37874B8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2.0</w:t>
            </w:r>
          </w:p>
        </w:tc>
        <w:tc>
          <w:tcPr>
            <w:tcW w:w="924" w:type="dxa"/>
            <w:noWrap/>
            <w:hideMark/>
          </w:tcPr>
          <w:p w14:paraId="5C6A0D6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1.8</w:t>
            </w:r>
          </w:p>
        </w:tc>
        <w:tc>
          <w:tcPr>
            <w:tcW w:w="925" w:type="dxa"/>
            <w:noWrap/>
            <w:hideMark/>
          </w:tcPr>
          <w:p w14:paraId="6B91168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2.3</w:t>
            </w:r>
          </w:p>
        </w:tc>
      </w:tr>
      <w:tr w:rsidR="00120717" w:rsidRPr="00B93EE1" w14:paraId="3D29FC85"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0F222524" w14:textId="77777777" w:rsidR="00120717" w:rsidRPr="00B93EE1" w:rsidRDefault="00120717" w:rsidP="00D43564">
            <w:pPr>
              <w:jc w:val="left"/>
              <w:rPr>
                <w:rFonts w:cs="Calibri"/>
                <w:sz w:val="16"/>
                <w:szCs w:val="16"/>
              </w:rPr>
            </w:pPr>
            <w:r w:rsidRPr="00B93EE1">
              <w:rPr>
                <w:rFonts w:cs="Calibri"/>
                <w:sz w:val="16"/>
                <w:szCs w:val="16"/>
              </w:rPr>
              <w:t>Arts and recreation services</w:t>
            </w:r>
          </w:p>
        </w:tc>
        <w:tc>
          <w:tcPr>
            <w:tcW w:w="924" w:type="dxa"/>
            <w:noWrap/>
            <w:hideMark/>
          </w:tcPr>
          <w:p w14:paraId="2BF79DB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556A1B7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62ACA7F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14B421E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5D860BE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7A82E34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5" w:type="dxa"/>
            <w:noWrap/>
            <w:hideMark/>
          </w:tcPr>
          <w:p w14:paraId="0A56C0A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r>
      <w:tr w:rsidR="00120717" w:rsidRPr="00B93EE1" w14:paraId="6C7425D8" w14:textId="77777777" w:rsidTr="00D43564">
        <w:tc>
          <w:tcPr>
            <w:tcW w:w="2547" w:type="dxa"/>
            <w:noWrap/>
            <w:hideMark/>
          </w:tcPr>
          <w:p w14:paraId="0EC94E17" w14:textId="77777777" w:rsidR="00120717" w:rsidRPr="00B93EE1" w:rsidRDefault="00120717" w:rsidP="00D43564">
            <w:pPr>
              <w:jc w:val="left"/>
              <w:rPr>
                <w:rFonts w:cs="Calibri"/>
                <w:sz w:val="16"/>
                <w:szCs w:val="16"/>
              </w:rPr>
            </w:pPr>
            <w:r w:rsidRPr="00B93EE1">
              <w:rPr>
                <w:rFonts w:cs="Calibri"/>
                <w:sz w:val="16"/>
                <w:szCs w:val="16"/>
              </w:rPr>
              <w:t>Other services</w:t>
            </w:r>
          </w:p>
        </w:tc>
        <w:tc>
          <w:tcPr>
            <w:tcW w:w="924" w:type="dxa"/>
            <w:noWrap/>
            <w:hideMark/>
          </w:tcPr>
          <w:p w14:paraId="5BC57EA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4299A72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1BADBFF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73A9F67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5A61129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5913F3B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6D7995C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5C69F3E2"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3EDCC9FA" w14:textId="77777777" w:rsidR="00120717" w:rsidRPr="00B93EE1" w:rsidRDefault="00120717" w:rsidP="00D43564">
            <w:pPr>
              <w:jc w:val="left"/>
              <w:rPr>
                <w:rFonts w:cs="Calibri"/>
                <w:color w:val="000000"/>
                <w:sz w:val="16"/>
                <w:szCs w:val="16"/>
              </w:rPr>
            </w:pPr>
            <w:r w:rsidRPr="00B93EE1">
              <w:rPr>
                <w:rFonts w:cs="Calibri"/>
                <w:color w:val="000000"/>
                <w:sz w:val="16"/>
                <w:szCs w:val="16"/>
              </w:rPr>
              <w:t xml:space="preserve">Unallocated </w:t>
            </w:r>
          </w:p>
        </w:tc>
        <w:tc>
          <w:tcPr>
            <w:tcW w:w="924" w:type="dxa"/>
            <w:noWrap/>
            <w:hideMark/>
          </w:tcPr>
          <w:p w14:paraId="373D551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16.3</w:t>
            </w:r>
          </w:p>
        </w:tc>
        <w:tc>
          <w:tcPr>
            <w:tcW w:w="924" w:type="dxa"/>
            <w:noWrap/>
            <w:hideMark/>
          </w:tcPr>
          <w:p w14:paraId="46F5071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16.5</w:t>
            </w:r>
          </w:p>
        </w:tc>
        <w:tc>
          <w:tcPr>
            <w:tcW w:w="924" w:type="dxa"/>
            <w:noWrap/>
            <w:hideMark/>
          </w:tcPr>
          <w:p w14:paraId="411E447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16.1</w:t>
            </w:r>
          </w:p>
        </w:tc>
        <w:tc>
          <w:tcPr>
            <w:tcW w:w="924" w:type="dxa"/>
            <w:noWrap/>
            <w:hideMark/>
          </w:tcPr>
          <w:p w14:paraId="41346E4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15.0</w:t>
            </w:r>
          </w:p>
        </w:tc>
        <w:tc>
          <w:tcPr>
            <w:tcW w:w="924" w:type="dxa"/>
            <w:noWrap/>
            <w:hideMark/>
          </w:tcPr>
          <w:p w14:paraId="137781B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14.2</w:t>
            </w:r>
          </w:p>
        </w:tc>
        <w:tc>
          <w:tcPr>
            <w:tcW w:w="924" w:type="dxa"/>
            <w:noWrap/>
            <w:hideMark/>
          </w:tcPr>
          <w:p w14:paraId="6AB8473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13.4</w:t>
            </w:r>
          </w:p>
        </w:tc>
        <w:tc>
          <w:tcPr>
            <w:tcW w:w="925" w:type="dxa"/>
            <w:noWrap/>
            <w:hideMark/>
          </w:tcPr>
          <w:p w14:paraId="3A90B48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12.4</w:t>
            </w:r>
          </w:p>
        </w:tc>
      </w:tr>
    </w:tbl>
    <w:p w14:paraId="67BE0D53" w14:textId="77777777" w:rsidR="00120717" w:rsidRPr="00B93EE1" w:rsidRDefault="00120717" w:rsidP="003C53A8">
      <w:pPr>
        <w:pStyle w:val="NoteText"/>
        <w:spacing w:before="120"/>
      </w:pPr>
      <w:r w:rsidRPr="00B93EE1">
        <w:t>..</w:t>
      </w:r>
      <w:r w:rsidRPr="00B93EE1">
        <w:tab/>
        <w:t>Not available. Marked as confidential. Countries having confidential data include Argentina, Bermuda, Malaysia, Chinese Taipei, and the United Arab Emirates.</w:t>
      </w:r>
    </w:p>
    <w:p w14:paraId="01121C65" w14:textId="77777777" w:rsidR="00120717" w:rsidRPr="00B93EE1" w:rsidRDefault="00120717" w:rsidP="003C53A8">
      <w:pPr>
        <w:pStyle w:val="NoteText"/>
        <w:spacing w:before="120"/>
      </w:pPr>
      <w:r w:rsidRPr="00B93EE1">
        <w:t>Note:</w:t>
      </w:r>
      <w:r w:rsidRPr="00B93EE1">
        <w:tab/>
        <w:t>Figures are based on fiscal year: 1 April to 31 March.</w:t>
      </w:r>
    </w:p>
    <w:p w14:paraId="2ED8101B" w14:textId="77777777" w:rsidR="00120717" w:rsidRPr="00B93EE1" w:rsidRDefault="00120717" w:rsidP="003C53A8">
      <w:pPr>
        <w:pStyle w:val="NoteText"/>
        <w:spacing w:before="120" w:after="240"/>
      </w:pPr>
      <w:r w:rsidRPr="00B93EE1">
        <w:t>Source:</w:t>
      </w:r>
      <w:r w:rsidRPr="00B93EE1">
        <w:tab/>
        <w:t xml:space="preserve">Statistics New Zealand, </w:t>
      </w:r>
      <w:r w:rsidRPr="00B93EE1">
        <w:rPr>
          <w:i/>
          <w:iCs/>
        </w:rPr>
        <w:t>Balance of Payments</w:t>
      </w:r>
      <w:r w:rsidRPr="00B93EE1">
        <w:t xml:space="preserve">. Viewed at: </w:t>
      </w:r>
      <w:hyperlink r:id="rId25" w:history="1">
        <w:r w:rsidRPr="00B93EE1">
          <w:rPr>
            <w:rStyle w:val="Hyperlink"/>
          </w:rPr>
          <w:t>https://www.stats.govt.nz/topics/balance-of-payments</w:t>
        </w:r>
      </w:hyperlink>
      <w:r w:rsidRPr="00B93EE1">
        <w:t>.</w:t>
      </w:r>
    </w:p>
    <w:p w14:paraId="31EEA53E" w14:textId="5E326F80" w:rsidR="00120717" w:rsidRPr="00F64A35" w:rsidRDefault="00120717" w:rsidP="00EF1CAF">
      <w:pPr>
        <w:pStyle w:val="BodyText"/>
      </w:pPr>
      <w:r w:rsidRPr="00B93EE1">
        <w:lastRenderedPageBreak/>
        <w:t xml:space="preserve">New Zealand's stock of </w:t>
      </w:r>
      <w:proofErr w:type="spellStart"/>
      <w:r w:rsidRPr="00B93EE1">
        <w:t>FDI</w:t>
      </w:r>
      <w:proofErr w:type="spellEnd"/>
      <w:r w:rsidRPr="00B93EE1">
        <w:t xml:space="preserve"> abroad increased from NZD 25.0 billion in 2014/15 to NZD 29.5 billion in 2020/21 (Table 1.5). The main recipient of New Zealand's outward </w:t>
      </w:r>
      <w:proofErr w:type="spellStart"/>
      <w:r w:rsidRPr="00B93EE1">
        <w:t>FDI</w:t>
      </w:r>
      <w:proofErr w:type="spellEnd"/>
      <w:r w:rsidRPr="00B93EE1">
        <w:t xml:space="preserve"> stock continues to be Australia with 52.0% share, followed by the United</w:t>
      </w:r>
      <w:r w:rsidR="00A04806">
        <w:t> </w:t>
      </w:r>
      <w:r w:rsidRPr="00B93EE1">
        <w:t xml:space="preserve">States (23.7%), and Hong Kong, China (5.4%). Most of New Zealand's outward </w:t>
      </w:r>
      <w:proofErr w:type="spellStart"/>
      <w:r w:rsidRPr="00B93EE1">
        <w:t>FDI</w:t>
      </w:r>
      <w:proofErr w:type="spellEnd"/>
      <w:r w:rsidRPr="00B93EE1">
        <w:t xml:space="preserve"> stock is invested in manufacturing activities (30.4%).</w:t>
      </w:r>
    </w:p>
    <w:p w14:paraId="2B45FACD" w14:textId="5DEC2865" w:rsidR="00120717" w:rsidRPr="00B93EE1" w:rsidRDefault="00E724E6" w:rsidP="00E724E6">
      <w:pPr>
        <w:pStyle w:val="Caption"/>
      </w:pPr>
      <w:bookmarkStart w:id="49" w:name="_Toc418783233"/>
      <w:bookmarkStart w:id="50" w:name="_Toc97793385"/>
      <w:r>
        <w:t xml:space="preserve">Table </w:t>
      </w:r>
      <w:r w:rsidR="0012793B">
        <w:fldChar w:fldCharType="begin"/>
      </w:r>
      <w:r w:rsidR="0012793B">
        <w:instrText xml:space="preserve"> STYLEREF 1 \s </w:instrText>
      </w:r>
      <w:r w:rsidR="0012793B">
        <w:fldChar w:fldCharType="separate"/>
      </w:r>
      <w:r w:rsidR="00D37A97">
        <w:rPr>
          <w:noProof/>
        </w:rPr>
        <w:t>1</w:t>
      </w:r>
      <w:r w:rsidR="0012793B">
        <w:rPr>
          <w:noProof/>
        </w:rPr>
        <w:fldChar w:fldCharType="end"/>
      </w:r>
      <w:r w:rsidR="00D37A97">
        <w:t>.</w:t>
      </w:r>
      <w:r w:rsidR="0012793B">
        <w:fldChar w:fldCharType="begin"/>
      </w:r>
      <w:r w:rsidR="0012793B">
        <w:instrText xml:space="preserve"> SEQ Table \* ARABIC \s 1 </w:instrText>
      </w:r>
      <w:r w:rsidR="0012793B">
        <w:fldChar w:fldCharType="separate"/>
      </w:r>
      <w:r w:rsidR="00D37A97">
        <w:rPr>
          <w:noProof/>
        </w:rPr>
        <w:t>5</w:t>
      </w:r>
      <w:r w:rsidR="0012793B">
        <w:rPr>
          <w:noProof/>
        </w:rPr>
        <w:fldChar w:fldCharType="end"/>
      </w:r>
      <w:r w:rsidR="00120717" w:rsidRPr="00B93EE1">
        <w:t xml:space="preserve"> Outward stock of foreign direct investment, 2014/15-2020/2</w:t>
      </w:r>
      <w:bookmarkEnd w:id="49"/>
      <w:r w:rsidR="00120717" w:rsidRPr="00B93EE1">
        <w:t>1</w:t>
      </w:r>
      <w:bookmarkEnd w:id="50"/>
    </w:p>
    <w:tbl>
      <w:tblPr>
        <w:tblStyle w:val="WTOTable1"/>
        <w:tblW w:w="0" w:type="auto"/>
        <w:tblLayout w:type="fixed"/>
        <w:tblCellMar>
          <w:left w:w="57" w:type="dxa"/>
          <w:right w:w="57" w:type="dxa"/>
        </w:tblCellMar>
        <w:tblLook w:val="04A0" w:firstRow="1" w:lastRow="0" w:firstColumn="1" w:lastColumn="0" w:noHBand="0" w:noVBand="1"/>
      </w:tblPr>
      <w:tblGrid>
        <w:gridCol w:w="2547"/>
        <w:gridCol w:w="924"/>
        <w:gridCol w:w="924"/>
        <w:gridCol w:w="924"/>
        <w:gridCol w:w="924"/>
        <w:gridCol w:w="924"/>
        <w:gridCol w:w="924"/>
        <w:gridCol w:w="925"/>
      </w:tblGrid>
      <w:tr w:rsidR="00120717" w:rsidRPr="00B93EE1" w14:paraId="55B71E85" w14:textId="77777777" w:rsidTr="00624F19">
        <w:trPr>
          <w:cnfStyle w:val="100000000000" w:firstRow="1" w:lastRow="0" w:firstColumn="0" w:lastColumn="0" w:oddVBand="0" w:evenVBand="0" w:oddHBand="0" w:evenHBand="0" w:firstRowFirstColumn="0" w:firstRowLastColumn="0" w:lastRowFirstColumn="0" w:lastRowLastColumn="0"/>
          <w:tblHeader/>
        </w:trPr>
        <w:tc>
          <w:tcPr>
            <w:tcW w:w="2547" w:type="dxa"/>
            <w:noWrap/>
            <w:hideMark/>
          </w:tcPr>
          <w:p w14:paraId="36B3604E" w14:textId="77777777" w:rsidR="00120717" w:rsidRPr="00B93EE1" w:rsidRDefault="00120717" w:rsidP="00D43564">
            <w:pPr>
              <w:jc w:val="left"/>
              <w:rPr>
                <w:rFonts w:cs="Calibri"/>
                <w:b w:val="0"/>
                <w:color w:val="FFFFFF" w:themeColor="background1"/>
                <w:sz w:val="16"/>
                <w:szCs w:val="16"/>
              </w:rPr>
            </w:pPr>
            <w:r w:rsidRPr="00B93EE1">
              <w:rPr>
                <w:rFonts w:cs="Calibri"/>
                <w:color w:val="FFFFFF" w:themeColor="background1"/>
                <w:sz w:val="16"/>
                <w:szCs w:val="16"/>
              </w:rPr>
              <w:t> </w:t>
            </w:r>
          </w:p>
        </w:tc>
        <w:tc>
          <w:tcPr>
            <w:tcW w:w="924" w:type="dxa"/>
            <w:noWrap/>
            <w:hideMark/>
          </w:tcPr>
          <w:p w14:paraId="1A8259A8"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2014/15</w:t>
            </w:r>
          </w:p>
        </w:tc>
        <w:tc>
          <w:tcPr>
            <w:tcW w:w="924" w:type="dxa"/>
            <w:noWrap/>
            <w:hideMark/>
          </w:tcPr>
          <w:p w14:paraId="15B63E94"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2015/16</w:t>
            </w:r>
          </w:p>
        </w:tc>
        <w:tc>
          <w:tcPr>
            <w:tcW w:w="924" w:type="dxa"/>
            <w:noWrap/>
            <w:hideMark/>
          </w:tcPr>
          <w:p w14:paraId="0B8B5E41"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2016/17</w:t>
            </w:r>
          </w:p>
        </w:tc>
        <w:tc>
          <w:tcPr>
            <w:tcW w:w="924" w:type="dxa"/>
            <w:noWrap/>
            <w:hideMark/>
          </w:tcPr>
          <w:p w14:paraId="7CAB96B6"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2017/18</w:t>
            </w:r>
          </w:p>
        </w:tc>
        <w:tc>
          <w:tcPr>
            <w:tcW w:w="924" w:type="dxa"/>
            <w:noWrap/>
            <w:hideMark/>
          </w:tcPr>
          <w:p w14:paraId="5DC1BFAC" w14:textId="77777777" w:rsidR="00120717" w:rsidRPr="00B93EE1" w:rsidRDefault="00120717" w:rsidP="00D43564">
            <w:pPr>
              <w:jc w:val="left"/>
              <w:rPr>
                <w:rFonts w:cs="Calibri"/>
                <w:color w:val="FFFFFF" w:themeColor="background1"/>
                <w:sz w:val="16"/>
                <w:szCs w:val="16"/>
              </w:rPr>
            </w:pPr>
            <w:r w:rsidRPr="00B93EE1">
              <w:rPr>
                <w:rFonts w:cs="Calibri"/>
                <w:color w:val="FFFFFF" w:themeColor="background1"/>
                <w:sz w:val="16"/>
                <w:szCs w:val="16"/>
              </w:rPr>
              <w:t>2018/19</w:t>
            </w:r>
          </w:p>
        </w:tc>
        <w:tc>
          <w:tcPr>
            <w:tcW w:w="924" w:type="dxa"/>
            <w:noWrap/>
            <w:hideMark/>
          </w:tcPr>
          <w:p w14:paraId="6CE3178D"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2019/20</w:t>
            </w:r>
          </w:p>
        </w:tc>
        <w:tc>
          <w:tcPr>
            <w:tcW w:w="925" w:type="dxa"/>
            <w:noWrap/>
            <w:hideMark/>
          </w:tcPr>
          <w:p w14:paraId="5F0B75E8" w14:textId="77777777" w:rsidR="00120717" w:rsidRPr="00B93EE1" w:rsidRDefault="00120717" w:rsidP="00D43564">
            <w:pPr>
              <w:jc w:val="right"/>
              <w:rPr>
                <w:rFonts w:cs="Calibri"/>
                <w:color w:val="FFFFFF" w:themeColor="background1"/>
                <w:sz w:val="16"/>
                <w:szCs w:val="16"/>
              </w:rPr>
            </w:pPr>
            <w:r w:rsidRPr="00B93EE1">
              <w:rPr>
                <w:rFonts w:cs="Calibri"/>
                <w:color w:val="FFFFFF" w:themeColor="background1"/>
                <w:sz w:val="16"/>
                <w:szCs w:val="16"/>
              </w:rPr>
              <w:t>2020/21</w:t>
            </w:r>
          </w:p>
        </w:tc>
      </w:tr>
      <w:tr w:rsidR="00120717" w:rsidRPr="00B93EE1" w14:paraId="371A9B5E" w14:textId="77777777" w:rsidTr="00D43564">
        <w:tc>
          <w:tcPr>
            <w:tcW w:w="2547" w:type="dxa"/>
            <w:noWrap/>
            <w:hideMark/>
          </w:tcPr>
          <w:p w14:paraId="6D1ABAF7" w14:textId="77777777" w:rsidR="00120717" w:rsidRPr="00B93EE1" w:rsidRDefault="00120717" w:rsidP="00D43564">
            <w:pPr>
              <w:jc w:val="left"/>
              <w:rPr>
                <w:rFonts w:cs="Calibri"/>
                <w:b/>
                <w:bCs/>
                <w:color w:val="000000"/>
                <w:sz w:val="16"/>
                <w:szCs w:val="16"/>
              </w:rPr>
            </w:pPr>
            <w:r w:rsidRPr="00B93EE1">
              <w:rPr>
                <w:rFonts w:cs="Calibri"/>
                <w:b/>
                <w:bCs/>
                <w:color w:val="000000"/>
                <w:sz w:val="16"/>
                <w:szCs w:val="16"/>
              </w:rPr>
              <w:t xml:space="preserve">Total outward </w:t>
            </w:r>
            <w:proofErr w:type="spellStart"/>
            <w:r w:rsidRPr="00B93EE1">
              <w:rPr>
                <w:rFonts w:cs="Calibri"/>
                <w:b/>
                <w:bCs/>
                <w:color w:val="000000"/>
                <w:sz w:val="16"/>
                <w:szCs w:val="16"/>
              </w:rPr>
              <w:t>FDI</w:t>
            </w:r>
            <w:proofErr w:type="spellEnd"/>
            <w:r w:rsidRPr="00B93EE1">
              <w:rPr>
                <w:rFonts w:cs="Calibri"/>
                <w:b/>
                <w:bCs/>
                <w:color w:val="000000"/>
                <w:sz w:val="16"/>
                <w:szCs w:val="16"/>
              </w:rPr>
              <w:t xml:space="preserve"> stock (NZD billion)</w:t>
            </w:r>
          </w:p>
        </w:tc>
        <w:tc>
          <w:tcPr>
            <w:tcW w:w="924" w:type="dxa"/>
            <w:noWrap/>
            <w:hideMark/>
          </w:tcPr>
          <w:p w14:paraId="3583901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25.0</w:t>
            </w:r>
          </w:p>
        </w:tc>
        <w:tc>
          <w:tcPr>
            <w:tcW w:w="924" w:type="dxa"/>
            <w:noWrap/>
            <w:hideMark/>
          </w:tcPr>
          <w:p w14:paraId="133B8DA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25.0</w:t>
            </w:r>
          </w:p>
        </w:tc>
        <w:tc>
          <w:tcPr>
            <w:tcW w:w="924" w:type="dxa"/>
            <w:noWrap/>
            <w:hideMark/>
          </w:tcPr>
          <w:p w14:paraId="6EB654E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25.2</w:t>
            </w:r>
          </w:p>
        </w:tc>
        <w:tc>
          <w:tcPr>
            <w:tcW w:w="924" w:type="dxa"/>
            <w:noWrap/>
            <w:hideMark/>
          </w:tcPr>
          <w:p w14:paraId="63E4DB5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24.4</w:t>
            </w:r>
          </w:p>
        </w:tc>
        <w:tc>
          <w:tcPr>
            <w:tcW w:w="924" w:type="dxa"/>
            <w:noWrap/>
            <w:hideMark/>
          </w:tcPr>
          <w:p w14:paraId="5DBF915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26.4</w:t>
            </w:r>
          </w:p>
        </w:tc>
        <w:tc>
          <w:tcPr>
            <w:tcW w:w="924" w:type="dxa"/>
            <w:noWrap/>
            <w:hideMark/>
          </w:tcPr>
          <w:p w14:paraId="19369BC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27.6</w:t>
            </w:r>
          </w:p>
        </w:tc>
        <w:tc>
          <w:tcPr>
            <w:tcW w:w="925" w:type="dxa"/>
            <w:noWrap/>
            <w:hideMark/>
          </w:tcPr>
          <w:p w14:paraId="5F03FD5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29.5</w:t>
            </w:r>
          </w:p>
        </w:tc>
      </w:tr>
      <w:tr w:rsidR="00120717" w:rsidRPr="00B93EE1" w14:paraId="0903EFDB"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12C737CC" w14:textId="77777777" w:rsidR="00120717" w:rsidRPr="00B93EE1" w:rsidRDefault="00120717" w:rsidP="00D43564">
            <w:pPr>
              <w:ind w:left="284"/>
              <w:jc w:val="left"/>
              <w:rPr>
                <w:rFonts w:cs="Calibri"/>
                <w:b/>
                <w:bCs/>
                <w:color w:val="000000"/>
                <w:sz w:val="16"/>
                <w:szCs w:val="16"/>
              </w:rPr>
            </w:pPr>
            <w:r w:rsidRPr="00B93EE1">
              <w:rPr>
                <w:rFonts w:cs="Calibri"/>
                <w:b/>
                <w:bCs/>
                <w:color w:val="000000"/>
                <w:sz w:val="16"/>
                <w:szCs w:val="16"/>
              </w:rPr>
              <w:t>% of GDP</w:t>
            </w:r>
          </w:p>
        </w:tc>
        <w:tc>
          <w:tcPr>
            <w:tcW w:w="924" w:type="dxa"/>
            <w:noWrap/>
            <w:hideMark/>
          </w:tcPr>
          <w:p w14:paraId="7FB44DF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10.3</w:t>
            </w:r>
          </w:p>
        </w:tc>
        <w:tc>
          <w:tcPr>
            <w:tcW w:w="924" w:type="dxa"/>
            <w:noWrap/>
            <w:hideMark/>
          </w:tcPr>
          <w:p w14:paraId="4321150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9.8</w:t>
            </w:r>
          </w:p>
        </w:tc>
        <w:tc>
          <w:tcPr>
            <w:tcW w:w="924" w:type="dxa"/>
            <w:noWrap/>
            <w:hideMark/>
          </w:tcPr>
          <w:p w14:paraId="67300B2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9.3</w:t>
            </w:r>
          </w:p>
        </w:tc>
        <w:tc>
          <w:tcPr>
            <w:tcW w:w="924" w:type="dxa"/>
            <w:noWrap/>
            <w:hideMark/>
          </w:tcPr>
          <w:p w14:paraId="3928A2B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8.4</w:t>
            </w:r>
          </w:p>
        </w:tc>
        <w:tc>
          <w:tcPr>
            <w:tcW w:w="924" w:type="dxa"/>
            <w:noWrap/>
            <w:hideMark/>
          </w:tcPr>
          <w:p w14:paraId="66F6641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8.6</w:t>
            </w:r>
          </w:p>
        </w:tc>
        <w:tc>
          <w:tcPr>
            <w:tcW w:w="924" w:type="dxa"/>
            <w:noWrap/>
            <w:hideMark/>
          </w:tcPr>
          <w:p w14:paraId="156B005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8.6</w:t>
            </w:r>
          </w:p>
        </w:tc>
        <w:tc>
          <w:tcPr>
            <w:tcW w:w="925" w:type="dxa"/>
            <w:noWrap/>
            <w:hideMark/>
          </w:tcPr>
          <w:p w14:paraId="44F869E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9.1</w:t>
            </w:r>
          </w:p>
        </w:tc>
      </w:tr>
      <w:tr w:rsidR="00120717" w:rsidRPr="00B93EE1" w14:paraId="146309AF" w14:textId="77777777" w:rsidTr="00D43564">
        <w:tc>
          <w:tcPr>
            <w:tcW w:w="2547" w:type="dxa"/>
            <w:noWrap/>
            <w:hideMark/>
          </w:tcPr>
          <w:p w14:paraId="771560B9" w14:textId="77777777" w:rsidR="00120717" w:rsidRPr="00B93EE1" w:rsidRDefault="00120717" w:rsidP="00D43564">
            <w:pPr>
              <w:jc w:val="left"/>
              <w:rPr>
                <w:rFonts w:cs="Calibri"/>
                <w:b/>
                <w:bCs/>
                <w:color w:val="000000"/>
                <w:sz w:val="16"/>
                <w:szCs w:val="16"/>
              </w:rPr>
            </w:pPr>
            <w:r w:rsidRPr="00B93EE1">
              <w:rPr>
                <w:rFonts w:cs="Calibri"/>
                <w:b/>
                <w:bCs/>
                <w:color w:val="000000"/>
                <w:sz w:val="16"/>
                <w:szCs w:val="16"/>
              </w:rPr>
              <w:t>By origin (% of total)</w:t>
            </w:r>
          </w:p>
        </w:tc>
        <w:tc>
          <w:tcPr>
            <w:tcW w:w="924" w:type="dxa"/>
            <w:noWrap/>
            <w:hideMark/>
          </w:tcPr>
          <w:p w14:paraId="0A2C93F1" w14:textId="77777777" w:rsidR="00120717" w:rsidRPr="00B93EE1" w:rsidRDefault="00120717" w:rsidP="00D43564">
            <w:pPr>
              <w:ind w:right="170"/>
              <w:rPr>
                <w:rFonts w:cs="Calibri"/>
                <w:b/>
                <w:bCs/>
                <w:color w:val="000000"/>
                <w:sz w:val="16"/>
                <w:szCs w:val="16"/>
              </w:rPr>
            </w:pPr>
          </w:p>
        </w:tc>
        <w:tc>
          <w:tcPr>
            <w:tcW w:w="924" w:type="dxa"/>
            <w:noWrap/>
            <w:hideMark/>
          </w:tcPr>
          <w:p w14:paraId="6B344C68" w14:textId="77777777" w:rsidR="00120717" w:rsidRPr="00B93EE1" w:rsidRDefault="00120717" w:rsidP="00D43564">
            <w:pPr>
              <w:ind w:right="170"/>
              <w:rPr>
                <w:sz w:val="20"/>
              </w:rPr>
            </w:pPr>
          </w:p>
        </w:tc>
        <w:tc>
          <w:tcPr>
            <w:tcW w:w="924" w:type="dxa"/>
            <w:noWrap/>
            <w:hideMark/>
          </w:tcPr>
          <w:p w14:paraId="5064130A" w14:textId="77777777" w:rsidR="00120717" w:rsidRPr="00B93EE1" w:rsidRDefault="00120717" w:rsidP="00D43564">
            <w:pPr>
              <w:ind w:right="170"/>
              <w:rPr>
                <w:sz w:val="20"/>
              </w:rPr>
            </w:pPr>
          </w:p>
        </w:tc>
        <w:tc>
          <w:tcPr>
            <w:tcW w:w="924" w:type="dxa"/>
            <w:noWrap/>
            <w:hideMark/>
          </w:tcPr>
          <w:p w14:paraId="2A3B37C8" w14:textId="77777777" w:rsidR="00120717" w:rsidRPr="00B93EE1" w:rsidRDefault="00120717" w:rsidP="00D43564">
            <w:pPr>
              <w:ind w:right="170"/>
              <w:rPr>
                <w:sz w:val="20"/>
              </w:rPr>
            </w:pPr>
          </w:p>
        </w:tc>
        <w:tc>
          <w:tcPr>
            <w:tcW w:w="924" w:type="dxa"/>
            <w:noWrap/>
            <w:hideMark/>
          </w:tcPr>
          <w:p w14:paraId="3CD7C2A2" w14:textId="77777777" w:rsidR="00120717" w:rsidRPr="00B93EE1" w:rsidRDefault="00120717" w:rsidP="00D43564">
            <w:pPr>
              <w:ind w:right="170"/>
              <w:rPr>
                <w:sz w:val="20"/>
              </w:rPr>
            </w:pPr>
          </w:p>
        </w:tc>
        <w:tc>
          <w:tcPr>
            <w:tcW w:w="924" w:type="dxa"/>
            <w:noWrap/>
            <w:hideMark/>
          </w:tcPr>
          <w:p w14:paraId="3C528590" w14:textId="77777777" w:rsidR="00120717" w:rsidRPr="00B93EE1" w:rsidRDefault="00120717" w:rsidP="00D43564">
            <w:pPr>
              <w:ind w:right="170"/>
              <w:rPr>
                <w:sz w:val="20"/>
              </w:rPr>
            </w:pPr>
          </w:p>
        </w:tc>
        <w:tc>
          <w:tcPr>
            <w:tcW w:w="925" w:type="dxa"/>
            <w:noWrap/>
            <w:hideMark/>
          </w:tcPr>
          <w:p w14:paraId="44DAAE71" w14:textId="77777777" w:rsidR="00120717" w:rsidRPr="00B93EE1" w:rsidRDefault="00120717" w:rsidP="00D43564">
            <w:pPr>
              <w:ind w:right="170"/>
              <w:rPr>
                <w:sz w:val="20"/>
              </w:rPr>
            </w:pPr>
          </w:p>
        </w:tc>
      </w:tr>
      <w:tr w:rsidR="00120717" w:rsidRPr="00B93EE1" w14:paraId="36AF0AC5"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36772FE1" w14:textId="77777777" w:rsidR="00120717" w:rsidRPr="00B93EE1" w:rsidRDefault="00120717" w:rsidP="00D43564">
            <w:pPr>
              <w:jc w:val="left"/>
              <w:rPr>
                <w:rFonts w:cs="Calibri"/>
                <w:color w:val="000000"/>
                <w:sz w:val="16"/>
                <w:szCs w:val="16"/>
              </w:rPr>
            </w:pPr>
            <w:r w:rsidRPr="00B93EE1">
              <w:rPr>
                <w:rFonts w:cs="Calibri"/>
                <w:color w:val="000000"/>
                <w:sz w:val="16"/>
                <w:szCs w:val="16"/>
              </w:rPr>
              <w:t>Australia</w:t>
            </w:r>
          </w:p>
        </w:tc>
        <w:tc>
          <w:tcPr>
            <w:tcW w:w="924" w:type="dxa"/>
            <w:noWrap/>
            <w:hideMark/>
          </w:tcPr>
          <w:p w14:paraId="1574922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56.9</w:t>
            </w:r>
          </w:p>
        </w:tc>
        <w:tc>
          <w:tcPr>
            <w:tcW w:w="924" w:type="dxa"/>
            <w:noWrap/>
            <w:hideMark/>
          </w:tcPr>
          <w:p w14:paraId="3417734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47.4</w:t>
            </w:r>
          </w:p>
        </w:tc>
        <w:tc>
          <w:tcPr>
            <w:tcW w:w="924" w:type="dxa"/>
            <w:noWrap/>
            <w:hideMark/>
          </w:tcPr>
          <w:p w14:paraId="02AD47F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50.2</w:t>
            </w:r>
          </w:p>
        </w:tc>
        <w:tc>
          <w:tcPr>
            <w:tcW w:w="924" w:type="dxa"/>
            <w:noWrap/>
            <w:hideMark/>
          </w:tcPr>
          <w:p w14:paraId="4CAF009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49.1</w:t>
            </w:r>
          </w:p>
        </w:tc>
        <w:tc>
          <w:tcPr>
            <w:tcW w:w="924" w:type="dxa"/>
            <w:noWrap/>
            <w:hideMark/>
          </w:tcPr>
          <w:p w14:paraId="70B742C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49.4</w:t>
            </w:r>
          </w:p>
        </w:tc>
        <w:tc>
          <w:tcPr>
            <w:tcW w:w="924" w:type="dxa"/>
            <w:noWrap/>
            <w:hideMark/>
          </w:tcPr>
          <w:p w14:paraId="4188CE0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51.7</w:t>
            </w:r>
          </w:p>
        </w:tc>
        <w:tc>
          <w:tcPr>
            <w:tcW w:w="925" w:type="dxa"/>
            <w:noWrap/>
            <w:hideMark/>
          </w:tcPr>
          <w:p w14:paraId="38552D1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52.0</w:t>
            </w:r>
          </w:p>
        </w:tc>
      </w:tr>
      <w:tr w:rsidR="00120717" w:rsidRPr="00B93EE1" w14:paraId="1C135E24" w14:textId="77777777" w:rsidTr="00D43564">
        <w:tc>
          <w:tcPr>
            <w:tcW w:w="2547" w:type="dxa"/>
            <w:noWrap/>
            <w:hideMark/>
          </w:tcPr>
          <w:p w14:paraId="743CEB60" w14:textId="77777777" w:rsidR="00120717" w:rsidRPr="00B93EE1" w:rsidRDefault="00120717" w:rsidP="00D43564">
            <w:pPr>
              <w:jc w:val="left"/>
              <w:rPr>
                <w:rFonts w:cs="Calibri"/>
                <w:color w:val="000000"/>
                <w:sz w:val="16"/>
                <w:szCs w:val="16"/>
              </w:rPr>
            </w:pPr>
            <w:r w:rsidRPr="00B93EE1">
              <w:rPr>
                <w:rFonts w:cs="Calibri"/>
                <w:color w:val="000000"/>
                <w:sz w:val="16"/>
                <w:szCs w:val="16"/>
              </w:rPr>
              <w:t>United States</w:t>
            </w:r>
          </w:p>
        </w:tc>
        <w:tc>
          <w:tcPr>
            <w:tcW w:w="924" w:type="dxa"/>
            <w:noWrap/>
            <w:hideMark/>
          </w:tcPr>
          <w:p w14:paraId="601EAA7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14.7</w:t>
            </w:r>
          </w:p>
        </w:tc>
        <w:tc>
          <w:tcPr>
            <w:tcW w:w="924" w:type="dxa"/>
            <w:noWrap/>
            <w:hideMark/>
          </w:tcPr>
          <w:p w14:paraId="137ED3A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18.4</w:t>
            </w:r>
          </w:p>
        </w:tc>
        <w:tc>
          <w:tcPr>
            <w:tcW w:w="924" w:type="dxa"/>
            <w:noWrap/>
            <w:hideMark/>
          </w:tcPr>
          <w:p w14:paraId="038B670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15.6</w:t>
            </w:r>
          </w:p>
        </w:tc>
        <w:tc>
          <w:tcPr>
            <w:tcW w:w="924" w:type="dxa"/>
            <w:noWrap/>
            <w:hideMark/>
          </w:tcPr>
          <w:p w14:paraId="15FBF61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15.2</w:t>
            </w:r>
          </w:p>
        </w:tc>
        <w:tc>
          <w:tcPr>
            <w:tcW w:w="924" w:type="dxa"/>
            <w:noWrap/>
            <w:hideMark/>
          </w:tcPr>
          <w:p w14:paraId="7E1DCBC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13.0</w:t>
            </w:r>
          </w:p>
        </w:tc>
        <w:tc>
          <w:tcPr>
            <w:tcW w:w="924" w:type="dxa"/>
            <w:noWrap/>
            <w:hideMark/>
          </w:tcPr>
          <w:p w14:paraId="581FFDF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19.5</w:t>
            </w:r>
          </w:p>
        </w:tc>
        <w:tc>
          <w:tcPr>
            <w:tcW w:w="925" w:type="dxa"/>
            <w:noWrap/>
            <w:hideMark/>
          </w:tcPr>
          <w:p w14:paraId="5E5FCB9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23.7</w:t>
            </w:r>
          </w:p>
        </w:tc>
      </w:tr>
      <w:tr w:rsidR="00120717" w:rsidRPr="00B93EE1" w14:paraId="4B7EA41E"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2E0F5A94" w14:textId="77777777" w:rsidR="00120717" w:rsidRPr="00B93EE1" w:rsidRDefault="00120717" w:rsidP="00D43564">
            <w:pPr>
              <w:jc w:val="left"/>
              <w:rPr>
                <w:rFonts w:cs="Calibri"/>
                <w:color w:val="000000"/>
                <w:sz w:val="16"/>
                <w:szCs w:val="16"/>
              </w:rPr>
            </w:pPr>
            <w:r w:rsidRPr="00B93EE1">
              <w:rPr>
                <w:rFonts w:cs="Calibri"/>
                <w:color w:val="000000"/>
                <w:sz w:val="16"/>
                <w:szCs w:val="16"/>
              </w:rPr>
              <w:t>Hong Kong, China</w:t>
            </w:r>
          </w:p>
        </w:tc>
        <w:tc>
          <w:tcPr>
            <w:tcW w:w="924" w:type="dxa"/>
            <w:noWrap/>
            <w:hideMark/>
          </w:tcPr>
          <w:p w14:paraId="1E12AEE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2.2</w:t>
            </w:r>
          </w:p>
        </w:tc>
        <w:tc>
          <w:tcPr>
            <w:tcW w:w="924" w:type="dxa"/>
            <w:noWrap/>
            <w:hideMark/>
          </w:tcPr>
          <w:p w14:paraId="4DCC337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8.6</w:t>
            </w:r>
          </w:p>
        </w:tc>
        <w:tc>
          <w:tcPr>
            <w:tcW w:w="924" w:type="dxa"/>
            <w:noWrap/>
            <w:hideMark/>
          </w:tcPr>
          <w:p w14:paraId="2DDF903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8.0</w:t>
            </w:r>
          </w:p>
        </w:tc>
        <w:tc>
          <w:tcPr>
            <w:tcW w:w="924" w:type="dxa"/>
            <w:noWrap/>
            <w:hideMark/>
          </w:tcPr>
          <w:p w14:paraId="74AC26A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8.8</w:t>
            </w:r>
          </w:p>
        </w:tc>
        <w:tc>
          <w:tcPr>
            <w:tcW w:w="924" w:type="dxa"/>
            <w:noWrap/>
            <w:hideMark/>
          </w:tcPr>
          <w:p w14:paraId="0B52E57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8.7</w:t>
            </w:r>
          </w:p>
        </w:tc>
        <w:tc>
          <w:tcPr>
            <w:tcW w:w="924" w:type="dxa"/>
            <w:noWrap/>
            <w:hideMark/>
          </w:tcPr>
          <w:p w14:paraId="063A3DE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6.9</w:t>
            </w:r>
          </w:p>
        </w:tc>
        <w:tc>
          <w:tcPr>
            <w:tcW w:w="925" w:type="dxa"/>
            <w:noWrap/>
            <w:hideMark/>
          </w:tcPr>
          <w:p w14:paraId="0364C24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5.4</w:t>
            </w:r>
          </w:p>
        </w:tc>
      </w:tr>
      <w:tr w:rsidR="00120717" w:rsidRPr="00B93EE1" w14:paraId="6C66882D" w14:textId="77777777" w:rsidTr="00D43564">
        <w:tc>
          <w:tcPr>
            <w:tcW w:w="2547" w:type="dxa"/>
            <w:noWrap/>
            <w:hideMark/>
          </w:tcPr>
          <w:p w14:paraId="546AE9D0" w14:textId="77777777" w:rsidR="00120717" w:rsidRPr="00B93EE1" w:rsidRDefault="00120717" w:rsidP="00D43564">
            <w:pPr>
              <w:jc w:val="left"/>
              <w:rPr>
                <w:rFonts w:cs="Calibri"/>
                <w:color w:val="000000"/>
                <w:sz w:val="16"/>
                <w:szCs w:val="16"/>
              </w:rPr>
            </w:pPr>
            <w:r w:rsidRPr="00B93EE1">
              <w:rPr>
                <w:rFonts w:cs="Calibri"/>
                <w:color w:val="000000"/>
                <w:sz w:val="16"/>
                <w:szCs w:val="16"/>
              </w:rPr>
              <w:t>United Kingdom</w:t>
            </w:r>
          </w:p>
        </w:tc>
        <w:tc>
          <w:tcPr>
            <w:tcW w:w="924" w:type="dxa"/>
            <w:noWrap/>
            <w:hideMark/>
          </w:tcPr>
          <w:p w14:paraId="2498C56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5.7</w:t>
            </w:r>
          </w:p>
        </w:tc>
        <w:tc>
          <w:tcPr>
            <w:tcW w:w="924" w:type="dxa"/>
            <w:noWrap/>
            <w:hideMark/>
          </w:tcPr>
          <w:p w14:paraId="13D8D48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6.1</w:t>
            </w:r>
          </w:p>
        </w:tc>
        <w:tc>
          <w:tcPr>
            <w:tcW w:w="924" w:type="dxa"/>
            <w:noWrap/>
            <w:hideMark/>
          </w:tcPr>
          <w:p w14:paraId="005E4B6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4.9</w:t>
            </w:r>
          </w:p>
        </w:tc>
        <w:tc>
          <w:tcPr>
            <w:tcW w:w="924" w:type="dxa"/>
            <w:noWrap/>
            <w:hideMark/>
          </w:tcPr>
          <w:p w14:paraId="3C7ED09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5.6</w:t>
            </w:r>
          </w:p>
        </w:tc>
        <w:tc>
          <w:tcPr>
            <w:tcW w:w="924" w:type="dxa"/>
            <w:noWrap/>
            <w:hideMark/>
          </w:tcPr>
          <w:p w14:paraId="6815BAA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5.1</w:t>
            </w:r>
          </w:p>
        </w:tc>
        <w:tc>
          <w:tcPr>
            <w:tcW w:w="924" w:type="dxa"/>
            <w:noWrap/>
            <w:hideMark/>
          </w:tcPr>
          <w:p w14:paraId="24A57F1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3.8</w:t>
            </w:r>
          </w:p>
        </w:tc>
        <w:tc>
          <w:tcPr>
            <w:tcW w:w="925" w:type="dxa"/>
            <w:noWrap/>
            <w:hideMark/>
          </w:tcPr>
          <w:p w14:paraId="7C087B1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3.3</w:t>
            </w:r>
          </w:p>
        </w:tc>
      </w:tr>
      <w:tr w:rsidR="00120717" w:rsidRPr="00B93EE1" w14:paraId="5C534B42"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3483255A" w14:textId="77777777" w:rsidR="00120717" w:rsidRPr="00B93EE1" w:rsidRDefault="00120717" w:rsidP="00D43564">
            <w:pPr>
              <w:jc w:val="left"/>
              <w:rPr>
                <w:rFonts w:cs="Calibri"/>
                <w:color w:val="000000"/>
                <w:sz w:val="16"/>
                <w:szCs w:val="16"/>
              </w:rPr>
            </w:pPr>
            <w:r w:rsidRPr="00B93EE1">
              <w:rPr>
                <w:rFonts w:cs="Calibri"/>
                <w:color w:val="000000"/>
                <w:sz w:val="16"/>
                <w:szCs w:val="16"/>
              </w:rPr>
              <w:t>Bermuda</w:t>
            </w:r>
          </w:p>
        </w:tc>
        <w:tc>
          <w:tcPr>
            <w:tcW w:w="924" w:type="dxa"/>
            <w:noWrap/>
            <w:hideMark/>
          </w:tcPr>
          <w:p w14:paraId="263CC30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1.1</w:t>
            </w:r>
          </w:p>
        </w:tc>
        <w:tc>
          <w:tcPr>
            <w:tcW w:w="924" w:type="dxa"/>
            <w:noWrap/>
            <w:hideMark/>
          </w:tcPr>
          <w:p w14:paraId="04132C3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w:t>
            </w:r>
          </w:p>
        </w:tc>
        <w:tc>
          <w:tcPr>
            <w:tcW w:w="924" w:type="dxa"/>
            <w:noWrap/>
            <w:hideMark/>
          </w:tcPr>
          <w:p w14:paraId="6E938AF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w:t>
            </w:r>
          </w:p>
        </w:tc>
        <w:tc>
          <w:tcPr>
            <w:tcW w:w="924" w:type="dxa"/>
            <w:noWrap/>
            <w:hideMark/>
          </w:tcPr>
          <w:p w14:paraId="2D485D1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w:t>
            </w:r>
          </w:p>
        </w:tc>
        <w:tc>
          <w:tcPr>
            <w:tcW w:w="924" w:type="dxa"/>
            <w:noWrap/>
            <w:hideMark/>
          </w:tcPr>
          <w:p w14:paraId="4C28DA6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w:t>
            </w:r>
          </w:p>
        </w:tc>
        <w:tc>
          <w:tcPr>
            <w:tcW w:w="924" w:type="dxa"/>
            <w:noWrap/>
            <w:hideMark/>
          </w:tcPr>
          <w:p w14:paraId="564F9C7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3.6</w:t>
            </w:r>
          </w:p>
        </w:tc>
        <w:tc>
          <w:tcPr>
            <w:tcW w:w="925" w:type="dxa"/>
            <w:noWrap/>
            <w:hideMark/>
          </w:tcPr>
          <w:p w14:paraId="4731CB5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3.2</w:t>
            </w:r>
          </w:p>
        </w:tc>
      </w:tr>
      <w:tr w:rsidR="00120717" w:rsidRPr="00B93EE1" w14:paraId="73FAF515" w14:textId="77777777" w:rsidTr="00D43564">
        <w:tc>
          <w:tcPr>
            <w:tcW w:w="2547" w:type="dxa"/>
            <w:noWrap/>
            <w:hideMark/>
          </w:tcPr>
          <w:p w14:paraId="027AFDB8" w14:textId="77777777" w:rsidR="00120717" w:rsidRPr="00B93EE1" w:rsidRDefault="00120717" w:rsidP="00D43564">
            <w:pPr>
              <w:jc w:val="left"/>
              <w:rPr>
                <w:rFonts w:cs="Calibri"/>
                <w:color w:val="000000"/>
                <w:sz w:val="16"/>
                <w:szCs w:val="16"/>
              </w:rPr>
            </w:pPr>
            <w:r w:rsidRPr="00B93EE1">
              <w:rPr>
                <w:rFonts w:cs="Calibri"/>
                <w:color w:val="000000"/>
                <w:sz w:val="16"/>
                <w:szCs w:val="16"/>
              </w:rPr>
              <w:t>Singapore</w:t>
            </w:r>
          </w:p>
        </w:tc>
        <w:tc>
          <w:tcPr>
            <w:tcW w:w="924" w:type="dxa"/>
            <w:noWrap/>
            <w:hideMark/>
          </w:tcPr>
          <w:p w14:paraId="43642E0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6.6</w:t>
            </w:r>
          </w:p>
        </w:tc>
        <w:tc>
          <w:tcPr>
            <w:tcW w:w="924" w:type="dxa"/>
            <w:noWrap/>
            <w:hideMark/>
          </w:tcPr>
          <w:p w14:paraId="754750A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5.4</w:t>
            </w:r>
          </w:p>
        </w:tc>
        <w:tc>
          <w:tcPr>
            <w:tcW w:w="924" w:type="dxa"/>
            <w:noWrap/>
            <w:hideMark/>
          </w:tcPr>
          <w:p w14:paraId="4BEE4D1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5.5</w:t>
            </w:r>
          </w:p>
        </w:tc>
        <w:tc>
          <w:tcPr>
            <w:tcW w:w="924" w:type="dxa"/>
            <w:noWrap/>
            <w:hideMark/>
          </w:tcPr>
          <w:p w14:paraId="10115D2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3.6</w:t>
            </w:r>
          </w:p>
        </w:tc>
        <w:tc>
          <w:tcPr>
            <w:tcW w:w="924" w:type="dxa"/>
            <w:noWrap/>
            <w:hideMark/>
          </w:tcPr>
          <w:p w14:paraId="052E7DA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3.2</w:t>
            </w:r>
          </w:p>
        </w:tc>
        <w:tc>
          <w:tcPr>
            <w:tcW w:w="924" w:type="dxa"/>
            <w:noWrap/>
            <w:hideMark/>
          </w:tcPr>
          <w:p w14:paraId="639822A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1.7</w:t>
            </w:r>
          </w:p>
        </w:tc>
        <w:tc>
          <w:tcPr>
            <w:tcW w:w="925" w:type="dxa"/>
            <w:noWrap/>
            <w:hideMark/>
          </w:tcPr>
          <w:p w14:paraId="5E761B1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1.7</w:t>
            </w:r>
          </w:p>
        </w:tc>
      </w:tr>
      <w:tr w:rsidR="00120717" w:rsidRPr="00B93EE1" w14:paraId="1EB0C962"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7D9926C1" w14:textId="77777777" w:rsidR="00120717" w:rsidRPr="00B93EE1" w:rsidRDefault="00120717" w:rsidP="00D43564">
            <w:pPr>
              <w:jc w:val="left"/>
              <w:rPr>
                <w:rFonts w:cs="Calibri"/>
                <w:color w:val="000000"/>
                <w:sz w:val="16"/>
                <w:szCs w:val="16"/>
              </w:rPr>
            </w:pPr>
            <w:r w:rsidRPr="00B93EE1">
              <w:rPr>
                <w:rFonts w:cs="Calibri"/>
                <w:color w:val="000000"/>
                <w:sz w:val="16"/>
                <w:szCs w:val="16"/>
              </w:rPr>
              <w:t>Canada</w:t>
            </w:r>
          </w:p>
        </w:tc>
        <w:tc>
          <w:tcPr>
            <w:tcW w:w="924" w:type="dxa"/>
            <w:noWrap/>
            <w:hideMark/>
          </w:tcPr>
          <w:p w14:paraId="7770AB5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4" w:type="dxa"/>
            <w:noWrap/>
            <w:hideMark/>
          </w:tcPr>
          <w:p w14:paraId="3869A10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0.8</w:t>
            </w:r>
          </w:p>
        </w:tc>
        <w:tc>
          <w:tcPr>
            <w:tcW w:w="924" w:type="dxa"/>
            <w:noWrap/>
            <w:hideMark/>
          </w:tcPr>
          <w:p w14:paraId="4753C94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0.5</w:t>
            </w:r>
          </w:p>
        </w:tc>
        <w:tc>
          <w:tcPr>
            <w:tcW w:w="924" w:type="dxa"/>
            <w:noWrap/>
            <w:hideMark/>
          </w:tcPr>
          <w:p w14:paraId="745DC86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c>
          <w:tcPr>
            <w:tcW w:w="924" w:type="dxa"/>
            <w:noWrap/>
            <w:hideMark/>
          </w:tcPr>
          <w:p w14:paraId="4CDD7A1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0.6</w:t>
            </w:r>
          </w:p>
        </w:tc>
        <w:tc>
          <w:tcPr>
            <w:tcW w:w="924" w:type="dxa"/>
            <w:noWrap/>
            <w:hideMark/>
          </w:tcPr>
          <w:p w14:paraId="67A2D05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1.1</w:t>
            </w:r>
          </w:p>
        </w:tc>
        <w:tc>
          <w:tcPr>
            <w:tcW w:w="925" w:type="dxa"/>
            <w:noWrap/>
            <w:hideMark/>
          </w:tcPr>
          <w:p w14:paraId="6C1FE56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1.3</w:t>
            </w:r>
          </w:p>
        </w:tc>
      </w:tr>
      <w:tr w:rsidR="00120717" w:rsidRPr="00B93EE1" w14:paraId="1069130C" w14:textId="77777777" w:rsidTr="00D43564">
        <w:tc>
          <w:tcPr>
            <w:tcW w:w="2547" w:type="dxa"/>
            <w:noWrap/>
            <w:hideMark/>
          </w:tcPr>
          <w:p w14:paraId="7F2A7F27" w14:textId="77777777" w:rsidR="00120717" w:rsidRPr="00B93EE1" w:rsidRDefault="00120717" w:rsidP="00D43564">
            <w:pPr>
              <w:jc w:val="left"/>
              <w:rPr>
                <w:rFonts w:cs="Calibri"/>
                <w:color w:val="000000"/>
                <w:sz w:val="16"/>
                <w:szCs w:val="16"/>
              </w:rPr>
            </w:pPr>
            <w:r w:rsidRPr="00B93EE1">
              <w:rPr>
                <w:rFonts w:cs="Calibri"/>
                <w:color w:val="000000"/>
                <w:sz w:val="16"/>
                <w:szCs w:val="16"/>
              </w:rPr>
              <w:t>China</w:t>
            </w:r>
          </w:p>
        </w:tc>
        <w:tc>
          <w:tcPr>
            <w:tcW w:w="924" w:type="dxa"/>
            <w:noWrap/>
            <w:hideMark/>
          </w:tcPr>
          <w:p w14:paraId="1C5CF11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c>
          <w:tcPr>
            <w:tcW w:w="924" w:type="dxa"/>
            <w:noWrap/>
            <w:hideMark/>
          </w:tcPr>
          <w:p w14:paraId="349A6F0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0.2</w:t>
            </w:r>
          </w:p>
        </w:tc>
        <w:tc>
          <w:tcPr>
            <w:tcW w:w="924" w:type="dxa"/>
            <w:noWrap/>
            <w:hideMark/>
          </w:tcPr>
          <w:p w14:paraId="23A3223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0.1</w:t>
            </w:r>
          </w:p>
        </w:tc>
        <w:tc>
          <w:tcPr>
            <w:tcW w:w="924" w:type="dxa"/>
            <w:noWrap/>
            <w:hideMark/>
          </w:tcPr>
          <w:p w14:paraId="4463447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c>
          <w:tcPr>
            <w:tcW w:w="924" w:type="dxa"/>
            <w:noWrap/>
            <w:hideMark/>
          </w:tcPr>
          <w:p w14:paraId="2F461F1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0.2</w:t>
            </w:r>
          </w:p>
        </w:tc>
        <w:tc>
          <w:tcPr>
            <w:tcW w:w="924" w:type="dxa"/>
            <w:noWrap/>
            <w:hideMark/>
          </w:tcPr>
          <w:p w14:paraId="3024508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c>
          <w:tcPr>
            <w:tcW w:w="925" w:type="dxa"/>
            <w:noWrap/>
            <w:hideMark/>
          </w:tcPr>
          <w:p w14:paraId="7C31752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r>
      <w:tr w:rsidR="00120717" w:rsidRPr="00B93EE1" w14:paraId="60B5D821"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2A0C62CA" w14:textId="77777777" w:rsidR="00120717" w:rsidRPr="00B93EE1" w:rsidRDefault="00120717" w:rsidP="00D43564">
            <w:pPr>
              <w:jc w:val="left"/>
              <w:rPr>
                <w:rFonts w:cs="Calibri"/>
                <w:color w:val="000000"/>
                <w:sz w:val="16"/>
                <w:szCs w:val="16"/>
              </w:rPr>
            </w:pPr>
            <w:r w:rsidRPr="00B93EE1">
              <w:rPr>
                <w:rFonts w:cs="Calibri"/>
                <w:color w:val="000000"/>
                <w:sz w:val="16"/>
                <w:szCs w:val="16"/>
              </w:rPr>
              <w:t>Japan</w:t>
            </w:r>
          </w:p>
        </w:tc>
        <w:tc>
          <w:tcPr>
            <w:tcW w:w="924" w:type="dxa"/>
            <w:noWrap/>
            <w:hideMark/>
          </w:tcPr>
          <w:p w14:paraId="3836B86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264CF2C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c>
          <w:tcPr>
            <w:tcW w:w="924" w:type="dxa"/>
            <w:noWrap/>
            <w:hideMark/>
          </w:tcPr>
          <w:p w14:paraId="710B82D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0.1</w:t>
            </w:r>
          </w:p>
        </w:tc>
        <w:tc>
          <w:tcPr>
            <w:tcW w:w="924" w:type="dxa"/>
            <w:noWrap/>
            <w:hideMark/>
          </w:tcPr>
          <w:p w14:paraId="61A6EF7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c>
          <w:tcPr>
            <w:tcW w:w="924" w:type="dxa"/>
            <w:noWrap/>
            <w:hideMark/>
          </w:tcPr>
          <w:p w14:paraId="5C3E343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0.2</w:t>
            </w:r>
          </w:p>
        </w:tc>
        <w:tc>
          <w:tcPr>
            <w:tcW w:w="924" w:type="dxa"/>
            <w:noWrap/>
            <w:hideMark/>
          </w:tcPr>
          <w:p w14:paraId="59674AA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c>
          <w:tcPr>
            <w:tcW w:w="925" w:type="dxa"/>
            <w:noWrap/>
            <w:hideMark/>
          </w:tcPr>
          <w:p w14:paraId="6AA8970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0.2</w:t>
            </w:r>
          </w:p>
        </w:tc>
      </w:tr>
      <w:tr w:rsidR="00120717" w:rsidRPr="00B93EE1" w14:paraId="517FC07B" w14:textId="77777777" w:rsidTr="00D43564">
        <w:tc>
          <w:tcPr>
            <w:tcW w:w="2547" w:type="dxa"/>
            <w:noWrap/>
            <w:hideMark/>
          </w:tcPr>
          <w:p w14:paraId="3B3150DE" w14:textId="77777777" w:rsidR="00120717" w:rsidRPr="00B93EE1" w:rsidRDefault="00120717" w:rsidP="00D43564">
            <w:pPr>
              <w:jc w:val="left"/>
              <w:rPr>
                <w:rFonts w:cs="Calibri"/>
                <w:color w:val="000000"/>
                <w:sz w:val="16"/>
                <w:szCs w:val="16"/>
              </w:rPr>
            </w:pPr>
            <w:r w:rsidRPr="00B93EE1">
              <w:rPr>
                <w:rFonts w:cs="Calibri"/>
                <w:color w:val="000000"/>
                <w:sz w:val="16"/>
                <w:szCs w:val="16"/>
              </w:rPr>
              <w:t>Chile</w:t>
            </w:r>
          </w:p>
        </w:tc>
        <w:tc>
          <w:tcPr>
            <w:tcW w:w="924" w:type="dxa"/>
            <w:noWrap/>
            <w:hideMark/>
          </w:tcPr>
          <w:p w14:paraId="6DF8172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619E4B4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10BBB21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0BAC3CD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69A753E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2.4</w:t>
            </w:r>
          </w:p>
        </w:tc>
        <w:tc>
          <w:tcPr>
            <w:tcW w:w="924" w:type="dxa"/>
            <w:noWrap/>
            <w:hideMark/>
          </w:tcPr>
          <w:p w14:paraId="5349D30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0.1</w:t>
            </w:r>
          </w:p>
        </w:tc>
        <w:tc>
          <w:tcPr>
            <w:tcW w:w="925" w:type="dxa"/>
            <w:noWrap/>
            <w:hideMark/>
          </w:tcPr>
          <w:p w14:paraId="523189C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0.1</w:t>
            </w:r>
          </w:p>
        </w:tc>
      </w:tr>
      <w:tr w:rsidR="00120717" w:rsidRPr="00B93EE1" w14:paraId="2C882042"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2D080E12" w14:textId="77777777" w:rsidR="00120717" w:rsidRPr="00B93EE1" w:rsidRDefault="00120717" w:rsidP="00D43564">
            <w:pPr>
              <w:jc w:val="left"/>
              <w:rPr>
                <w:rFonts w:cs="Calibri"/>
                <w:color w:val="000000"/>
                <w:sz w:val="16"/>
                <w:szCs w:val="16"/>
              </w:rPr>
            </w:pPr>
            <w:r w:rsidRPr="00B93EE1">
              <w:rPr>
                <w:rFonts w:cs="Calibri"/>
                <w:color w:val="000000"/>
                <w:sz w:val="16"/>
                <w:szCs w:val="16"/>
              </w:rPr>
              <w:t>Chinese Taipei</w:t>
            </w:r>
          </w:p>
        </w:tc>
        <w:tc>
          <w:tcPr>
            <w:tcW w:w="924" w:type="dxa"/>
            <w:noWrap/>
            <w:hideMark/>
          </w:tcPr>
          <w:p w14:paraId="291084C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0.1</w:t>
            </w:r>
          </w:p>
        </w:tc>
        <w:tc>
          <w:tcPr>
            <w:tcW w:w="924" w:type="dxa"/>
            <w:noWrap/>
            <w:hideMark/>
          </w:tcPr>
          <w:p w14:paraId="79C2C7F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407F453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6D8F6F8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0.1</w:t>
            </w:r>
          </w:p>
        </w:tc>
        <w:tc>
          <w:tcPr>
            <w:tcW w:w="924" w:type="dxa"/>
            <w:noWrap/>
            <w:hideMark/>
          </w:tcPr>
          <w:p w14:paraId="32B757E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0.1</w:t>
            </w:r>
          </w:p>
        </w:tc>
        <w:tc>
          <w:tcPr>
            <w:tcW w:w="924" w:type="dxa"/>
            <w:noWrap/>
            <w:hideMark/>
          </w:tcPr>
          <w:p w14:paraId="3EB31CB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0.2</w:t>
            </w:r>
          </w:p>
        </w:tc>
        <w:tc>
          <w:tcPr>
            <w:tcW w:w="925" w:type="dxa"/>
            <w:noWrap/>
            <w:hideMark/>
          </w:tcPr>
          <w:p w14:paraId="786096D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0.1</w:t>
            </w:r>
          </w:p>
        </w:tc>
      </w:tr>
      <w:tr w:rsidR="00120717" w:rsidRPr="00B93EE1" w14:paraId="50AE8F47" w14:textId="77777777" w:rsidTr="00D43564">
        <w:tc>
          <w:tcPr>
            <w:tcW w:w="2547" w:type="dxa"/>
            <w:noWrap/>
            <w:hideMark/>
          </w:tcPr>
          <w:p w14:paraId="7D4A4F93" w14:textId="77777777" w:rsidR="00120717" w:rsidRPr="00B93EE1" w:rsidRDefault="00120717" w:rsidP="00D43564">
            <w:pPr>
              <w:jc w:val="left"/>
              <w:rPr>
                <w:rFonts w:cs="Calibri"/>
                <w:color w:val="000000"/>
                <w:sz w:val="16"/>
                <w:szCs w:val="16"/>
              </w:rPr>
            </w:pPr>
            <w:r w:rsidRPr="00B93EE1">
              <w:rPr>
                <w:rFonts w:cs="Calibri"/>
                <w:color w:val="000000"/>
                <w:sz w:val="16"/>
                <w:szCs w:val="16"/>
              </w:rPr>
              <w:t>Germany</w:t>
            </w:r>
          </w:p>
        </w:tc>
        <w:tc>
          <w:tcPr>
            <w:tcW w:w="924" w:type="dxa"/>
            <w:noWrap/>
            <w:hideMark/>
          </w:tcPr>
          <w:p w14:paraId="26DBC52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5827EBB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0E8BD22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0.2</w:t>
            </w:r>
          </w:p>
        </w:tc>
        <w:tc>
          <w:tcPr>
            <w:tcW w:w="924" w:type="dxa"/>
            <w:noWrap/>
            <w:hideMark/>
          </w:tcPr>
          <w:p w14:paraId="250A253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0.2</w:t>
            </w:r>
          </w:p>
        </w:tc>
        <w:tc>
          <w:tcPr>
            <w:tcW w:w="924" w:type="dxa"/>
            <w:noWrap/>
            <w:hideMark/>
          </w:tcPr>
          <w:p w14:paraId="1142A34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0.2</w:t>
            </w:r>
          </w:p>
        </w:tc>
        <w:tc>
          <w:tcPr>
            <w:tcW w:w="924" w:type="dxa"/>
            <w:noWrap/>
            <w:hideMark/>
          </w:tcPr>
          <w:p w14:paraId="447E644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0.1</w:t>
            </w:r>
          </w:p>
        </w:tc>
        <w:tc>
          <w:tcPr>
            <w:tcW w:w="925" w:type="dxa"/>
            <w:noWrap/>
            <w:hideMark/>
          </w:tcPr>
          <w:p w14:paraId="3FDB072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26BC50A8"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53BB7966" w14:textId="77777777" w:rsidR="00120717" w:rsidRPr="00B93EE1" w:rsidRDefault="00120717" w:rsidP="00D43564">
            <w:pPr>
              <w:jc w:val="left"/>
              <w:rPr>
                <w:rFonts w:cs="Calibri"/>
                <w:color w:val="000000"/>
                <w:sz w:val="16"/>
                <w:szCs w:val="16"/>
              </w:rPr>
            </w:pPr>
            <w:r w:rsidRPr="00B93EE1">
              <w:rPr>
                <w:rFonts w:cs="Calibri"/>
                <w:color w:val="000000"/>
                <w:sz w:val="16"/>
                <w:szCs w:val="16"/>
              </w:rPr>
              <w:t>United Arab Emirates</w:t>
            </w:r>
          </w:p>
        </w:tc>
        <w:tc>
          <w:tcPr>
            <w:tcW w:w="924" w:type="dxa"/>
            <w:noWrap/>
            <w:hideMark/>
          </w:tcPr>
          <w:p w14:paraId="5A2D196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0F33FB4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583BA67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c>
          <w:tcPr>
            <w:tcW w:w="924" w:type="dxa"/>
            <w:noWrap/>
            <w:hideMark/>
          </w:tcPr>
          <w:p w14:paraId="036EDF2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c>
          <w:tcPr>
            <w:tcW w:w="924" w:type="dxa"/>
            <w:noWrap/>
            <w:hideMark/>
          </w:tcPr>
          <w:p w14:paraId="4F72C70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c>
          <w:tcPr>
            <w:tcW w:w="924" w:type="dxa"/>
            <w:noWrap/>
            <w:hideMark/>
          </w:tcPr>
          <w:p w14:paraId="014A7A2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5" w:type="dxa"/>
            <w:noWrap/>
            <w:hideMark/>
          </w:tcPr>
          <w:p w14:paraId="213C70B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48C60AC9" w14:textId="77777777" w:rsidTr="00D43564">
        <w:tc>
          <w:tcPr>
            <w:tcW w:w="2547" w:type="dxa"/>
            <w:noWrap/>
            <w:hideMark/>
          </w:tcPr>
          <w:p w14:paraId="216F02E7" w14:textId="77777777" w:rsidR="00120717" w:rsidRPr="00B93EE1" w:rsidRDefault="00120717" w:rsidP="00D43564">
            <w:pPr>
              <w:jc w:val="left"/>
              <w:rPr>
                <w:rFonts w:cs="Calibri"/>
                <w:color w:val="000000"/>
                <w:sz w:val="16"/>
                <w:szCs w:val="16"/>
              </w:rPr>
            </w:pPr>
            <w:r w:rsidRPr="00B93EE1">
              <w:rPr>
                <w:rFonts w:cs="Calibri"/>
                <w:color w:val="000000"/>
                <w:sz w:val="16"/>
                <w:szCs w:val="16"/>
              </w:rPr>
              <w:t>France</w:t>
            </w:r>
          </w:p>
        </w:tc>
        <w:tc>
          <w:tcPr>
            <w:tcW w:w="924" w:type="dxa"/>
            <w:noWrap/>
            <w:hideMark/>
          </w:tcPr>
          <w:p w14:paraId="3ACF2D2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903E91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661267F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c>
          <w:tcPr>
            <w:tcW w:w="924" w:type="dxa"/>
            <w:noWrap/>
            <w:hideMark/>
          </w:tcPr>
          <w:p w14:paraId="6B2AEFD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0.3</w:t>
            </w:r>
          </w:p>
        </w:tc>
        <w:tc>
          <w:tcPr>
            <w:tcW w:w="924" w:type="dxa"/>
            <w:noWrap/>
            <w:hideMark/>
          </w:tcPr>
          <w:p w14:paraId="694073D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68A8931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2620861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4320B8F0"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70988B59" w14:textId="77777777" w:rsidR="00120717" w:rsidRPr="00B93EE1" w:rsidRDefault="00120717" w:rsidP="00D43564">
            <w:pPr>
              <w:jc w:val="left"/>
              <w:rPr>
                <w:rFonts w:cs="Calibri"/>
                <w:color w:val="000000"/>
                <w:sz w:val="16"/>
                <w:szCs w:val="16"/>
              </w:rPr>
            </w:pPr>
            <w:r w:rsidRPr="00B93EE1">
              <w:rPr>
                <w:rFonts w:cs="Calibri"/>
                <w:color w:val="000000"/>
                <w:sz w:val="16"/>
                <w:szCs w:val="16"/>
              </w:rPr>
              <w:t>Netherlands</w:t>
            </w:r>
          </w:p>
        </w:tc>
        <w:tc>
          <w:tcPr>
            <w:tcW w:w="924" w:type="dxa"/>
            <w:noWrap/>
            <w:hideMark/>
          </w:tcPr>
          <w:p w14:paraId="2726B65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1.7</w:t>
            </w:r>
          </w:p>
        </w:tc>
        <w:tc>
          <w:tcPr>
            <w:tcW w:w="924" w:type="dxa"/>
            <w:noWrap/>
            <w:hideMark/>
          </w:tcPr>
          <w:p w14:paraId="132EF05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1.4</w:t>
            </w:r>
          </w:p>
        </w:tc>
        <w:tc>
          <w:tcPr>
            <w:tcW w:w="924" w:type="dxa"/>
            <w:noWrap/>
            <w:hideMark/>
          </w:tcPr>
          <w:p w14:paraId="0AC627C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1.5</w:t>
            </w:r>
          </w:p>
        </w:tc>
        <w:tc>
          <w:tcPr>
            <w:tcW w:w="924" w:type="dxa"/>
            <w:noWrap/>
            <w:hideMark/>
          </w:tcPr>
          <w:p w14:paraId="6EF184D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4281193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6DB25F2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6EF8354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192A1BB9" w14:textId="77777777" w:rsidTr="00D43564">
        <w:tc>
          <w:tcPr>
            <w:tcW w:w="2547" w:type="dxa"/>
            <w:noWrap/>
            <w:hideMark/>
          </w:tcPr>
          <w:p w14:paraId="5963A86D" w14:textId="77777777" w:rsidR="00120717" w:rsidRPr="00B93EE1" w:rsidRDefault="00120717" w:rsidP="00D43564">
            <w:pPr>
              <w:jc w:val="left"/>
              <w:rPr>
                <w:rFonts w:cs="Calibri"/>
                <w:b/>
                <w:bCs/>
                <w:sz w:val="16"/>
                <w:szCs w:val="16"/>
              </w:rPr>
            </w:pPr>
            <w:r w:rsidRPr="00B93EE1">
              <w:rPr>
                <w:rFonts w:cs="Calibri"/>
                <w:b/>
                <w:bCs/>
                <w:sz w:val="16"/>
                <w:szCs w:val="16"/>
              </w:rPr>
              <w:t>By economic activity (% of total)</w:t>
            </w:r>
          </w:p>
        </w:tc>
        <w:tc>
          <w:tcPr>
            <w:tcW w:w="924" w:type="dxa"/>
            <w:noWrap/>
            <w:hideMark/>
          </w:tcPr>
          <w:p w14:paraId="5F41443F" w14:textId="77777777" w:rsidR="00120717" w:rsidRPr="00B93EE1" w:rsidRDefault="00120717" w:rsidP="00D43564">
            <w:pPr>
              <w:ind w:right="170"/>
              <w:rPr>
                <w:rFonts w:cs="Calibri"/>
                <w:b/>
                <w:bCs/>
                <w:sz w:val="16"/>
                <w:szCs w:val="16"/>
              </w:rPr>
            </w:pPr>
          </w:p>
        </w:tc>
        <w:tc>
          <w:tcPr>
            <w:tcW w:w="924" w:type="dxa"/>
            <w:noWrap/>
            <w:hideMark/>
          </w:tcPr>
          <w:p w14:paraId="65E41F3E" w14:textId="77777777" w:rsidR="00120717" w:rsidRPr="00B93EE1" w:rsidRDefault="00120717" w:rsidP="00D43564">
            <w:pPr>
              <w:ind w:right="170"/>
              <w:rPr>
                <w:sz w:val="20"/>
              </w:rPr>
            </w:pPr>
          </w:p>
        </w:tc>
        <w:tc>
          <w:tcPr>
            <w:tcW w:w="924" w:type="dxa"/>
            <w:noWrap/>
            <w:hideMark/>
          </w:tcPr>
          <w:p w14:paraId="7B8F7F1D" w14:textId="77777777" w:rsidR="00120717" w:rsidRPr="00B93EE1" w:rsidRDefault="00120717" w:rsidP="00D43564">
            <w:pPr>
              <w:ind w:right="170"/>
              <w:rPr>
                <w:sz w:val="20"/>
              </w:rPr>
            </w:pPr>
          </w:p>
        </w:tc>
        <w:tc>
          <w:tcPr>
            <w:tcW w:w="924" w:type="dxa"/>
            <w:noWrap/>
            <w:hideMark/>
          </w:tcPr>
          <w:p w14:paraId="4B0C6376" w14:textId="77777777" w:rsidR="00120717" w:rsidRPr="00B93EE1" w:rsidRDefault="00120717" w:rsidP="00D43564">
            <w:pPr>
              <w:ind w:right="170"/>
              <w:rPr>
                <w:sz w:val="20"/>
              </w:rPr>
            </w:pPr>
          </w:p>
        </w:tc>
        <w:tc>
          <w:tcPr>
            <w:tcW w:w="924" w:type="dxa"/>
            <w:noWrap/>
            <w:hideMark/>
          </w:tcPr>
          <w:p w14:paraId="35507D4F" w14:textId="77777777" w:rsidR="00120717" w:rsidRPr="00B93EE1" w:rsidRDefault="00120717" w:rsidP="00D43564">
            <w:pPr>
              <w:ind w:right="170"/>
              <w:rPr>
                <w:sz w:val="20"/>
              </w:rPr>
            </w:pPr>
          </w:p>
        </w:tc>
        <w:tc>
          <w:tcPr>
            <w:tcW w:w="924" w:type="dxa"/>
            <w:noWrap/>
            <w:hideMark/>
          </w:tcPr>
          <w:p w14:paraId="6BE41890" w14:textId="77777777" w:rsidR="00120717" w:rsidRPr="00B93EE1" w:rsidRDefault="00120717" w:rsidP="00D43564">
            <w:pPr>
              <w:ind w:right="170"/>
              <w:rPr>
                <w:sz w:val="20"/>
              </w:rPr>
            </w:pPr>
          </w:p>
        </w:tc>
        <w:tc>
          <w:tcPr>
            <w:tcW w:w="925" w:type="dxa"/>
            <w:noWrap/>
            <w:hideMark/>
          </w:tcPr>
          <w:p w14:paraId="288F367D" w14:textId="77777777" w:rsidR="00120717" w:rsidRPr="00B93EE1" w:rsidRDefault="00120717" w:rsidP="00D43564">
            <w:pPr>
              <w:ind w:right="170"/>
              <w:rPr>
                <w:sz w:val="20"/>
              </w:rPr>
            </w:pPr>
          </w:p>
        </w:tc>
      </w:tr>
      <w:tr w:rsidR="00120717" w:rsidRPr="00B93EE1" w14:paraId="386A6814"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7F765887" w14:textId="77777777" w:rsidR="00120717" w:rsidRPr="00B93EE1" w:rsidRDefault="00120717" w:rsidP="00D43564">
            <w:pPr>
              <w:jc w:val="left"/>
              <w:rPr>
                <w:rFonts w:cs="Calibri"/>
                <w:color w:val="000000"/>
                <w:sz w:val="16"/>
                <w:szCs w:val="16"/>
              </w:rPr>
            </w:pPr>
            <w:r w:rsidRPr="00B93EE1">
              <w:rPr>
                <w:rFonts w:cs="Calibri"/>
                <w:color w:val="000000"/>
                <w:sz w:val="16"/>
                <w:szCs w:val="16"/>
              </w:rPr>
              <w:t>Agriculture, forestry, and fishing</w:t>
            </w:r>
          </w:p>
        </w:tc>
        <w:tc>
          <w:tcPr>
            <w:tcW w:w="924" w:type="dxa"/>
            <w:noWrap/>
            <w:hideMark/>
          </w:tcPr>
          <w:p w14:paraId="7A2F287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7E2FDC4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0D219C0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5D6BA07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04F7F2F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730994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5E748DA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4C819361" w14:textId="77777777" w:rsidTr="00D43564">
        <w:tc>
          <w:tcPr>
            <w:tcW w:w="2547" w:type="dxa"/>
            <w:noWrap/>
            <w:hideMark/>
          </w:tcPr>
          <w:p w14:paraId="65279424" w14:textId="77777777" w:rsidR="00120717" w:rsidRPr="00B93EE1" w:rsidRDefault="00120717" w:rsidP="00D43564">
            <w:pPr>
              <w:jc w:val="left"/>
              <w:rPr>
                <w:rFonts w:cs="Calibri"/>
                <w:color w:val="000000"/>
                <w:sz w:val="16"/>
                <w:szCs w:val="16"/>
              </w:rPr>
            </w:pPr>
            <w:r w:rsidRPr="00B93EE1">
              <w:rPr>
                <w:rFonts w:cs="Calibri"/>
                <w:color w:val="000000"/>
                <w:sz w:val="16"/>
                <w:szCs w:val="16"/>
              </w:rPr>
              <w:t>Mining</w:t>
            </w:r>
          </w:p>
        </w:tc>
        <w:tc>
          <w:tcPr>
            <w:tcW w:w="924" w:type="dxa"/>
            <w:noWrap/>
            <w:hideMark/>
          </w:tcPr>
          <w:p w14:paraId="3A6B10D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8726AF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187F460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65AF27E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0B9AB83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4998D92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07CFDDE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7C708C93"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21FFD89E" w14:textId="77777777" w:rsidR="00120717" w:rsidRPr="00B93EE1" w:rsidRDefault="00120717" w:rsidP="00D43564">
            <w:pPr>
              <w:jc w:val="left"/>
              <w:rPr>
                <w:rFonts w:cs="Calibri"/>
                <w:color w:val="000000"/>
                <w:sz w:val="16"/>
                <w:szCs w:val="16"/>
              </w:rPr>
            </w:pPr>
            <w:r w:rsidRPr="00B93EE1">
              <w:rPr>
                <w:rFonts w:cs="Calibri"/>
                <w:color w:val="000000"/>
                <w:sz w:val="16"/>
                <w:szCs w:val="16"/>
              </w:rPr>
              <w:t>Manufacturing</w:t>
            </w:r>
          </w:p>
        </w:tc>
        <w:tc>
          <w:tcPr>
            <w:tcW w:w="924" w:type="dxa"/>
            <w:noWrap/>
            <w:hideMark/>
          </w:tcPr>
          <w:p w14:paraId="6F25D9D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38.3</w:t>
            </w:r>
          </w:p>
        </w:tc>
        <w:tc>
          <w:tcPr>
            <w:tcW w:w="924" w:type="dxa"/>
            <w:noWrap/>
            <w:hideMark/>
          </w:tcPr>
          <w:p w14:paraId="1A23395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36.2</w:t>
            </w:r>
          </w:p>
        </w:tc>
        <w:tc>
          <w:tcPr>
            <w:tcW w:w="924" w:type="dxa"/>
            <w:noWrap/>
            <w:hideMark/>
          </w:tcPr>
          <w:p w14:paraId="545C956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36.2</w:t>
            </w:r>
          </w:p>
        </w:tc>
        <w:tc>
          <w:tcPr>
            <w:tcW w:w="924" w:type="dxa"/>
            <w:noWrap/>
            <w:hideMark/>
          </w:tcPr>
          <w:p w14:paraId="7EDC6A7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39.7</w:t>
            </w:r>
          </w:p>
        </w:tc>
        <w:tc>
          <w:tcPr>
            <w:tcW w:w="924" w:type="dxa"/>
            <w:noWrap/>
            <w:hideMark/>
          </w:tcPr>
          <w:p w14:paraId="68EDD74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38.0</w:t>
            </w:r>
          </w:p>
        </w:tc>
        <w:tc>
          <w:tcPr>
            <w:tcW w:w="924" w:type="dxa"/>
            <w:noWrap/>
            <w:hideMark/>
          </w:tcPr>
          <w:p w14:paraId="0767F27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34.6</w:t>
            </w:r>
          </w:p>
        </w:tc>
        <w:tc>
          <w:tcPr>
            <w:tcW w:w="925" w:type="dxa"/>
            <w:noWrap/>
            <w:hideMark/>
          </w:tcPr>
          <w:p w14:paraId="39CCAF5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30.4</w:t>
            </w:r>
          </w:p>
        </w:tc>
      </w:tr>
      <w:tr w:rsidR="00120717" w:rsidRPr="00B93EE1" w14:paraId="767ED8A6" w14:textId="77777777" w:rsidTr="00D43564">
        <w:tc>
          <w:tcPr>
            <w:tcW w:w="2547" w:type="dxa"/>
            <w:noWrap/>
            <w:hideMark/>
          </w:tcPr>
          <w:p w14:paraId="04CDE508" w14:textId="77777777" w:rsidR="00120717" w:rsidRPr="00B93EE1" w:rsidRDefault="00120717" w:rsidP="00D43564">
            <w:pPr>
              <w:jc w:val="left"/>
              <w:rPr>
                <w:rFonts w:cs="Calibri"/>
                <w:color w:val="000000"/>
                <w:sz w:val="16"/>
                <w:szCs w:val="16"/>
              </w:rPr>
            </w:pPr>
            <w:r w:rsidRPr="00B93EE1">
              <w:rPr>
                <w:rFonts w:cs="Calibri"/>
                <w:color w:val="000000"/>
                <w:sz w:val="16"/>
                <w:szCs w:val="16"/>
              </w:rPr>
              <w:t>Electricity, gas, water, and waste services</w:t>
            </w:r>
          </w:p>
        </w:tc>
        <w:tc>
          <w:tcPr>
            <w:tcW w:w="924" w:type="dxa"/>
            <w:noWrap/>
            <w:hideMark/>
          </w:tcPr>
          <w:p w14:paraId="69D820A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2.9</w:t>
            </w:r>
          </w:p>
        </w:tc>
        <w:tc>
          <w:tcPr>
            <w:tcW w:w="924" w:type="dxa"/>
            <w:noWrap/>
            <w:hideMark/>
          </w:tcPr>
          <w:p w14:paraId="236A4C3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3.0</w:t>
            </w:r>
          </w:p>
        </w:tc>
        <w:tc>
          <w:tcPr>
            <w:tcW w:w="924" w:type="dxa"/>
            <w:noWrap/>
            <w:hideMark/>
          </w:tcPr>
          <w:p w14:paraId="3FFB8D4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06719A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7E50257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63B9FB2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70E4041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47400021"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7B4A4BEA" w14:textId="77777777" w:rsidR="00120717" w:rsidRPr="00B93EE1" w:rsidRDefault="00120717" w:rsidP="00D43564">
            <w:pPr>
              <w:jc w:val="left"/>
              <w:rPr>
                <w:rFonts w:cs="Calibri"/>
                <w:color w:val="000000"/>
                <w:sz w:val="16"/>
                <w:szCs w:val="16"/>
              </w:rPr>
            </w:pPr>
            <w:r w:rsidRPr="00B93EE1">
              <w:rPr>
                <w:rFonts w:cs="Calibri"/>
                <w:color w:val="000000"/>
                <w:sz w:val="16"/>
                <w:szCs w:val="16"/>
              </w:rPr>
              <w:t>Construction</w:t>
            </w:r>
          </w:p>
        </w:tc>
        <w:tc>
          <w:tcPr>
            <w:tcW w:w="924" w:type="dxa"/>
            <w:noWrap/>
            <w:hideMark/>
          </w:tcPr>
          <w:p w14:paraId="6C4F5AB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B57674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23212DE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4AEB22C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9A3068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E3E9D7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032BED6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64ED3AE0" w14:textId="77777777" w:rsidTr="00D43564">
        <w:tc>
          <w:tcPr>
            <w:tcW w:w="2547" w:type="dxa"/>
            <w:noWrap/>
            <w:hideMark/>
          </w:tcPr>
          <w:p w14:paraId="7D51DF28" w14:textId="77777777" w:rsidR="00120717" w:rsidRPr="00B93EE1" w:rsidRDefault="00120717" w:rsidP="00D43564">
            <w:pPr>
              <w:jc w:val="left"/>
              <w:rPr>
                <w:rFonts w:cs="Calibri"/>
                <w:color w:val="000000"/>
                <w:sz w:val="16"/>
                <w:szCs w:val="16"/>
              </w:rPr>
            </w:pPr>
            <w:r w:rsidRPr="00B93EE1">
              <w:rPr>
                <w:rFonts w:cs="Calibri"/>
                <w:color w:val="000000"/>
                <w:sz w:val="16"/>
                <w:szCs w:val="16"/>
              </w:rPr>
              <w:t>Wholesale trade</w:t>
            </w:r>
          </w:p>
        </w:tc>
        <w:tc>
          <w:tcPr>
            <w:tcW w:w="924" w:type="dxa"/>
            <w:noWrap/>
            <w:hideMark/>
          </w:tcPr>
          <w:p w14:paraId="48EB0B5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15.8</w:t>
            </w:r>
          </w:p>
        </w:tc>
        <w:tc>
          <w:tcPr>
            <w:tcW w:w="924" w:type="dxa"/>
            <w:noWrap/>
            <w:hideMark/>
          </w:tcPr>
          <w:p w14:paraId="7C1E4A7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22.1</w:t>
            </w:r>
          </w:p>
        </w:tc>
        <w:tc>
          <w:tcPr>
            <w:tcW w:w="924" w:type="dxa"/>
            <w:noWrap/>
            <w:hideMark/>
          </w:tcPr>
          <w:p w14:paraId="311C875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21.8</w:t>
            </w:r>
          </w:p>
        </w:tc>
        <w:tc>
          <w:tcPr>
            <w:tcW w:w="924" w:type="dxa"/>
            <w:noWrap/>
            <w:hideMark/>
          </w:tcPr>
          <w:p w14:paraId="2E81A84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19.2</w:t>
            </w:r>
          </w:p>
        </w:tc>
        <w:tc>
          <w:tcPr>
            <w:tcW w:w="924" w:type="dxa"/>
            <w:noWrap/>
            <w:hideMark/>
          </w:tcPr>
          <w:p w14:paraId="3F211C5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17.5</w:t>
            </w:r>
          </w:p>
        </w:tc>
        <w:tc>
          <w:tcPr>
            <w:tcW w:w="924" w:type="dxa"/>
            <w:noWrap/>
            <w:hideMark/>
          </w:tcPr>
          <w:p w14:paraId="7449BF3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11.9</w:t>
            </w:r>
          </w:p>
        </w:tc>
        <w:tc>
          <w:tcPr>
            <w:tcW w:w="925" w:type="dxa"/>
            <w:noWrap/>
            <w:hideMark/>
          </w:tcPr>
          <w:p w14:paraId="4C39EAB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12.5</w:t>
            </w:r>
          </w:p>
        </w:tc>
      </w:tr>
      <w:tr w:rsidR="00120717" w:rsidRPr="00B93EE1" w14:paraId="5406D74B"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7BF89483" w14:textId="77777777" w:rsidR="00120717" w:rsidRPr="00B93EE1" w:rsidRDefault="00120717" w:rsidP="00D43564">
            <w:pPr>
              <w:jc w:val="left"/>
              <w:rPr>
                <w:rFonts w:cs="Calibri"/>
                <w:color w:val="000000"/>
                <w:sz w:val="16"/>
                <w:szCs w:val="16"/>
              </w:rPr>
            </w:pPr>
            <w:r w:rsidRPr="00B93EE1">
              <w:rPr>
                <w:rFonts w:cs="Calibri"/>
                <w:color w:val="000000"/>
                <w:sz w:val="16"/>
                <w:szCs w:val="16"/>
              </w:rPr>
              <w:t>Retail trade</w:t>
            </w:r>
          </w:p>
        </w:tc>
        <w:tc>
          <w:tcPr>
            <w:tcW w:w="924" w:type="dxa"/>
            <w:noWrap/>
            <w:hideMark/>
          </w:tcPr>
          <w:p w14:paraId="0A66707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16F41C2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2DE7F49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4.6</w:t>
            </w:r>
          </w:p>
        </w:tc>
        <w:tc>
          <w:tcPr>
            <w:tcW w:w="924" w:type="dxa"/>
            <w:noWrap/>
            <w:hideMark/>
          </w:tcPr>
          <w:p w14:paraId="369FB74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5.4</w:t>
            </w:r>
          </w:p>
        </w:tc>
        <w:tc>
          <w:tcPr>
            <w:tcW w:w="924" w:type="dxa"/>
            <w:noWrap/>
            <w:hideMark/>
          </w:tcPr>
          <w:p w14:paraId="2845DD0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5.2</w:t>
            </w:r>
          </w:p>
        </w:tc>
        <w:tc>
          <w:tcPr>
            <w:tcW w:w="924" w:type="dxa"/>
            <w:noWrap/>
            <w:hideMark/>
          </w:tcPr>
          <w:p w14:paraId="1B3D3A0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6.2</w:t>
            </w:r>
          </w:p>
        </w:tc>
        <w:tc>
          <w:tcPr>
            <w:tcW w:w="925" w:type="dxa"/>
            <w:noWrap/>
            <w:hideMark/>
          </w:tcPr>
          <w:p w14:paraId="16E7C1E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6.0</w:t>
            </w:r>
          </w:p>
        </w:tc>
      </w:tr>
      <w:tr w:rsidR="00120717" w:rsidRPr="00B93EE1" w14:paraId="1631D776" w14:textId="77777777" w:rsidTr="00D43564">
        <w:tc>
          <w:tcPr>
            <w:tcW w:w="2547" w:type="dxa"/>
            <w:noWrap/>
            <w:hideMark/>
          </w:tcPr>
          <w:p w14:paraId="257E354F" w14:textId="77777777" w:rsidR="00120717" w:rsidRPr="00B93EE1" w:rsidRDefault="00120717" w:rsidP="00D43564">
            <w:pPr>
              <w:jc w:val="left"/>
              <w:rPr>
                <w:rFonts w:cs="Calibri"/>
                <w:sz w:val="16"/>
                <w:szCs w:val="16"/>
              </w:rPr>
            </w:pPr>
            <w:r w:rsidRPr="00B93EE1">
              <w:rPr>
                <w:rFonts w:cs="Calibri"/>
                <w:sz w:val="16"/>
                <w:szCs w:val="16"/>
              </w:rPr>
              <w:t>Accommodation and food services</w:t>
            </w:r>
          </w:p>
        </w:tc>
        <w:tc>
          <w:tcPr>
            <w:tcW w:w="924" w:type="dxa"/>
            <w:noWrap/>
            <w:hideMark/>
          </w:tcPr>
          <w:p w14:paraId="75CFE21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4321E77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06B8DEC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7D46398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0A19B85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17C2131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0B63FEC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61936608"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11238211" w14:textId="77777777" w:rsidR="00120717" w:rsidRPr="00B93EE1" w:rsidRDefault="00120717" w:rsidP="00D43564">
            <w:pPr>
              <w:jc w:val="left"/>
              <w:rPr>
                <w:rFonts w:cs="Calibri"/>
                <w:sz w:val="16"/>
                <w:szCs w:val="16"/>
              </w:rPr>
            </w:pPr>
            <w:r w:rsidRPr="00B93EE1">
              <w:rPr>
                <w:rFonts w:cs="Calibri"/>
                <w:sz w:val="16"/>
                <w:szCs w:val="16"/>
              </w:rPr>
              <w:t>Transport, postal, and warehousing</w:t>
            </w:r>
          </w:p>
        </w:tc>
        <w:tc>
          <w:tcPr>
            <w:tcW w:w="924" w:type="dxa"/>
            <w:noWrap/>
            <w:hideMark/>
          </w:tcPr>
          <w:p w14:paraId="1A41827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5.5</w:t>
            </w:r>
          </w:p>
        </w:tc>
        <w:tc>
          <w:tcPr>
            <w:tcW w:w="924" w:type="dxa"/>
            <w:noWrap/>
            <w:hideMark/>
          </w:tcPr>
          <w:p w14:paraId="5E37FE1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5.1</w:t>
            </w:r>
          </w:p>
        </w:tc>
        <w:tc>
          <w:tcPr>
            <w:tcW w:w="924" w:type="dxa"/>
            <w:noWrap/>
            <w:hideMark/>
          </w:tcPr>
          <w:p w14:paraId="251B2B1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1E510BC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263E169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6F50F9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72632BC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612DB726" w14:textId="77777777" w:rsidTr="00D43564">
        <w:tc>
          <w:tcPr>
            <w:tcW w:w="2547" w:type="dxa"/>
            <w:noWrap/>
            <w:hideMark/>
          </w:tcPr>
          <w:p w14:paraId="6EBE1ABE" w14:textId="77777777" w:rsidR="00120717" w:rsidRPr="00B93EE1" w:rsidRDefault="00120717" w:rsidP="00D43564">
            <w:pPr>
              <w:jc w:val="left"/>
              <w:rPr>
                <w:rFonts w:cs="Calibri"/>
                <w:sz w:val="16"/>
                <w:szCs w:val="16"/>
              </w:rPr>
            </w:pPr>
            <w:r w:rsidRPr="00B93EE1">
              <w:rPr>
                <w:rFonts w:cs="Calibri"/>
                <w:sz w:val="16"/>
                <w:szCs w:val="16"/>
              </w:rPr>
              <w:t>Information media and telecommunications</w:t>
            </w:r>
          </w:p>
        </w:tc>
        <w:tc>
          <w:tcPr>
            <w:tcW w:w="924" w:type="dxa"/>
            <w:noWrap/>
            <w:hideMark/>
          </w:tcPr>
          <w:p w14:paraId="0E14E31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52578FF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043BB91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0237D16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2.5</w:t>
            </w:r>
          </w:p>
        </w:tc>
        <w:tc>
          <w:tcPr>
            <w:tcW w:w="924" w:type="dxa"/>
            <w:noWrap/>
            <w:hideMark/>
          </w:tcPr>
          <w:p w14:paraId="32699C3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2.3</w:t>
            </w:r>
          </w:p>
        </w:tc>
        <w:tc>
          <w:tcPr>
            <w:tcW w:w="924" w:type="dxa"/>
            <w:noWrap/>
            <w:hideMark/>
          </w:tcPr>
          <w:p w14:paraId="189B83A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2115ECE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5C697FCB"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31D82238" w14:textId="77777777" w:rsidR="00120717" w:rsidRPr="00B93EE1" w:rsidRDefault="00120717" w:rsidP="00D43564">
            <w:pPr>
              <w:jc w:val="left"/>
              <w:rPr>
                <w:rFonts w:cs="Calibri"/>
                <w:sz w:val="16"/>
                <w:szCs w:val="16"/>
              </w:rPr>
            </w:pPr>
            <w:r w:rsidRPr="00B93EE1">
              <w:rPr>
                <w:rFonts w:cs="Calibri"/>
                <w:sz w:val="16"/>
                <w:szCs w:val="16"/>
              </w:rPr>
              <w:t>Financial and insurance services</w:t>
            </w:r>
          </w:p>
        </w:tc>
        <w:tc>
          <w:tcPr>
            <w:tcW w:w="924" w:type="dxa"/>
            <w:noWrap/>
            <w:hideMark/>
          </w:tcPr>
          <w:p w14:paraId="4BA58A0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6.2</w:t>
            </w:r>
          </w:p>
        </w:tc>
        <w:tc>
          <w:tcPr>
            <w:tcW w:w="924" w:type="dxa"/>
            <w:noWrap/>
            <w:hideMark/>
          </w:tcPr>
          <w:p w14:paraId="28ACCD3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8.9</w:t>
            </w:r>
          </w:p>
        </w:tc>
        <w:tc>
          <w:tcPr>
            <w:tcW w:w="924" w:type="dxa"/>
            <w:noWrap/>
            <w:hideMark/>
          </w:tcPr>
          <w:p w14:paraId="08488F7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9.7</w:t>
            </w:r>
          </w:p>
        </w:tc>
        <w:tc>
          <w:tcPr>
            <w:tcW w:w="924" w:type="dxa"/>
            <w:noWrap/>
            <w:hideMark/>
          </w:tcPr>
          <w:p w14:paraId="62B3B63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6.1</w:t>
            </w:r>
          </w:p>
        </w:tc>
        <w:tc>
          <w:tcPr>
            <w:tcW w:w="924" w:type="dxa"/>
            <w:noWrap/>
            <w:hideMark/>
          </w:tcPr>
          <w:p w14:paraId="2361755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9.7</w:t>
            </w:r>
          </w:p>
        </w:tc>
        <w:tc>
          <w:tcPr>
            <w:tcW w:w="924" w:type="dxa"/>
            <w:noWrap/>
            <w:hideMark/>
          </w:tcPr>
          <w:p w14:paraId="6CDEF73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18.1</w:t>
            </w:r>
          </w:p>
        </w:tc>
        <w:tc>
          <w:tcPr>
            <w:tcW w:w="925" w:type="dxa"/>
            <w:noWrap/>
            <w:hideMark/>
          </w:tcPr>
          <w:p w14:paraId="40BE37A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37500D40" w14:textId="77777777" w:rsidTr="00D43564">
        <w:tc>
          <w:tcPr>
            <w:tcW w:w="2547" w:type="dxa"/>
            <w:noWrap/>
            <w:hideMark/>
          </w:tcPr>
          <w:p w14:paraId="56587A31" w14:textId="77777777" w:rsidR="00120717" w:rsidRPr="00B93EE1" w:rsidRDefault="00120717" w:rsidP="00D43564">
            <w:pPr>
              <w:jc w:val="left"/>
              <w:rPr>
                <w:rFonts w:cs="Calibri"/>
                <w:sz w:val="16"/>
                <w:szCs w:val="16"/>
              </w:rPr>
            </w:pPr>
            <w:r w:rsidRPr="00B93EE1">
              <w:rPr>
                <w:rFonts w:cs="Calibri"/>
                <w:sz w:val="16"/>
                <w:szCs w:val="16"/>
              </w:rPr>
              <w:t>Rental, hiring, and real estate services</w:t>
            </w:r>
          </w:p>
        </w:tc>
        <w:tc>
          <w:tcPr>
            <w:tcW w:w="924" w:type="dxa"/>
            <w:noWrap/>
            <w:hideMark/>
          </w:tcPr>
          <w:p w14:paraId="1B5495C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17029CF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5A4C162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3FBBEE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5BD65AE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4969833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6FDAC8A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3A3AFBE5"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151929CB" w14:textId="77777777" w:rsidR="00120717" w:rsidRPr="00B93EE1" w:rsidRDefault="00120717" w:rsidP="00D43564">
            <w:pPr>
              <w:jc w:val="left"/>
              <w:rPr>
                <w:rFonts w:cs="Calibri"/>
                <w:sz w:val="16"/>
                <w:szCs w:val="16"/>
              </w:rPr>
            </w:pPr>
            <w:r w:rsidRPr="00B93EE1">
              <w:rPr>
                <w:rFonts w:cs="Calibri"/>
                <w:sz w:val="16"/>
                <w:szCs w:val="16"/>
              </w:rPr>
              <w:t>Professional, scientific, and technical services</w:t>
            </w:r>
          </w:p>
        </w:tc>
        <w:tc>
          <w:tcPr>
            <w:tcW w:w="924" w:type="dxa"/>
            <w:noWrap/>
            <w:hideMark/>
          </w:tcPr>
          <w:p w14:paraId="0165068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1BB8EC5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0.5</w:t>
            </w:r>
          </w:p>
        </w:tc>
        <w:tc>
          <w:tcPr>
            <w:tcW w:w="924" w:type="dxa"/>
            <w:noWrap/>
            <w:hideMark/>
          </w:tcPr>
          <w:p w14:paraId="2050C53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c>
          <w:tcPr>
            <w:tcW w:w="924" w:type="dxa"/>
            <w:noWrap/>
            <w:hideMark/>
          </w:tcPr>
          <w:p w14:paraId="55AB9A8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c>
          <w:tcPr>
            <w:tcW w:w="924" w:type="dxa"/>
            <w:noWrap/>
            <w:hideMark/>
          </w:tcPr>
          <w:p w14:paraId="335300D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0.4</w:t>
            </w:r>
          </w:p>
        </w:tc>
        <w:tc>
          <w:tcPr>
            <w:tcW w:w="924" w:type="dxa"/>
            <w:noWrap/>
            <w:hideMark/>
          </w:tcPr>
          <w:p w14:paraId="1253520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0.7</w:t>
            </w:r>
          </w:p>
        </w:tc>
        <w:tc>
          <w:tcPr>
            <w:tcW w:w="925" w:type="dxa"/>
            <w:noWrap/>
            <w:hideMark/>
          </w:tcPr>
          <w:p w14:paraId="217FADC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0.6</w:t>
            </w:r>
          </w:p>
        </w:tc>
      </w:tr>
      <w:tr w:rsidR="00120717" w:rsidRPr="00B93EE1" w14:paraId="7D13A173" w14:textId="77777777" w:rsidTr="00D43564">
        <w:tc>
          <w:tcPr>
            <w:tcW w:w="2547" w:type="dxa"/>
            <w:noWrap/>
            <w:hideMark/>
          </w:tcPr>
          <w:p w14:paraId="03DE4E0C" w14:textId="77777777" w:rsidR="00120717" w:rsidRPr="00B93EE1" w:rsidRDefault="00120717" w:rsidP="00D43564">
            <w:pPr>
              <w:jc w:val="left"/>
              <w:rPr>
                <w:rFonts w:cs="Calibri"/>
                <w:sz w:val="16"/>
                <w:szCs w:val="16"/>
              </w:rPr>
            </w:pPr>
            <w:r w:rsidRPr="00B93EE1">
              <w:rPr>
                <w:rFonts w:cs="Calibri"/>
                <w:sz w:val="16"/>
                <w:szCs w:val="16"/>
              </w:rPr>
              <w:t>Administrative and support services</w:t>
            </w:r>
          </w:p>
        </w:tc>
        <w:tc>
          <w:tcPr>
            <w:tcW w:w="924" w:type="dxa"/>
            <w:noWrap/>
            <w:hideMark/>
          </w:tcPr>
          <w:p w14:paraId="0264CB4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6FD6F6A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24C11D5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1F8E834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94EB58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1B97A0A4"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22FA72D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3677D9BF"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7525BDB2" w14:textId="77777777" w:rsidR="00120717" w:rsidRPr="00B93EE1" w:rsidRDefault="00120717" w:rsidP="00D43564">
            <w:pPr>
              <w:jc w:val="left"/>
              <w:rPr>
                <w:rFonts w:cs="Calibri"/>
                <w:sz w:val="16"/>
                <w:szCs w:val="16"/>
              </w:rPr>
            </w:pPr>
            <w:r w:rsidRPr="00B93EE1">
              <w:rPr>
                <w:rFonts w:cs="Calibri"/>
                <w:sz w:val="16"/>
                <w:szCs w:val="16"/>
              </w:rPr>
              <w:t>Public administration and safety</w:t>
            </w:r>
          </w:p>
        </w:tc>
        <w:tc>
          <w:tcPr>
            <w:tcW w:w="924" w:type="dxa"/>
            <w:noWrap/>
            <w:hideMark/>
          </w:tcPr>
          <w:p w14:paraId="43EB5ED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37A2E7E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7FA660ED"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2CE15B2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5C72FF7F"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42C08F8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5" w:type="dxa"/>
            <w:noWrap/>
            <w:hideMark/>
          </w:tcPr>
          <w:p w14:paraId="704F8A4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r>
      <w:tr w:rsidR="00120717" w:rsidRPr="00B93EE1" w14:paraId="4F73CED0" w14:textId="77777777" w:rsidTr="00D43564">
        <w:tc>
          <w:tcPr>
            <w:tcW w:w="2547" w:type="dxa"/>
            <w:noWrap/>
            <w:hideMark/>
          </w:tcPr>
          <w:p w14:paraId="2EE95139" w14:textId="77777777" w:rsidR="00120717" w:rsidRPr="00B93EE1" w:rsidRDefault="00120717" w:rsidP="00D43564">
            <w:pPr>
              <w:jc w:val="left"/>
              <w:rPr>
                <w:rFonts w:cs="Calibri"/>
                <w:sz w:val="16"/>
                <w:szCs w:val="16"/>
              </w:rPr>
            </w:pPr>
            <w:r w:rsidRPr="00B93EE1">
              <w:rPr>
                <w:rFonts w:cs="Calibri"/>
                <w:sz w:val="16"/>
                <w:szCs w:val="16"/>
              </w:rPr>
              <w:t>Education and training</w:t>
            </w:r>
          </w:p>
        </w:tc>
        <w:tc>
          <w:tcPr>
            <w:tcW w:w="924" w:type="dxa"/>
            <w:noWrap/>
            <w:hideMark/>
          </w:tcPr>
          <w:p w14:paraId="47DDD392"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240A560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3B939AD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28A828D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56326CF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678AD21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5" w:type="dxa"/>
            <w:noWrap/>
            <w:hideMark/>
          </w:tcPr>
          <w:p w14:paraId="53AA831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r>
      <w:tr w:rsidR="00120717" w:rsidRPr="00B93EE1" w14:paraId="79B6B2DA"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28D1EA04" w14:textId="77777777" w:rsidR="00120717" w:rsidRPr="00B93EE1" w:rsidRDefault="00120717" w:rsidP="00D43564">
            <w:pPr>
              <w:jc w:val="left"/>
              <w:rPr>
                <w:rFonts w:cs="Calibri"/>
                <w:sz w:val="16"/>
                <w:szCs w:val="16"/>
              </w:rPr>
            </w:pPr>
            <w:r w:rsidRPr="00B93EE1">
              <w:rPr>
                <w:rFonts w:cs="Calibri"/>
                <w:sz w:val="16"/>
                <w:szCs w:val="16"/>
              </w:rPr>
              <w:t>Health care and social assistance</w:t>
            </w:r>
          </w:p>
        </w:tc>
        <w:tc>
          <w:tcPr>
            <w:tcW w:w="924" w:type="dxa"/>
            <w:noWrap/>
            <w:hideMark/>
          </w:tcPr>
          <w:p w14:paraId="180B56E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0610846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42B5142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7D2EBB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31AAAE1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4" w:type="dxa"/>
            <w:noWrap/>
            <w:hideMark/>
          </w:tcPr>
          <w:p w14:paraId="7BE6836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c>
          <w:tcPr>
            <w:tcW w:w="925" w:type="dxa"/>
            <w:noWrap/>
            <w:hideMark/>
          </w:tcPr>
          <w:p w14:paraId="554CADD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w:t>
            </w:r>
          </w:p>
        </w:tc>
      </w:tr>
      <w:tr w:rsidR="00120717" w:rsidRPr="00B93EE1" w14:paraId="5FA92C82" w14:textId="77777777" w:rsidTr="00D43564">
        <w:tc>
          <w:tcPr>
            <w:tcW w:w="2547" w:type="dxa"/>
            <w:noWrap/>
            <w:hideMark/>
          </w:tcPr>
          <w:p w14:paraId="70F83E8B" w14:textId="77777777" w:rsidR="00120717" w:rsidRPr="00B93EE1" w:rsidRDefault="00120717" w:rsidP="00D43564">
            <w:pPr>
              <w:jc w:val="left"/>
              <w:rPr>
                <w:rFonts w:cs="Calibri"/>
                <w:sz w:val="16"/>
                <w:szCs w:val="16"/>
              </w:rPr>
            </w:pPr>
            <w:r w:rsidRPr="00B93EE1">
              <w:rPr>
                <w:rFonts w:cs="Calibri"/>
                <w:sz w:val="16"/>
                <w:szCs w:val="16"/>
              </w:rPr>
              <w:t>Arts and recreation services</w:t>
            </w:r>
          </w:p>
        </w:tc>
        <w:tc>
          <w:tcPr>
            <w:tcW w:w="924" w:type="dxa"/>
            <w:noWrap/>
            <w:hideMark/>
          </w:tcPr>
          <w:p w14:paraId="7E84435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1.7</w:t>
            </w:r>
          </w:p>
        </w:tc>
        <w:tc>
          <w:tcPr>
            <w:tcW w:w="924" w:type="dxa"/>
            <w:noWrap/>
            <w:hideMark/>
          </w:tcPr>
          <w:p w14:paraId="33177F20"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2.2</w:t>
            </w:r>
          </w:p>
        </w:tc>
        <w:tc>
          <w:tcPr>
            <w:tcW w:w="924" w:type="dxa"/>
            <w:noWrap/>
            <w:hideMark/>
          </w:tcPr>
          <w:p w14:paraId="2774BC7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2.2</w:t>
            </w:r>
          </w:p>
        </w:tc>
        <w:tc>
          <w:tcPr>
            <w:tcW w:w="924" w:type="dxa"/>
            <w:noWrap/>
            <w:hideMark/>
          </w:tcPr>
          <w:p w14:paraId="446F6398"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1.3</w:t>
            </w:r>
          </w:p>
        </w:tc>
        <w:tc>
          <w:tcPr>
            <w:tcW w:w="924" w:type="dxa"/>
            <w:noWrap/>
            <w:hideMark/>
          </w:tcPr>
          <w:p w14:paraId="004C9EC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2.1</w:t>
            </w:r>
          </w:p>
        </w:tc>
        <w:tc>
          <w:tcPr>
            <w:tcW w:w="924" w:type="dxa"/>
            <w:noWrap/>
            <w:hideMark/>
          </w:tcPr>
          <w:p w14:paraId="1674FD7C"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1.9</w:t>
            </w:r>
          </w:p>
        </w:tc>
        <w:tc>
          <w:tcPr>
            <w:tcW w:w="925" w:type="dxa"/>
            <w:noWrap/>
            <w:hideMark/>
          </w:tcPr>
          <w:p w14:paraId="212D3DD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2.6</w:t>
            </w:r>
          </w:p>
        </w:tc>
      </w:tr>
      <w:tr w:rsidR="00120717" w:rsidRPr="00B93EE1" w14:paraId="69B23391" w14:textId="77777777" w:rsidTr="00D43564">
        <w:trPr>
          <w:cnfStyle w:val="000000010000" w:firstRow="0" w:lastRow="0" w:firstColumn="0" w:lastColumn="0" w:oddVBand="0" w:evenVBand="0" w:oddHBand="0" w:evenHBand="1" w:firstRowFirstColumn="0" w:firstRowLastColumn="0" w:lastRowFirstColumn="0" w:lastRowLastColumn="0"/>
        </w:trPr>
        <w:tc>
          <w:tcPr>
            <w:tcW w:w="2547" w:type="dxa"/>
            <w:noWrap/>
            <w:hideMark/>
          </w:tcPr>
          <w:p w14:paraId="781D625F" w14:textId="77777777" w:rsidR="00120717" w:rsidRPr="00B93EE1" w:rsidRDefault="00120717" w:rsidP="00D43564">
            <w:pPr>
              <w:jc w:val="left"/>
              <w:rPr>
                <w:rFonts w:cs="Calibri"/>
                <w:sz w:val="16"/>
                <w:szCs w:val="16"/>
              </w:rPr>
            </w:pPr>
            <w:r w:rsidRPr="00B93EE1">
              <w:rPr>
                <w:rFonts w:cs="Calibri"/>
                <w:sz w:val="16"/>
                <w:szCs w:val="16"/>
              </w:rPr>
              <w:t>Other services</w:t>
            </w:r>
          </w:p>
        </w:tc>
        <w:tc>
          <w:tcPr>
            <w:tcW w:w="924" w:type="dxa"/>
            <w:noWrap/>
            <w:hideMark/>
          </w:tcPr>
          <w:p w14:paraId="1A53CCFA"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1BEB4D0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2CF757A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27EA14B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5A292D55"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4" w:type="dxa"/>
            <w:noWrap/>
            <w:hideMark/>
          </w:tcPr>
          <w:p w14:paraId="78BCFDF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c>
          <w:tcPr>
            <w:tcW w:w="925" w:type="dxa"/>
            <w:noWrap/>
            <w:hideMark/>
          </w:tcPr>
          <w:p w14:paraId="05675EF3"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0.0</w:t>
            </w:r>
          </w:p>
        </w:tc>
      </w:tr>
      <w:tr w:rsidR="00120717" w:rsidRPr="00B93EE1" w14:paraId="12614B54" w14:textId="77777777" w:rsidTr="00D43564">
        <w:tc>
          <w:tcPr>
            <w:tcW w:w="2547" w:type="dxa"/>
            <w:noWrap/>
            <w:hideMark/>
          </w:tcPr>
          <w:p w14:paraId="747130B7" w14:textId="77777777" w:rsidR="00120717" w:rsidRPr="00B93EE1" w:rsidRDefault="00120717" w:rsidP="00D43564">
            <w:pPr>
              <w:jc w:val="left"/>
              <w:rPr>
                <w:rFonts w:cs="Calibri"/>
                <w:sz w:val="16"/>
                <w:szCs w:val="16"/>
              </w:rPr>
            </w:pPr>
            <w:r w:rsidRPr="00B93EE1">
              <w:rPr>
                <w:rFonts w:cs="Calibri"/>
                <w:sz w:val="16"/>
                <w:szCs w:val="16"/>
              </w:rPr>
              <w:t>Unallocated to industry</w:t>
            </w:r>
          </w:p>
        </w:tc>
        <w:tc>
          <w:tcPr>
            <w:tcW w:w="924" w:type="dxa"/>
            <w:noWrap/>
            <w:hideMark/>
          </w:tcPr>
          <w:p w14:paraId="3566E40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6.0</w:t>
            </w:r>
          </w:p>
        </w:tc>
        <w:tc>
          <w:tcPr>
            <w:tcW w:w="924" w:type="dxa"/>
            <w:noWrap/>
            <w:hideMark/>
          </w:tcPr>
          <w:p w14:paraId="4746AAA6"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6.0</w:t>
            </w:r>
          </w:p>
        </w:tc>
        <w:tc>
          <w:tcPr>
            <w:tcW w:w="924" w:type="dxa"/>
            <w:noWrap/>
            <w:hideMark/>
          </w:tcPr>
          <w:p w14:paraId="7D0D6E6E"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6.0</w:t>
            </w:r>
          </w:p>
        </w:tc>
        <w:tc>
          <w:tcPr>
            <w:tcW w:w="924" w:type="dxa"/>
            <w:noWrap/>
            <w:hideMark/>
          </w:tcPr>
          <w:p w14:paraId="075260C9"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6.2</w:t>
            </w:r>
          </w:p>
        </w:tc>
        <w:tc>
          <w:tcPr>
            <w:tcW w:w="924" w:type="dxa"/>
            <w:noWrap/>
            <w:hideMark/>
          </w:tcPr>
          <w:p w14:paraId="7E57A501"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5.7</w:t>
            </w:r>
          </w:p>
        </w:tc>
        <w:tc>
          <w:tcPr>
            <w:tcW w:w="924" w:type="dxa"/>
            <w:noWrap/>
            <w:hideMark/>
          </w:tcPr>
          <w:p w14:paraId="03621B17"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5.5</w:t>
            </w:r>
          </w:p>
        </w:tc>
        <w:tc>
          <w:tcPr>
            <w:tcW w:w="925" w:type="dxa"/>
            <w:noWrap/>
            <w:hideMark/>
          </w:tcPr>
          <w:p w14:paraId="65B6016B" w14:textId="77777777" w:rsidR="00120717" w:rsidRPr="00B93EE1" w:rsidRDefault="00120717" w:rsidP="00D43564">
            <w:pPr>
              <w:ind w:right="170"/>
              <w:jc w:val="right"/>
              <w:rPr>
                <w:rFonts w:cs="Calibri"/>
                <w:color w:val="000000"/>
                <w:sz w:val="16"/>
                <w:szCs w:val="16"/>
              </w:rPr>
            </w:pPr>
            <w:r w:rsidRPr="00B93EE1">
              <w:rPr>
                <w:rFonts w:cs="Calibri"/>
                <w:color w:val="000000"/>
                <w:sz w:val="16"/>
                <w:szCs w:val="16"/>
              </w:rPr>
              <w:t>5.1</w:t>
            </w:r>
          </w:p>
        </w:tc>
      </w:tr>
    </w:tbl>
    <w:bookmarkEnd w:id="15"/>
    <w:p w14:paraId="399386BF" w14:textId="77777777" w:rsidR="00120717" w:rsidRPr="00B93EE1" w:rsidRDefault="00120717" w:rsidP="003C53A8">
      <w:pPr>
        <w:pStyle w:val="NoteText"/>
        <w:spacing w:before="120"/>
      </w:pPr>
      <w:r w:rsidRPr="00B93EE1">
        <w:t>..</w:t>
      </w:r>
      <w:r w:rsidRPr="00B93EE1">
        <w:tab/>
        <w:t>Not available. Marked as confidential. Other countries having confidential data include Argentina, Belgium, the Cook Islands, Luxembourg, and Malaysia.</w:t>
      </w:r>
    </w:p>
    <w:p w14:paraId="6BA50DD3" w14:textId="77777777" w:rsidR="00120717" w:rsidRPr="00B93EE1" w:rsidRDefault="00120717" w:rsidP="003C53A8">
      <w:pPr>
        <w:pStyle w:val="NoteText"/>
        <w:spacing w:before="120"/>
      </w:pPr>
      <w:r w:rsidRPr="00B93EE1">
        <w:t>Note:</w:t>
      </w:r>
      <w:r w:rsidRPr="00B93EE1">
        <w:tab/>
        <w:t>Figures are based on fiscal year: 1 April to 31 March.</w:t>
      </w:r>
    </w:p>
    <w:p w14:paraId="2AC858A5" w14:textId="77777777" w:rsidR="00C83C78" w:rsidRPr="00927DD0" w:rsidRDefault="00120717" w:rsidP="003C53A8">
      <w:pPr>
        <w:pStyle w:val="NoteText"/>
        <w:spacing w:before="120"/>
        <w:rPr>
          <w:sz w:val="4"/>
          <w:szCs w:val="4"/>
        </w:rPr>
        <w:sectPr w:rsidR="00C83C78" w:rsidRPr="00927DD0" w:rsidSect="003D7746">
          <w:pgSz w:w="11906" w:h="16838" w:code="9"/>
          <w:pgMar w:top="1701" w:right="1440" w:bottom="1440" w:left="1440" w:header="720" w:footer="720" w:gutter="0"/>
          <w:cols w:space="720"/>
          <w:docGrid w:linePitch="360"/>
        </w:sectPr>
      </w:pPr>
      <w:r w:rsidRPr="00B93EE1">
        <w:t>Source:</w:t>
      </w:r>
      <w:r w:rsidRPr="00B93EE1">
        <w:tab/>
        <w:t xml:space="preserve">Statistics New Zealand, </w:t>
      </w:r>
      <w:r w:rsidRPr="00B93EE1">
        <w:rPr>
          <w:i/>
          <w:iCs/>
        </w:rPr>
        <w:t>Balance of Payments</w:t>
      </w:r>
      <w:r w:rsidRPr="00B93EE1">
        <w:t xml:space="preserve">. Viewed at: </w:t>
      </w:r>
      <w:hyperlink r:id="rId26" w:history="1">
        <w:r w:rsidRPr="00B93EE1">
          <w:rPr>
            <w:rStyle w:val="Hyperlink"/>
          </w:rPr>
          <w:t>https://www.stats.govt.nz/topics/balance-of-payments</w:t>
        </w:r>
      </w:hyperlink>
      <w:r w:rsidRPr="00B93EE1">
        <w:t>.</w:t>
      </w:r>
    </w:p>
    <w:p w14:paraId="555D949E" w14:textId="77777777" w:rsidR="00120717" w:rsidRPr="00F64A35" w:rsidRDefault="00120717" w:rsidP="001B11BB">
      <w:pPr>
        <w:pStyle w:val="Heading1"/>
      </w:pPr>
      <w:bookmarkStart w:id="51" w:name="_Toc97800122"/>
      <w:r w:rsidRPr="00B93EE1">
        <w:lastRenderedPageBreak/>
        <w:t>TRADE AND INVESTMENT REGIMES</w:t>
      </w:r>
      <w:bookmarkEnd w:id="51"/>
    </w:p>
    <w:p w14:paraId="021B5FEC" w14:textId="77777777" w:rsidR="00120717" w:rsidRPr="00F64A35" w:rsidRDefault="00120717" w:rsidP="00E962FF">
      <w:pPr>
        <w:pStyle w:val="Heading2"/>
        <w:numPr>
          <w:ilvl w:val="1"/>
          <w:numId w:val="21"/>
        </w:numPr>
      </w:pPr>
      <w:bookmarkStart w:id="52" w:name="_Toc97800123"/>
      <w:r w:rsidRPr="00B93EE1">
        <w:t>General Framework</w:t>
      </w:r>
      <w:bookmarkEnd w:id="52"/>
    </w:p>
    <w:p w14:paraId="6F3B9123" w14:textId="77777777" w:rsidR="00120717" w:rsidRPr="00F64A35" w:rsidRDefault="00120717" w:rsidP="00A13562">
      <w:pPr>
        <w:pStyle w:val="BodyText"/>
      </w:pPr>
      <w:r w:rsidRPr="00B93EE1">
        <w:t>New Zealand's system of government and related legal framework were not subject to any significant change during the review period. New Zealand is a constitutional monarchy with a parliamentary government.</w:t>
      </w:r>
    </w:p>
    <w:p w14:paraId="5B3BD298" w14:textId="45E6F489" w:rsidR="00120717" w:rsidRPr="00F64A35" w:rsidRDefault="00120717" w:rsidP="00464FFA">
      <w:pPr>
        <w:pStyle w:val="BodyText"/>
      </w:pPr>
      <w:r w:rsidRPr="00B93EE1">
        <w:t>Its constitution is not reflected in one single document but consists of a combination of legal documents, common law, and constitutional conventions. Its political system is defined by the Constitution Act of 1986, under which the Head of the State is the British Sovereign, who is represented in New Zealand by the Governor</w:t>
      </w:r>
      <w:r w:rsidRPr="00B93EE1">
        <w:noBreakHyphen/>
        <w:t xml:space="preserve">General. Both can exercise their powers only with the advice and consent of the Government, which is led by the Prime Minister. </w:t>
      </w:r>
      <w:r w:rsidR="007E0A45">
        <w:t>T</w:t>
      </w:r>
      <w:r w:rsidRPr="00B93EE1">
        <w:t>he Governor</w:t>
      </w:r>
      <w:r w:rsidRPr="00B93EE1">
        <w:noBreakHyphen/>
        <w:t>General</w:t>
      </w:r>
      <w:r w:rsidR="007E0A45">
        <w:t xml:space="preserve"> i</w:t>
      </w:r>
      <w:r w:rsidRPr="00B93EE1">
        <w:t>s appointed by the Sovereign but picked by the Prime Minister. The Governor</w:t>
      </w:r>
      <w:r w:rsidRPr="00B93EE1">
        <w:noBreakHyphen/>
        <w:t>General stays in office for a period of five years. The current Governor</w:t>
      </w:r>
      <w:r w:rsidRPr="00B93EE1">
        <w:noBreakHyphen/>
        <w:t>General took office in October 2021.</w:t>
      </w:r>
    </w:p>
    <w:p w14:paraId="210AEAC3" w14:textId="53ECC03A" w:rsidR="00120717" w:rsidRPr="00F64A35" w:rsidRDefault="00120717" w:rsidP="00727EE4">
      <w:pPr>
        <w:pStyle w:val="BodyText"/>
      </w:pPr>
      <w:r w:rsidRPr="00B93EE1">
        <w:t>The Government has three branches: executive, legislative, and judiciary. The Executive is represented by the executive council led by the Prime Minister.</w:t>
      </w:r>
      <w:r w:rsidR="006A0ECF">
        <w:rPr>
          <w:rStyle w:val="FootnoteReference"/>
        </w:rPr>
        <w:footnoteReference w:id="39"/>
      </w:r>
      <w:r w:rsidRPr="00B93EE1">
        <w:t xml:space="preserve"> The legislative branch is composed of the Governor-General and the Parliament (House of Representatives), which is unicameral, and has in general 120 Members elected every three years.</w:t>
      </w:r>
      <w:r w:rsidRPr="00B93EE1">
        <w:rPr>
          <w:rStyle w:val="FootnoteReference"/>
        </w:rPr>
        <w:footnoteReference w:id="40"/>
      </w:r>
      <w:r w:rsidRPr="00B93EE1">
        <w:t xml:space="preserve"> The last election took place in 2020. Elections are based on a "mixed member proportional" voting system where voters have two votes: one for a political party and one for an electorate Member of Parliament (MP). The leader of the party that wins the largest number of seats usually becomes Prime Minister and Head of Government. However, there have been instances where a minority coalition government has been formed and the Prime Minister is the leader of a party that did not win the most seats, but has managed to gain support of a majority of MPs through a coalition agreement with other political party or parties. The Parliament is responsible, </w:t>
      </w:r>
      <w:r w:rsidRPr="00B93EE1">
        <w:rPr>
          <w:i/>
          <w:iCs/>
        </w:rPr>
        <w:t>inter alia,</w:t>
      </w:r>
      <w:r w:rsidRPr="00B93EE1">
        <w:t xml:space="preserve"> for making new laws and amending existing ones and scrutinizing the Executive. Before becoming a law (Act), the proposed law – a bill – is introduced in the Parliament, and goes through different stages, including requests for public submissions and invitations to public hearings. Once the bill's final form has been agreed, the Parliament can pass it or reject it. If the bill is passed, it becomes a law (i.e. Act of Parliament) when the Governor-General assents to it. In the case of binding international treaties, any related action (such as the decision to sign a free trade agreement (FTA)) is the prerogative of the Executive and is taken by the Cabinet. However, in accordance with the Parliament's Standing Orders (i.e. rules of procedure), all multilateral treaties, and major bilateral treaties of "particular significance", must be presented to Parliament for their examination before ratification, together with a National Interest Analysis (NIA) prepared by the Executive. The NIA must contain the advantages and disadvantages of the proposed agreement, along with other information as set out in the Standing Orders. The determination of whether or not a bilateral treaty is considered to be a major bilateral treaty of particular significance is made by the Minister of Foreign Affairs on the advice of government officials and based on a set of standard criteria. Bilateral treaties that are not considered to be a major bilateral treaty of particular significance are ratified without involving the Parliament. The application of this discretion is commonly referred to as a "waiver" of the requirement to present the treaty to the Parliament, and it is most commonly used for bilateral treaties dealing with narrow or technical matters.</w:t>
      </w:r>
    </w:p>
    <w:p w14:paraId="3ADCF0A4" w14:textId="77777777" w:rsidR="00120717" w:rsidRPr="00F64A35" w:rsidRDefault="00120717" w:rsidP="00464FFA">
      <w:pPr>
        <w:pStyle w:val="BodyText"/>
      </w:pPr>
      <w:r w:rsidRPr="00B93EE1">
        <w:t>The judiciary branch has four main levels of courts: district courts, the High Court, the Court of Appeal, and the Supreme Court, with the Supreme Court being the highest and final court. There are also specialist courts, tribunals, and authorities.</w:t>
      </w:r>
    </w:p>
    <w:p w14:paraId="49088717" w14:textId="77777777" w:rsidR="00120717" w:rsidRPr="00F64A35" w:rsidRDefault="00120717" w:rsidP="00A13562">
      <w:pPr>
        <w:pStyle w:val="BodyText"/>
      </w:pPr>
      <w:r w:rsidRPr="00B93EE1">
        <w:t>New Zealand is member of the Commonwealth of Nations, which consists of 54 countries.</w:t>
      </w:r>
    </w:p>
    <w:p w14:paraId="67334A14" w14:textId="77777777" w:rsidR="00120717" w:rsidRPr="00F64A35" w:rsidRDefault="00120717" w:rsidP="001B11BB">
      <w:pPr>
        <w:pStyle w:val="Heading2"/>
      </w:pPr>
      <w:bookmarkStart w:id="53" w:name="_Toc97800124"/>
      <w:r w:rsidRPr="00B93EE1">
        <w:lastRenderedPageBreak/>
        <w:t>Trade Policy Formulation and Objectives</w:t>
      </w:r>
      <w:bookmarkEnd w:id="53"/>
    </w:p>
    <w:p w14:paraId="35ADE178" w14:textId="77777777" w:rsidR="00120717" w:rsidRPr="00F64A35" w:rsidRDefault="00120717" w:rsidP="000437DC">
      <w:pPr>
        <w:pStyle w:val="BodyText"/>
      </w:pPr>
      <w:r w:rsidRPr="00B93EE1">
        <w:t>New Zealand is a strong advocate for free trade and sees trade as critical for its prosperity. During the review period, New Zealand updated its trade policy strategy in 2017, and then in 2020 following a change of Government. The same year, New Zealand also launched a Trade Recovery Strategy in response to the COVID</w:t>
      </w:r>
      <w:r w:rsidRPr="00B93EE1">
        <w:noBreakHyphen/>
        <w:t>19 pandemic (see below).</w:t>
      </w:r>
    </w:p>
    <w:p w14:paraId="6AAF8A43" w14:textId="77777777" w:rsidR="00120717" w:rsidRPr="00F64A35" w:rsidRDefault="00120717" w:rsidP="00190020">
      <w:pPr>
        <w:pStyle w:val="BodyText"/>
      </w:pPr>
      <w:r w:rsidRPr="00B93EE1">
        <w:t>The institutional framework for the formulation and implementation of New Zealand's trade policy has remained largely the same since the last report. The Ministry of Foreign Affairs and Trade (</w:t>
      </w:r>
      <w:proofErr w:type="spellStart"/>
      <w:r w:rsidRPr="00B93EE1">
        <w:t>MFAT</w:t>
      </w:r>
      <w:proofErr w:type="spellEnd"/>
      <w:r w:rsidRPr="00B93EE1">
        <w:t xml:space="preserve">) is the main governmental entity responsible for advising the Government on the formulation and implementation of New Zealand's trade policy. The </w:t>
      </w:r>
      <w:proofErr w:type="spellStart"/>
      <w:r w:rsidRPr="00B93EE1">
        <w:t>MFAT</w:t>
      </w:r>
      <w:proofErr w:type="spellEnd"/>
      <w:r w:rsidRPr="00B93EE1">
        <w:t xml:space="preserve"> also leads all FTAs and WTO negotiations, and works in close coordination with the relevant technical agencies, such as the Ministry for Primary Industries and Ministry of Business, Innovation and Employment, to ensure that the country's trade policies support the Government's overall objective of achieving a productive, sustainable, and inclusive economy.</w:t>
      </w:r>
      <w:r w:rsidRPr="00B93EE1">
        <w:rPr>
          <w:rStyle w:val="FootnoteReference"/>
        </w:rPr>
        <w:footnoteReference w:id="41"/>
      </w:r>
    </w:p>
    <w:p w14:paraId="6B582C17" w14:textId="77777777" w:rsidR="00120717" w:rsidRPr="00F64A35" w:rsidRDefault="00120717" w:rsidP="004D6DCB">
      <w:pPr>
        <w:pStyle w:val="BodyText"/>
      </w:pPr>
      <w:r w:rsidRPr="00B93EE1">
        <w:t>All trade-related legislation is enacted by Parliament and must be assented to by the Governor</w:t>
      </w:r>
      <w:r w:rsidRPr="00B93EE1">
        <w:noBreakHyphen/>
        <w:t>General to become law. Trade agreements are the responsibility of the Executive but are subject to a parliamentary examination process, including public consultations, before they are ratified (see above).</w:t>
      </w:r>
    </w:p>
    <w:p w14:paraId="30A062F2" w14:textId="23C02387" w:rsidR="00120717" w:rsidRPr="00F64A35" w:rsidRDefault="00120717" w:rsidP="006148EF">
      <w:pPr>
        <w:pStyle w:val="BodyText"/>
      </w:pPr>
      <w:r w:rsidRPr="00B93EE1">
        <w:t>In March 2017, New Zealand launched the Trade Agenda 2030 to update its trade strategy and set its priorities for the next 30 years.</w:t>
      </w:r>
      <w:r w:rsidRPr="00B93EE1">
        <w:rPr>
          <w:rStyle w:val="FootnoteReference"/>
        </w:rPr>
        <w:footnoteReference w:id="42"/>
      </w:r>
      <w:r w:rsidRPr="00B93EE1">
        <w:t xml:space="preserve"> This plan was superseded by the Trade for All Agenda, which was developed based on a wide public consultation process that took place in 2018 and on a report resulting from that exercise. The Trade </w:t>
      </w:r>
      <w:r w:rsidR="00AA3D12">
        <w:t>f</w:t>
      </w:r>
      <w:r w:rsidRPr="00B93EE1">
        <w:t xml:space="preserve">or All Agenda was launched in March 2018 to address public concerns regarding the country's participation in FTAs, and ensure that </w:t>
      </w:r>
      <w:r w:rsidR="00AA3D12">
        <w:t xml:space="preserve">trade policy delivers for </w:t>
      </w:r>
      <w:r w:rsidRPr="00B93EE1">
        <w:t>all New Zealanders. Under this initiative, New Zealand conducted public consultation</w:t>
      </w:r>
      <w:r w:rsidR="00AA3D12">
        <w:t>s</w:t>
      </w:r>
      <w:r w:rsidRPr="00B93EE1">
        <w:t xml:space="preserve"> </w:t>
      </w:r>
      <w:r w:rsidR="00AA3D12">
        <w:t xml:space="preserve">from August to October 2018 </w:t>
      </w:r>
      <w:r w:rsidRPr="00B93EE1">
        <w:t xml:space="preserve">to get feedback from the population on how trade policy should be approached, and established a Trade for All Advisory Board in charge of producing an independent report with recommendations to the Government on the Trade for All Agenda. The Advisory Board was established in November 2018 and its report released in November 2019. The findings and recommendations of the report include, </w:t>
      </w:r>
      <w:r w:rsidRPr="00B93EE1">
        <w:rPr>
          <w:i/>
          <w:iCs/>
        </w:rPr>
        <w:t>inter alia</w:t>
      </w:r>
      <w:r w:rsidRPr="00B93EE1">
        <w:t>, to: (</w:t>
      </w:r>
      <w:proofErr w:type="spellStart"/>
      <w:r w:rsidRPr="00B93EE1">
        <w:t>i</w:t>
      </w:r>
      <w:proofErr w:type="spellEnd"/>
      <w:r w:rsidRPr="00B93EE1">
        <w:t>) review current Investor</w:t>
      </w:r>
      <w:r w:rsidRPr="00B93EE1">
        <w:noBreakHyphen/>
        <w:t>State Dispute Settlement provisions in FTAs as new arrangements become available</w:t>
      </w:r>
      <w:r w:rsidRPr="00B93EE1">
        <w:rPr>
          <w:rStyle w:val="FootnoteReference"/>
        </w:rPr>
        <w:footnoteReference w:id="43"/>
      </w:r>
      <w:r w:rsidRPr="00B93EE1">
        <w:t>; (ii) provide greater support to the participation of small and medium-sized enterprises (SMEs) in international trade; and (iii) promote the inclusion of provisions on the environment, labour</w:t>
      </w:r>
      <w:r w:rsidR="00FB1A4D">
        <w:t>,</w:t>
      </w:r>
      <w:r w:rsidRPr="00B93EE1">
        <w:t xml:space="preserve"> and gender in FTAs.</w:t>
      </w:r>
      <w:r w:rsidRPr="00B93EE1">
        <w:rPr>
          <w:rStyle w:val="FootnoteReference"/>
        </w:rPr>
        <w:footnoteReference w:id="44"/>
      </w:r>
      <w:r w:rsidRPr="00B93EE1">
        <w:t xml:space="preserve"> The recommendations of the Advisory Board and the core principles approved by the Cabinet are the foundation of the Trade for All Agenda.</w:t>
      </w:r>
      <w:r w:rsidRPr="00B93EE1">
        <w:rPr>
          <w:rStyle w:val="FootnoteReference"/>
        </w:rPr>
        <w:footnoteReference w:id="45"/>
      </w:r>
      <w:r w:rsidRPr="00B93EE1">
        <w:t xml:space="preserve"> For</w:t>
      </w:r>
      <w:r w:rsidR="00AA3D12">
        <w:t xml:space="preserve"> the</w:t>
      </w:r>
      <w:r w:rsidRPr="00B93EE1">
        <w:t xml:space="preserve"> authorities, the goal is a trade policy that works alongside other government policies to support sustainable and inclusive economic development.</w:t>
      </w:r>
    </w:p>
    <w:p w14:paraId="1400A9AB" w14:textId="2D57FE36" w:rsidR="00120717" w:rsidRPr="00F64A35" w:rsidRDefault="00120717" w:rsidP="00EE3DBF">
      <w:pPr>
        <w:pStyle w:val="BodyText"/>
      </w:pPr>
      <w:r w:rsidRPr="00B93EE1">
        <w:t xml:space="preserve">In June 2020, New Zealand also put in place the Trade Recovery Strategy to help businesses to overcome the economic </w:t>
      </w:r>
      <w:r w:rsidR="00FB1A4D">
        <w:t>disruptions</w:t>
      </w:r>
      <w:r w:rsidRPr="00B93EE1">
        <w:t xml:space="preserve"> resulting from </w:t>
      </w:r>
      <w:r w:rsidR="00FB1A4D">
        <w:t>the COVID-19 pandemic</w:t>
      </w:r>
      <w:r w:rsidRPr="00B93EE1">
        <w:t>. The Strategy has three pillars: (</w:t>
      </w:r>
      <w:proofErr w:type="spellStart"/>
      <w:r w:rsidRPr="00B93EE1">
        <w:t>i</w:t>
      </w:r>
      <w:proofErr w:type="spellEnd"/>
      <w:r w:rsidRPr="00B93EE1">
        <w:t xml:space="preserve">) broadening the support for exporters; (ii) reinvigorating international trade architecture by working towards strengthening and reforming the WTO, and pursuing bilateral and plurilateral trade agreements; and (iii) refreshing key trade relationships to expand market </w:t>
      </w:r>
      <w:r w:rsidRPr="00B93EE1">
        <w:lastRenderedPageBreak/>
        <w:t xml:space="preserve">opportunities and achieve further trade diversification. </w:t>
      </w:r>
      <w:r w:rsidR="00FB1A4D">
        <w:t>The</w:t>
      </w:r>
      <w:r w:rsidRPr="00B93EE1">
        <w:t xml:space="preserve"> Trade Recovery Strategy </w:t>
      </w:r>
      <w:r w:rsidR="00FB1A4D">
        <w:t xml:space="preserve">further seeks to build </w:t>
      </w:r>
      <w:r w:rsidRPr="00B93EE1">
        <w:t>New Zealand's economic resilience against future disruptions.</w:t>
      </w:r>
      <w:r w:rsidRPr="00B93EE1">
        <w:rPr>
          <w:rStyle w:val="FootnoteReference"/>
        </w:rPr>
        <w:footnoteReference w:id="46"/>
      </w:r>
    </w:p>
    <w:p w14:paraId="7879D118" w14:textId="77777777" w:rsidR="00120717" w:rsidRPr="00F64A35" w:rsidRDefault="00120717" w:rsidP="00EE3DBF">
      <w:pPr>
        <w:pStyle w:val="BodyText"/>
      </w:pPr>
      <w:r w:rsidRPr="00B93EE1">
        <w:t xml:space="preserve">Some of the actions taken by the Government to support exporters under this strategy include expanding the offering of advisory and market intelligence services and the number of beneficiaries through its </w:t>
      </w:r>
      <w:r w:rsidRPr="00B93EE1">
        <w:rPr>
          <w:szCs w:val="20"/>
        </w:rPr>
        <w:t xml:space="preserve">international business development agency </w:t>
      </w:r>
      <w:r w:rsidRPr="00B93EE1">
        <w:t xml:space="preserve">– </w:t>
      </w:r>
      <w:r w:rsidRPr="00B93EE1">
        <w:rPr>
          <w:szCs w:val="20"/>
        </w:rPr>
        <w:t>New Zealand Trade and Enterprise (</w:t>
      </w:r>
      <w:proofErr w:type="spellStart"/>
      <w:r w:rsidRPr="00B93EE1">
        <w:rPr>
          <w:szCs w:val="20"/>
        </w:rPr>
        <w:t>NZTE</w:t>
      </w:r>
      <w:proofErr w:type="spellEnd"/>
      <w:r w:rsidRPr="00B93EE1">
        <w:rPr>
          <w:szCs w:val="20"/>
        </w:rPr>
        <w:t xml:space="preserve">). </w:t>
      </w:r>
      <w:r w:rsidRPr="00B93EE1">
        <w:t xml:space="preserve">To support the implementation of this first pillar, the </w:t>
      </w:r>
      <w:proofErr w:type="spellStart"/>
      <w:r w:rsidRPr="00B93EE1">
        <w:t>MFAT</w:t>
      </w:r>
      <w:proofErr w:type="spellEnd"/>
      <w:r w:rsidRPr="00B93EE1">
        <w:t xml:space="preserve"> also established a Trade Recovery Unit dedicated to, </w:t>
      </w:r>
      <w:r w:rsidRPr="00B93EE1">
        <w:rPr>
          <w:i/>
          <w:iCs/>
        </w:rPr>
        <w:t>inter alia</w:t>
      </w:r>
      <w:r w:rsidRPr="00B93EE1">
        <w:t>, resolving the trade barriers faced by businesses, ensuring the good functioning of supply chains, and addressing any disruptions to trade resulting from the COVID</w:t>
      </w:r>
      <w:r w:rsidRPr="00B93EE1">
        <w:noBreakHyphen/>
        <w:t>19 pandemic.</w:t>
      </w:r>
      <w:r w:rsidRPr="00B93EE1">
        <w:rPr>
          <w:rStyle w:val="FootnoteReference"/>
        </w:rPr>
        <w:footnoteReference w:id="47"/>
      </w:r>
    </w:p>
    <w:p w14:paraId="74578CF6" w14:textId="77777777" w:rsidR="00120717" w:rsidRPr="00F64A35" w:rsidRDefault="00120717" w:rsidP="001B11BB">
      <w:pPr>
        <w:pStyle w:val="Heading2"/>
      </w:pPr>
      <w:bookmarkStart w:id="54" w:name="_Toc97800125"/>
      <w:r w:rsidRPr="00B93EE1">
        <w:t>Trade Agreements and Arrangements</w:t>
      </w:r>
      <w:bookmarkEnd w:id="54"/>
    </w:p>
    <w:p w14:paraId="5DC7B453" w14:textId="77777777" w:rsidR="00120717" w:rsidRPr="00F64A35" w:rsidRDefault="00120717" w:rsidP="00E962FF">
      <w:pPr>
        <w:pStyle w:val="Heading3"/>
        <w:numPr>
          <w:ilvl w:val="2"/>
          <w:numId w:val="22"/>
        </w:numPr>
      </w:pPr>
      <w:bookmarkStart w:id="55" w:name="_Toc97800126"/>
      <w:r w:rsidRPr="00B93EE1">
        <w:t>WTO</w:t>
      </w:r>
      <w:bookmarkEnd w:id="55"/>
    </w:p>
    <w:p w14:paraId="515DB0D7" w14:textId="6D7DFA0A" w:rsidR="00120717" w:rsidRPr="00F64A35" w:rsidRDefault="00120717" w:rsidP="00EE3DBF">
      <w:pPr>
        <w:pStyle w:val="BodyText"/>
      </w:pPr>
      <w:r w:rsidRPr="00B93EE1">
        <w:t>New Zealand, a founding Member of the WTO, is actively engaged in the work of the organization. During the review period, it continued to contribute to the activities of its committees, and participated in negotiations, monitoring functions, dispute settlements, and plurilateral initiatives. New Zealand also took leadership roles as chairs of WTO bodies, including the General Council in 2020</w:t>
      </w:r>
      <w:r w:rsidRPr="00B93EE1">
        <w:rPr>
          <w:rStyle w:val="FootnoteReference"/>
        </w:rPr>
        <w:footnoteReference w:id="48"/>
      </w:r>
      <w:r w:rsidRPr="00B93EE1">
        <w:t>, and promoted discussions on new issues as a co-sponsor of initiatives or proposals dealing with, for example, climate and the environment (e.g. fossil fuel subsidy reform)</w:t>
      </w:r>
      <w:r w:rsidR="00D77367">
        <w:t>;</w:t>
      </w:r>
      <w:r w:rsidRPr="00B93EE1">
        <w:t xml:space="preserve"> export competition</w:t>
      </w:r>
      <w:r w:rsidR="00D77367">
        <w:t>;</w:t>
      </w:r>
      <w:r w:rsidRPr="00B93EE1">
        <w:t xml:space="preserve"> micro, small, and medium-sized enterprises (MSMEs)</w:t>
      </w:r>
      <w:r w:rsidR="00D77367">
        <w:t>;</w:t>
      </w:r>
      <w:r w:rsidRPr="00B93EE1">
        <w:t xml:space="preserve"> e-commerce</w:t>
      </w:r>
      <w:r w:rsidR="00D77367">
        <w:t>;</w:t>
      </w:r>
      <w:r w:rsidRPr="00B93EE1">
        <w:t xml:space="preserve"> disciplines on domestic regulation</w:t>
      </w:r>
      <w:r w:rsidR="00D77367">
        <w:t>;</w:t>
      </w:r>
      <w:r w:rsidRPr="00B93EE1">
        <w:t xml:space="preserve"> investment facilitation for development</w:t>
      </w:r>
      <w:r w:rsidR="00D77367">
        <w:t>;</w:t>
      </w:r>
      <w:r w:rsidRPr="00B93EE1">
        <w:t xml:space="preserve"> and gender and trade. New Zealand is part of the Friends of MSMEs group, and a founding member of the Friends of Fish group, comprising WTO Members seeking to complete negotiations on rules regarding fisheries subsidies. New Zealand is also a founding member of the Cairns Group, a coalition of agricultural exporting members that continue to push for the liberalization of global trade in agricultural exports. It supports a TRIPS waiver on COVID</w:t>
      </w:r>
      <w:r w:rsidRPr="00B93EE1">
        <w:noBreakHyphen/>
        <w:t>19 vaccines and discussions on the broader proposal submitted by other WTO Members, as well as efforts to reform and strengthen the WTO, as shown by joining the proposals for improving WTO notification and transparency rules</w:t>
      </w:r>
      <w:r w:rsidRPr="00B93EE1">
        <w:rPr>
          <w:rStyle w:val="FootnoteReference"/>
        </w:rPr>
        <w:footnoteReference w:id="49"/>
      </w:r>
      <w:r w:rsidRPr="00B93EE1">
        <w:t>, and on Appellate Body appointments and functioning.</w:t>
      </w:r>
      <w:r w:rsidRPr="00B93EE1">
        <w:rPr>
          <w:rStyle w:val="FootnoteReference"/>
        </w:rPr>
        <w:footnoteReference w:id="50"/>
      </w:r>
    </w:p>
    <w:p w14:paraId="1255F609" w14:textId="77777777" w:rsidR="00120717" w:rsidRPr="00F64A35" w:rsidRDefault="00120717" w:rsidP="00BD53AC">
      <w:pPr>
        <w:pStyle w:val="BodyText"/>
      </w:pPr>
      <w:r w:rsidRPr="00B93EE1">
        <w:t>In August 2015, New Zealand became party to the Agreement on Government Procurement (GPA)</w:t>
      </w:r>
      <w:r w:rsidRPr="00B93EE1">
        <w:rPr>
          <w:rStyle w:val="FootnoteReference"/>
        </w:rPr>
        <w:footnoteReference w:id="51"/>
      </w:r>
      <w:r w:rsidRPr="00B93EE1">
        <w:t>, and in September the same year, it ratified the Agreement on Trade Facilitation.</w:t>
      </w:r>
      <w:r w:rsidRPr="00B93EE1">
        <w:rPr>
          <w:rStyle w:val="FootnoteReference"/>
        </w:rPr>
        <w:footnoteReference w:id="52"/>
      </w:r>
      <w:r w:rsidRPr="00B93EE1">
        <w:t xml:space="preserve"> New Zealand is a member of the Information Technology Agreement, and in December 2015 it endorsed the expansion of its coverage. It has also participated in the negotiations for an Environmental Goods Agreement, which were launched at the WTO in 2014, but have been stalled since 2016 when the last round of negotiations took place. New Zealand has signed the Fourth and Fifth Protocols to the General Agreement on Trade in Services (GATS).</w:t>
      </w:r>
    </w:p>
    <w:p w14:paraId="06CC6727" w14:textId="77777777" w:rsidR="00120717" w:rsidRPr="00F64A35" w:rsidRDefault="00120717" w:rsidP="00C534CF">
      <w:pPr>
        <w:pStyle w:val="BodyText"/>
      </w:pPr>
      <w:r w:rsidRPr="00B93EE1">
        <w:t>During the review period, New Zealand was involved as a complainant in 1 case, initiated in May 2014</w:t>
      </w:r>
      <w:r w:rsidRPr="00B93EE1">
        <w:rPr>
          <w:rStyle w:val="FootnoteReference"/>
        </w:rPr>
        <w:footnoteReference w:id="53"/>
      </w:r>
      <w:r w:rsidRPr="00B93EE1">
        <w:t xml:space="preserve">, and as a third party in 21 cases. </w:t>
      </w:r>
      <w:r w:rsidRPr="00B93EE1">
        <w:rPr>
          <w:lang w:eastAsia="en-GB"/>
        </w:rPr>
        <w:t>New Zealand has never been the object of a complaint so far.</w:t>
      </w:r>
      <w:r w:rsidRPr="00B93EE1">
        <w:rPr>
          <w:rStyle w:val="FootnoteReference"/>
          <w:lang w:eastAsia="en-GB"/>
        </w:rPr>
        <w:footnoteReference w:id="54"/>
      </w:r>
      <w:r w:rsidRPr="00B93EE1">
        <w:rPr>
          <w:lang w:eastAsia="en-GB"/>
        </w:rPr>
        <w:t xml:space="preserve"> The dispute proceedings initiated by New Zealand in 2014 were against certain measures (mainly import licensing measures) imposed by Indonesia on the imports of horticultural products, </w:t>
      </w:r>
      <w:r w:rsidRPr="00B93EE1">
        <w:rPr>
          <w:lang w:eastAsia="en-GB"/>
        </w:rPr>
        <w:lastRenderedPageBreak/>
        <w:t>animals, and animal products.</w:t>
      </w:r>
      <w:r w:rsidRPr="00B93EE1">
        <w:rPr>
          <w:rStyle w:val="FootnoteReference"/>
          <w:lang w:eastAsia="en-GB"/>
        </w:rPr>
        <w:footnoteReference w:id="55"/>
      </w:r>
      <w:r w:rsidRPr="00B93EE1">
        <w:rPr>
          <w:lang w:eastAsia="en-GB"/>
        </w:rPr>
        <w:t xml:space="preserve"> In September 2015, the United States also joined the case as a complainant. The Panel and Appellate Body reports for this case were adopted in November 2017 and concluded that the measures in question were inconsistent with WTO obligations and that Indonesia had to bring them into conformity.</w:t>
      </w:r>
    </w:p>
    <w:p w14:paraId="6A9DF944" w14:textId="77777777" w:rsidR="00120717" w:rsidRPr="00F64A35" w:rsidRDefault="00120717" w:rsidP="00DB7FB6">
      <w:pPr>
        <w:pStyle w:val="BodyText"/>
      </w:pPr>
      <w:r w:rsidRPr="00B93EE1">
        <w:t>New Zealand maintains a strong record of notifications to the WTO. From 1 January 2015 to 31 December 2021, it provided 366 notifications</w:t>
      </w:r>
      <w:r w:rsidRPr="00B93EE1">
        <w:rPr>
          <w:rStyle w:val="FootnoteReference"/>
        </w:rPr>
        <w:footnoteReference w:id="56"/>
      </w:r>
      <w:r w:rsidRPr="00B93EE1">
        <w:t>, of which almost half are in relation to the Agreement on the Application of Sanitary and Phytosanitary Measures (166). An important number of notifications also fell within the Agreement on Agriculture (42 notifications), the Agreement on Technical Barriers to Trade (39), the Anti-Dumping Agreement (23), the GATS (22), the Agreement on Government Procurement (23), the TRIPS Agreement (17), and the Agreement on Subsidies and Countervailing Measures (15). The most recent notifications submitted during the review period are listed in Table A2.1.</w:t>
      </w:r>
    </w:p>
    <w:p w14:paraId="49708516" w14:textId="77777777" w:rsidR="00120717" w:rsidRPr="00F64A35" w:rsidRDefault="00120717" w:rsidP="0060584A">
      <w:pPr>
        <w:pStyle w:val="Heading3"/>
      </w:pPr>
      <w:bookmarkStart w:id="56" w:name="_Toc97800127"/>
      <w:r w:rsidRPr="00B93EE1">
        <w:t>Regional and preferential trade agreements</w:t>
      </w:r>
      <w:bookmarkEnd w:id="56"/>
    </w:p>
    <w:p w14:paraId="7CAE7F98" w14:textId="77777777" w:rsidR="00120717" w:rsidRPr="00F64A35" w:rsidRDefault="00120717" w:rsidP="0096704C">
      <w:pPr>
        <w:pStyle w:val="BodyText"/>
      </w:pPr>
      <w:r w:rsidRPr="00B93EE1">
        <w:t>New Zealand currently has 13 FTAs in force involving 29 economies, including some of its main trading partners, namely China, Australia, and Japan (Table A2.2). FTAs are a key component of New Zealand's trade policy as underlined in its recent strategies. During the review period, New Zealand expanded its network of FTAs by adding four new agreements and intensified its efforts to update existing ones (Table 2.1).</w:t>
      </w:r>
      <w:r w:rsidRPr="00B93EE1">
        <w:rPr>
          <w:rStyle w:val="FootnoteReference"/>
        </w:rPr>
        <w:footnoteReference w:id="57"/>
      </w:r>
      <w:r w:rsidRPr="00B93EE1">
        <w:t xml:space="preserve"> In 2015, it signed an FTA with the Republic of Korea, followed two years later by the Pacific Agreement on Closer Economic Relations Plus (PACER Plus) (2017), the Comprehensive and Progressive Agreement for Trans-Pacific Partnership (</w:t>
      </w:r>
      <w:proofErr w:type="spellStart"/>
      <w:r w:rsidRPr="00B93EE1">
        <w:t>CPTPP</w:t>
      </w:r>
      <w:proofErr w:type="spellEnd"/>
      <w:r w:rsidRPr="00B93EE1">
        <w:t>) (2018), and the Regional Comprehensive Economic Partnership (RCEP) (2020). All of these agreements have been notified to the WTO, except for the RCEP, which recently entered into force on 1 January 2022.</w:t>
      </w:r>
      <w:r w:rsidRPr="00B93EE1">
        <w:rPr>
          <w:rStyle w:val="FootnoteReference"/>
        </w:rPr>
        <w:footnoteReference w:id="58"/>
      </w:r>
      <w:r w:rsidRPr="00B93EE1">
        <w:t xml:space="preserve"> New Zealand also updated its FTAs with China and with Singapore. The protocol updating the FTA with Singapore has been in force since January 2020, while the one with China is expected to enter into force in April 2022. These updates have not been notified to the WTO.</w:t>
      </w:r>
    </w:p>
    <w:p w14:paraId="4D61EBEB" w14:textId="52DA988B" w:rsidR="00120717" w:rsidRPr="00F64A35" w:rsidRDefault="00120717" w:rsidP="0096704C">
      <w:pPr>
        <w:pStyle w:val="BodyText"/>
      </w:pPr>
      <w:r w:rsidRPr="00B93EE1">
        <w:t>In parallel, New Zealand had ongoing various trade negotiations. It had launched, but not yet completed, negotiations for FTAs with the European Union, India, and the Pacific Alliance countries, and it was also negotiating the update of the Association of Southeast Asian Nations (ASEAN)</w:t>
      </w:r>
      <w:r w:rsidRPr="00B93EE1">
        <w:noBreakHyphen/>
        <w:t>Australia-New Zealand FTA.</w:t>
      </w:r>
      <w:r w:rsidRPr="00B93EE1">
        <w:rPr>
          <w:rStyle w:val="FootnoteReference"/>
        </w:rPr>
        <w:footnoteReference w:id="59"/>
      </w:r>
      <w:r w:rsidRPr="00B93EE1">
        <w:t xml:space="preserve"> </w:t>
      </w:r>
      <w:r w:rsidR="007E0A45">
        <w:t>Moreover, i</w:t>
      </w:r>
      <w:r w:rsidRPr="00B93EE1">
        <w:t>n November 2021, New Zealand signed an agreement in principle with the United Kingdom on an FTA that defined the key terms on which the text will be finalized and concluded. The New Zealand-United Kingdom FTA was subsequently signed on 28 February 2022, at the time this report was being finalized. The Agreement is not yet in force, as both parties have to first complete their internal ratification procedures.</w:t>
      </w:r>
    </w:p>
    <w:p w14:paraId="40A48065" w14:textId="77777777" w:rsidR="00120717" w:rsidRPr="00F64A35" w:rsidRDefault="00120717" w:rsidP="0024142D">
      <w:pPr>
        <w:pStyle w:val="BodyText"/>
      </w:pPr>
      <w:r w:rsidRPr="00B93EE1">
        <w:t>In addition to its FTAs, New Zealand has two long-standing trade agreements involving some reciprocity and under which it grants tariff preferences to a limited number of goods from Canada (i.e. Agreement on Trade and Economic Cooperation of 1981)</w:t>
      </w:r>
      <w:r w:rsidRPr="00B93EE1">
        <w:rPr>
          <w:rStyle w:val="FootnoteReference"/>
        </w:rPr>
        <w:footnoteReference w:id="60"/>
      </w:r>
      <w:r w:rsidRPr="00B93EE1">
        <w:t>, and the United Kingdom (Table 3.5).</w:t>
      </w:r>
      <w:r w:rsidRPr="00B93EE1">
        <w:rPr>
          <w:rStyle w:val="FootnoteReference"/>
        </w:rPr>
        <w:footnoteReference w:id="61"/>
      </w:r>
      <w:r w:rsidRPr="00B93EE1">
        <w:t xml:space="preserve"> None of these agreements have been notified to the WTO.</w:t>
      </w:r>
    </w:p>
    <w:p w14:paraId="01DE7D5C" w14:textId="77777777" w:rsidR="00120717" w:rsidRPr="00F64A35" w:rsidRDefault="00120717" w:rsidP="003C2A5C">
      <w:pPr>
        <w:pStyle w:val="BodyText"/>
      </w:pPr>
      <w:r w:rsidRPr="00B93EE1">
        <w:lastRenderedPageBreak/>
        <w:t>Under its most-favoured-nation (MFN) regime, New Zealand has eliminated duties in about 61% of its tariff lines, while under most of its FTAs, almost all of its tariff lines are duty-free (Table 3.5).</w:t>
      </w:r>
    </w:p>
    <w:p w14:paraId="4F7BDDA8" w14:textId="59DCBA31" w:rsidR="00120717" w:rsidRPr="00B93EE1" w:rsidRDefault="00E724E6" w:rsidP="00E724E6">
      <w:pPr>
        <w:pStyle w:val="Caption"/>
      </w:pPr>
      <w:bookmarkStart w:id="57" w:name="_Toc97793386"/>
      <w:r>
        <w:t xml:space="preserve">Table </w:t>
      </w:r>
      <w:r w:rsidR="0012793B">
        <w:fldChar w:fldCharType="begin"/>
      </w:r>
      <w:r w:rsidR="0012793B">
        <w:instrText xml:space="preserve"> STYLEREF 1 \s </w:instrText>
      </w:r>
      <w:r w:rsidR="0012793B">
        <w:fldChar w:fldCharType="separate"/>
      </w:r>
      <w:r w:rsidR="00D37A97">
        <w:rPr>
          <w:noProof/>
        </w:rPr>
        <w:t>2</w:t>
      </w:r>
      <w:r w:rsidR="0012793B">
        <w:rPr>
          <w:noProof/>
        </w:rPr>
        <w:fldChar w:fldCharType="end"/>
      </w:r>
      <w:r w:rsidR="00D37A97">
        <w:t>.</w:t>
      </w:r>
      <w:r w:rsidR="0012793B">
        <w:fldChar w:fldCharType="begin"/>
      </w:r>
      <w:r w:rsidR="0012793B">
        <w:instrText xml:space="preserve"> SEQ Table \* AR</w:instrText>
      </w:r>
      <w:r w:rsidR="0012793B">
        <w:instrText xml:space="preserve">ABIC \s 1 </w:instrText>
      </w:r>
      <w:r w:rsidR="0012793B">
        <w:fldChar w:fldCharType="separate"/>
      </w:r>
      <w:r w:rsidR="00D37A97">
        <w:rPr>
          <w:noProof/>
        </w:rPr>
        <w:t>1</w:t>
      </w:r>
      <w:r w:rsidR="0012793B">
        <w:rPr>
          <w:noProof/>
        </w:rPr>
        <w:fldChar w:fldCharType="end"/>
      </w:r>
      <w:r>
        <w:t xml:space="preserve"> </w:t>
      </w:r>
      <w:r w:rsidR="00120717" w:rsidRPr="00B93EE1">
        <w:t>FTAs signed or upgraded during 2015-21</w:t>
      </w:r>
      <w:bookmarkEnd w:id="57"/>
    </w:p>
    <w:tbl>
      <w:tblPr>
        <w:tblStyle w:val="WTOTable1"/>
        <w:tblW w:w="5000" w:type="pct"/>
        <w:tblLook w:val="04A0" w:firstRow="1" w:lastRow="0" w:firstColumn="1" w:lastColumn="0" w:noHBand="0" w:noVBand="1"/>
      </w:tblPr>
      <w:tblGrid>
        <w:gridCol w:w="538"/>
        <w:gridCol w:w="3003"/>
        <w:gridCol w:w="1984"/>
        <w:gridCol w:w="1940"/>
        <w:gridCol w:w="1551"/>
      </w:tblGrid>
      <w:tr w:rsidR="00120717" w:rsidRPr="00B93EE1" w14:paraId="622D1100" w14:textId="77777777" w:rsidTr="001327C0">
        <w:trPr>
          <w:cnfStyle w:val="100000000000" w:firstRow="1" w:lastRow="0" w:firstColumn="0" w:lastColumn="0" w:oddVBand="0" w:evenVBand="0" w:oddHBand="0" w:evenHBand="0" w:firstRowFirstColumn="0" w:firstRowLastColumn="0" w:lastRowFirstColumn="0" w:lastRowLastColumn="0"/>
          <w:trHeight w:val="298"/>
        </w:trPr>
        <w:tc>
          <w:tcPr>
            <w:tcW w:w="298" w:type="pct"/>
            <w:tcBorders>
              <w:top w:val="single" w:sz="4" w:space="0" w:color="auto"/>
              <w:bottom w:val="single" w:sz="4" w:space="0" w:color="auto"/>
            </w:tcBorders>
          </w:tcPr>
          <w:p w14:paraId="5DF34874" w14:textId="77777777" w:rsidR="00120717" w:rsidRPr="00B93EE1" w:rsidRDefault="00120717" w:rsidP="00345AA5">
            <w:pPr>
              <w:rPr>
                <w:sz w:val="16"/>
                <w:szCs w:val="16"/>
              </w:rPr>
            </w:pPr>
          </w:p>
        </w:tc>
        <w:tc>
          <w:tcPr>
            <w:tcW w:w="1665" w:type="pct"/>
            <w:vAlign w:val="center"/>
            <w:hideMark/>
          </w:tcPr>
          <w:p w14:paraId="592F737D" w14:textId="77777777" w:rsidR="00120717" w:rsidRPr="00B93EE1" w:rsidRDefault="00120717" w:rsidP="00034E9C">
            <w:pPr>
              <w:jc w:val="left"/>
              <w:rPr>
                <w:sz w:val="16"/>
                <w:szCs w:val="16"/>
              </w:rPr>
            </w:pPr>
            <w:r w:rsidRPr="00B93EE1">
              <w:rPr>
                <w:sz w:val="16"/>
                <w:szCs w:val="16"/>
              </w:rPr>
              <w:t>FTA</w:t>
            </w:r>
          </w:p>
        </w:tc>
        <w:tc>
          <w:tcPr>
            <w:tcW w:w="1100" w:type="pct"/>
            <w:vAlign w:val="center"/>
            <w:hideMark/>
          </w:tcPr>
          <w:p w14:paraId="0C6E6B17" w14:textId="77777777" w:rsidR="00120717" w:rsidRPr="00B93EE1" w:rsidRDefault="00120717" w:rsidP="001327C0">
            <w:pPr>
              <w:jc w:val="left"/>
              <w:rPr>
                <w:rFonts w:cs="Arial"/>
                <w:b w:val="0"/>
                <w:bCs/>
                <w:sz w:val="16"/>
                <w:szCs w:val="16"/>
              </w:rPr>
            </w:pPr>
            <w:r w:rsidRPr="00B93EE1">
              <w:rPr>
                <w:rFonts w:cs="Arial"/>
                <w:bCs/>
                <w:sz w:val="16"/>
                <w:szCs w:val="16"/>
              </w:rPr>
              <w:t>Signed</w:t>
            </w:r>
          </w:p>
        </w:tc>
        <w:tc>
          <w:tcPr>
            <w:tcW w:w="1076" w:type="pct"/>
            <w:vAlign w:val="center"/>
            <w:hideMark/>
          </w:tcPr>
          <w:p w14:paraId="030EFB52" w14:textId="77777777" w:rsidR="00120717" w:rsidRPr="00B93EE1" w:rsidRDefault="00120717" w:rsidP="001327C0">
            <w:pPr>
              <w:jc w:val="left"/>
              <w:rPr>
                <w:rFonts w:cs="Arial"/>
                <w:b w:val="0"/>
                <w:bCs/>
                <w:sz w:val="16"/>
                <w:szCs w:val="16"/>
              </w:rPr>
            </w:pPr>
            <w:r w:rsidRPr="00B93EE1">
              <w:rPr>
                <w:rFonts w:cs="Arial"/>
                <w:bCs/>
                <w:sz w:val="16"/>
                <w:szCs w:val="16"/>
              </w:rPr>
              <w:t>Entry into force</w:t>
            </w:r>
          </w:p>
        </w:tc>
        <w:tc>
          <w:tcPr>
            <w:tcW w:w="860" w:type="pct"/>
            <w:vAlign w:val="center"/>
            <w:hideMark/>
          </w:tcPr>
          <w:p w14:paraId="70CC2179" w14:textId="77777777" w:rsidR="00120717" w:rsidRPr="00B93EE1" w:rsidRDefault="00120717" w:rsidP="001327C0">
            <w:pPr>
              <w:jc w:val="left"/>
              <w:rPr>
                <w:rFonts w:cs="Arial"/>
                <w:b w:val="0"/>
                <w:bCs/>
                <w:sz w:val="16"/>
                <w:szCs w:val="16"/>
              </w:rPr>
            </w:pPr>
            <w:r w:rsidRPr="00B93EE1">
              <w:rPr>
                <w:rFonts w:cs="Arial"/>
                <w:bCs/>
                <w:color w:val="FFFFFF" w:themeColor="background1"/>
                <w:sz w:val="16"/>
                <w:szCs w:val="16"/>
              </w:rPr>
              <w:t>Coverage's main features</w:t>
            </w:r>
          </w:p>
        </w:tc>
      </w:tr>
      <w:tr w:rsidR="00120717" w:rsidRPr="00B93EE1" w14:paraId="0490053F" w14:textId="77777777" w:rsidTr="001327C0">
        <w:trPr>
          <w:trHeight w:val="582"/>
        </w:trPr>
        <w:tc>
          <w:tcPr>
            <w:tcW w:w="298" w:type="pct"/>
            <w:vMerge w:val="restart"/>
            <w:tcBorders>
              <w:top w:val="single" w:sz="4" w:space="0" w:color="auto"/>
              <w:bottom w:val="single" w:sz="4" w:space="0" w:color="auto"/>
            </w:tcBorders>
            <w:shd w:val="clear" w:color="auto" w:fill="006283"/>
            <w:textDirection w:val="btLr"/>
          </w:tcPr>
          <w:p w14:paraId="75F20915" w14:textId="77777777" w:rsidR="00120717" w:rsidRPr="00B93EE1" w:rsidRDefault="00120717" w:rsidP="00A6684F">
            <w:pPr>
              <w:ind w:left="113" w:right="113"/>
              <w:jc w:val="center"/>
              <w:rPr>
                <w:rFonts w:cs="Arial"/>
                <w:sz w:val="16"/>
                <w:szCs w:val="16"/>
              </w:rPr>
            </w:pPr>
            <w:r w:rsidRPr="00B93EE1">
              <w:rPr>
                <w:rFonts w:cs="Arial"/>
                <w:b/>
                <w:bCs/>
                <w:color w:val="FFFFFF" w:themeColor="background1"/>
                <w:sz w:val="16"/>
                <w:szCs w:val="16"/>
              </w:rPr>
              <w:t>New FTAs</w:t>
            </w:r>
          </w:p>
        </w:tc>
        <w:tc>
          <w:tcPr>
            <w:tcW w:w="1665" w:type="pct"/>
          </w:tcPr>
          <w:p w14:paraId="615373E5" w14:textId="77777777" w:rsidR="00120717" w:rsidRPr="00B93EE1" w:rsidRDefault="00120717" w:rsidP="00A6684F">
            <w:pPr>
              <w:jc w:val="left"/>
              <w:rPr>
                <w:rFonts w:cs="Arial"/>
                <w:sz w:val="16"/>
                <w:szCs w:val="16"/>
              </w:rPr>
            </w:pPr>
            <w:r w:rsidRPr="00B93EE1">
              <w:rPr>
                <w:rFonts w:cs="Arial"/>
                <w:sz w:val="16"/>
                <w:szCs w:val="16"/>
              </w:rPr>
              <w:t>New Zealand – Korea, Rep. of</w:t>
            </w:r>
          </w:p>
        </w:tc>
        <w:tc>
          <w:tcPr>
            <w:tcW w:w="1100" w:type="pct"/>
          </w:tcPr>
          <w:p w14:paraId="59920F67" w14:textId="77777777" w:rsidR="00120717" w:rsidRPr="00B93EE1" w:rsidRDefault="00120717" w:rsidP="00A6684F">
            <w:pPr>
              <w:jc w:val="left"/>
              <w:rPr>
                <w:rFonts w:cs="Arial"/>
                <w:sz w:val="16"/>
                <w:szCs w:val="16"/>
              </w:rPr>
            </w:pPr>
            <w:r w:rsidRPr="00B93EE1">
              <w:rPr>
                <w:rFonts w:cs="Arial"/>
                <w:sz w:val="16"/>
                <w:szCs w:val="16"/>
              </w:rPr>
              <w:t>23 March 2015</w:t>
            </w:r>
          </w:p>
        </w:tc>
        <w:tc>
          <w:tcPr>
            <w:tcW w:w="1076" w:type="pct"/>
          </w:tcPr>
          <w:p w14:paraId="5365BBE2" w14:textId="77777777" w:rsidR="00120717" w:rsidRPr="00B93EE1" w:rsidRDefault="00120717" w:rsidP="00A6684F">
            <w:pPr>
              <w:jc w:val="left"/>
              <w:rPr>
                <w:rFonts w:cs="Arial"/>
                <w:sz w:val="16"/>
                <w:szCs w:val="16"/>
              </w:rPr>
            </w:pPr>
            <w:r w:rsidRPr="00B93EE1">
              <w:rPr>
                <w:rFonts w:cs="Arial"/>
                <w:sz w:val="16"/>
                <w:szCs w:val="16"/>
              </w:rPr>
              <w:t>20 December 2015</w:t>
            </w:r>
          </w:p>
        </w:tc>
        <w:tc>
          <w:tcPr>
            <w:tcW w:w="860" w:type="pct"/>
          </w:tcPr>
          <w:p w14:paraId="00E5A24D" w14:textId="77777777" w:rsidR="00120717" w:rsidRPr="00B93EE1" w:rsidRDefault="00120717" w:rsidP="00AA23B0">
            <w:pPr>
              <w:jc w:val="left"/>
              <w:rPr>
                <w:rFonts w:cs="Arial"/>
                <w:sz w:val="16"/>
                <w:szCs w:val="16"/>
              </w:rPr>
            </w:pPr>
            <w:r w:rsidRPr="00B93EE1">
              <w:rPr>
                <w:rFonts w:cs="Arial"/>
                <w:sz w:val="16"/>
                <w:szCs w:val="16"/>
              </w:rPr>
              <w:t>Goods, services, and investment</w:t>
            </w:r>
          </w:p>
        </w:tc>
      </w:tr>
      <w:tr w:rsidR="00120717" w:rsidRPr="00B93EE1" w14:paraId="768B5887" w14:textId="77777777" w:rsidTr="001327C0">
        <w:trPr>
          <w:cnfStyle w:val="000000010000" w:firstRow="0" w:lastRow="0" w:firstColumn="0" w:lastColumn="0" w:oddVBand="0" w:evenVBand="0" w:oddHBand="0" w:evenHBand="1" w:firstRowFirstColumn="0" w:firstRowLastColumn="0" w:lastRowFirstColumn="0" w:lastRowLastColumn="0"/>
          <w:trHeight w:val="620"/>
        </w:trPr>
        <w:tc>
          <w:tcPr>
            <w:tcW w:w="298" w:type="pct"/>
            <w:vMerge/>
            <w:tcBorders>
              <w:top w:val="nil"/>
              <w:bottom w:val="single" w:sz="4" w:space="0" w:color="auto"/>
            </w:tcBorders>
            <w:shd w:val="clear" w:color="auto" w:fill="006283"/>
          </w:tcPr>
          <w:p w14:paraId="2425E7E1" w14:textId="77777777" w:rsidR="00120717" w:rsidRPr="00B93EE1" w:rsidRDefault="00120717" w:rsidP="00A6684F">
            <w:pPr>
              <w:jc w:val="left"/>
              <w:rPr>
                <w:rFonts w:cs="Arial"/>
                <w:sz w:val="16"/>
                <w:szCs w:val="16"/>
              </w:rPr>
            </w:pPr>
          </w:p>
        </w:tc>
        <w:tc>
          <w:tcPr>
            <w:tcW w:w="1665" w:type="pct"/>
            <w:hideMark/>
          </w:tcPr>
          <w:p w14:paraId="5D3D653B" w14:textId="77777777" w:rsidR="00120717" w:rsidRPr="00B93EE1" w:rsidRDefault="00120717" w:rsidP="00A6684F">
            <w:pPr>
              <w:jc w:val="left"/>
              <w:rPr>
                <w:rFonts w:cs="Arial"/>
                <w:sz w:val="16"/>
                <w:szCs w:val="16"/>
              </w:rPr>
            </w:pPr>
            <w:r w:rsidRPr="00B93EE1">
              <w:rPr>
                <w:rFonts w:cs="Arial"/>
                <w:sz w:val="16"/>
                <w:szCs w:val="16"/>
              </w:rPr>
              <w:t xml:space="preserve">Pacific Agreement on Closer Economic Relations (PACER Plus) </w:t>
            </w:r>
          </w:p>
        </w:tc>
        <w:tc>
          <w:tcPr>
            <w:tcW w:w="1100" w:type="pct"/>
            <w:hideMark/>
          </w:tcPr>
          <w:p w14:paraId="176175B8" w14:textId="77777777" w:rsidR="00120717" w:rsidRPr="00B93EE1" w:rsidRDefault="00120717" w:rsidP="00A6684F">
            <w:pPr>
              <w:jc w:val="left"/>
              <w:rPr>
                <w:rFonts w:cs="Arial"/>
                <w:sz w:val="16"/>
                <w:szCs w:val="16"/>
              </w:rPr>
            </w:pPr>
            <w:r w:rsidRPr="00B93EE1">
              <w:rPr>
                <w:rFonts w:cs="Arial"/>
                <w:sz w:val="16"/>
                <w:szCs w:val="16"/>
              </w:rPr>
              <w:t>14 June 2017</w:t>
            </w:r>
          </w:p>
        </w:tc>
        <w:tc>
          <w:tcPr>
            <w:tcW w:w="1076" w:type="pct"/>
            <w:hideMark/>
          </w:tcPr>
          <w:p w14:paraId="10EDD795" w14:textId="77777777" w:rsidR="00120717" w:rsidRPr="00B93EE1" w:rsidRDefault="00120717" w:rsidP="00A6684F">
            <w:pPr>
              <w:jc w:val="left"/>
              <w:rPr>
                <w:rFonts w:cs="Arial"/>
                <w:sz w:val="16"/>
                <w:szCs w:val="16"/>
              </w:rPr>
            </w:pPr>
            <w:r w:rsidRPr="00B93EE1">
              <w:rPr>
                <w:rFonts w:cs="Arial"/>
                <w:sz w:val="16"/>
                <w:szCs w:val="16"/>
              </w:rPr>
              <w:t>13 December 2020</w:t>
            </w:r>
          </w:p>
        </w:tc>
        <w:tc>
          <w:tcPr>
            <w:tcW w:w="860" w:type="pct"/>
            <w:hideMark/>
          </w:tcPr>
          <w:p w14:paraId="0F742A67" w14:textId="77777777" w:rsidR="00120717" w:rsidRPr="00B93EE1" w:rsidRDefault="00120717" w:rsidP="00AA23B0">
            <w:pPr>
              <w:jc w:val="left"/>
              <w:rPr>
                <w:rFonts w:cs="Arial"/>
                <w:sz w:val="16"/>
                <w:szCs w:val="16"/>
              </w:rPr>
            </w:pPr>
            <w:r w:rsidRPr="00B93EE1">
              <w:rPr>
                <w:rFonts w:cs="Arial"/>
                <w:sz w:val="16"/>
                <w:szCs w:val="16"/>
              </w:rPr>
              <w:t>Goods, services, and investment</w:t>
            </w:r>
          </w:p>
        </w:tc>
      </w:tr>
      <w:tr w:rsidR="00120717" w:rsidRPr="00B93EE1" w14:paraId="1AA3F07F" w14:textId="77777777" w:rsidTr="001327C0">
        <w:trPr>
          <w:trHeight w:val="611"/>
        </w:trPr>
        <w:tc>
          <w:tcPr>
            <w:tcW w:w="298" w:type="pct"/>
            <w:vMerge/>
            <w:tcBorders>
              <w:top w:val="nil"/>
              <w:bottom w:val="single" w:sz="4" w:space="0" w:color="auto"/>
            </w:tcBorders>
            <w:shd w:val="clear" w:color="auto" w:fill="006283"/>
          </w:tcPr>
          <w:p w14:paraId="5AD02C33" w14:textId="77777777" w:rsidR="00120717" w:rsidRPr="00B93EE1" w:rsidRDefault="00120717" w:rsidP="00DF656E">
            <w:pPr>
              <w:jc w:val="left"/>
              <w:rPr>
                <w:rFonts w:cs="Arial"/>
                <w:sz w:val="16"/>
                <w:szCs w:val="16"/>
              </w:rPr>
            </w:pPr>
          </w:p>
        </w:tc>
        <w:tc>
          <w:tcPr>
            <w:tcW w:w="1665" w:type="pct"/>
            <w:hideMark/>
          </w:tcPr>
          <w:p w14:paraId="7F3C95C9" w14:textId="77777777" w:rsidR="00120717" w:rsidRPr="00B93EE1" w:rsidRDefault="00120717" w:rsidP="00DF656E">
            <w:pPr>
              <w:jc w:val="left"/>
              <w:rPr>
                <w:rFonts w:cs="Arial"/>
                <w:sz w:val="16"/>
                <w:szCs w:val="16"/>
              </w:rPr>
            </w:pPr>
            <w:r w:rsidRPr="00B93EE1">
              <w:rPr>
                <w:rFonts w:cs="Arial"/>
                <w:sz w:val="16"/>
                <w:szCs w:val="16"/>
              </w:rPr>
              <w:t>Comprehensive and Progressive Agreement for Trans-Pacific Partnership (</w:t>
            </w:r>
            <w:proofErr w:type="spellStart"/>
            <w:r w:rsidRPr="00B93EE1">
              <w:rPr>
                <w:rFonts w:cs="Arial"/>
                <w:sz w:val="16"/>
                <w:szCs w:val="16"/>
              </w:rPr>
              <w:t>CPTPP</w:t>
            </w:r>
            <w:proofErr w:type="spellEnd"/>
            <w:r w:rsidRPr="00B93EE1">
              <w:rPr>
                <w:rFonts w:cs="Arial"/>
                <w:sz w:val="16"/>
                <w:szCs w:val="16"/>
              </w:rPr>
              <w:t xml:space="preserve">) </w:t>
            </w:r>
          </w:p>
        </w:tc>
        <w:tc>
          <w:tcPr>
            <w:tcW w:w="1100" w:type="pct"/>
            <w:hideMark/>
          </w:tcPr>
          <w:p w14:paraId="524B4A7C" w14:textId="77777777" w:rsidR="00120717" w:rsidRPr="00B93EE1" w:rsidRDefault="00120717" w:rsidP="00DF656E">
            <w:pPr>
              <w:jc w:val="left"/>
              <w:rPr>
                <w:rFonts w:cs="Arial"/>
                <w:sz w:val="16"/>
                <w:szCs w:val="16"/>
              </w:rPr>
            </w:pPr>
            <w:r w:rsidRPr="00B93EE1">
              <w:rPr>
                <w:rFonts w:cs="Arial"/>
                <w:sz w:val="16"/>
                <w:szCs w:val="16"/>
              </w:rPr>
              <w:t>8 March 2018</w:t>
            </w:r>
          </w:p>
        </w:tc>
        <w:tc>
          <w:tcPr>
            <w:tcW w:w="1076" w:type="pct"/>
            <w:hideMark/>
          </w:tcPr>
          <w:p w14:paraId="2D756AAA" w14:textId="77777777" w:rsidR="00120717" w:rsidRPr="00B93EE1" w:rsidRDefault="00120717" w:rsidP="00DF656E">
            <w:pPr>
              <w:jc w:val="left"/>
              <w:rPr>
                <w:rFonts w:cs="Arial"/>
                <w:sz w:val="16"/>
                <w:szCs w:val="16"/>
              </w:rPr>
            </w:pPr>
            <w:r w:rsidRPr="00B93EE1">
              <w:rPr>
                <w:rFonts w:cs="Arial"/>
                <w:sz w:val="16"/>
                <w:szCs w:val="16"/>
              </w:rPr>
              <w:t>30 December 2018</w:t>
            </w:r>
          </w:p>
        </w:tc>
        <w:tc>
          <w:tcPr>
            <w:tcW w:w="860" w:type="pct"/>
            <w:hideMark/>
          </w:tcPr>
          <w:p w14:paraId="0C89B9A7" w14:textId="77777777" w:rsidR="00120717" w:rsidRPr="00B93EE1" w:rsidRDefault="00120717" w:rsidP="00AA23B0">
            <w:pPr>
              <w:jc w:val="left"/>
              <w:rPr>
                <w:rFonts w:cs="Arial"/>
                <w:sz w:val="16"/>
                <w:szCs w:val="16"/>
              </w:rPr>
            </w:pPr>
            <w:r w:rsidRPr="00B93EE1">
              <w:rPr>
                <w:rFonts w:cs="Arial"/>
                <w:sz w:val="16"/>
                <w:szCs w:val="16"/>
              </w:rPr>
              <w:t>Goods, services, and investment</w:t>
            </w:r>
          </w:p>
        </w:tc>
      </w:tr>
      <w:tr w:rsidR="00120717" w:rsidRPr="00B93EE1" w14:paraId="59D2011A" w14:textId="77777777" w:rsidTr="001327C0">
        <w:trPr>
          <w:cnfStyle w:val="000000010000" w:firstRow="0" w:lastRow="0" w:firstColumn="0" w:lastColumn="0" w:oddVBand="0" w:evenVBand="0" w:oddHBand="0" w:evenHBand="1" w:firstRowFirstColumn="0" w:firstRowLastColumn="0" w:lastRowFirstColumn="0" w:lastRowLastColumn="0"/>
          <w:trHeight w:val="629"/>
        </w:trPr>
        <w:tc>
          <w:tcPr>
            <w:tcW w:w="298" w:type="pct"/>
            <w:vMerge/>
            <w:tcBorders>
              <w:top w:val="nil"/>
              <w:bottom w:val="single" w:sz="4" w:space="0" w:color="auto"/>
            </w:tcBorders>
            <w:shd w:val="clear" w:color="auto" w:fill="006283"/>
          </w:tcPr>
          <w:p w14:paraId="1E4DEDCA" w14:textId="77777777" w:rsidR="00120717" w:rsidRPr="00B93EE1" w:rsidRDefault="00120717" w:rsidP="00A6684F">
            <w:pPr>
              <w:jc w:val="left"/>
              <w:rPr>
                <w:rFonts w:cs="Arial"/>
                <w:sz w:val="16"/>
                <w:szCs w:val="16"/>
              </w:rPr>
            </w:pPr>
          </w:p>
        </w:tc>
        <w:tc>
          <w:tcPr>
            <w:tcW w:w="1665" w:type="pct"/>
          </w:tcPr>
          <w:p w14:paraId="2EA813F5" w14:textId="77777777" w:rsidR="00120717" w:rsidRPr="00B93EE1" w:rsidRDefault="00120717" w:rsidP="00A6684F">
            <w:pPr>
              <w:jc w:val="left"/>
              <w:rPr>
                <w:rFonts w:cs="Arial"/>
                <w:sz w:val="16"/>
                <w:szCs w:val="16"/>
              </w:rPr>
            </w:pPr>
            <w:r w:rsidRPr="00B93EE1">
              <w:rPr>
                <w:rFonts w:cs="Arial"/>
                <w:sz w:val="16"/>
                <w:szCs w:val="16"/>
              </w:rPr>
              <w:t>Regional Comprehensive Economic Partnership (RCEP)</w:t>
            </w:r>
          </w:p>
        </w:tc>
        <w:tc>
          <w:tcPr>
            <w:tcW w:w="1100" w:type="pct"/>
          </w:tcPr>
          <w:p w14:paraId="011272FA" w14:textId="77777777" w:rsidR="00120717" w:rsidRPr="00B93EE1" w:rsidRDefault="00120717" w:rsidP="00A6684F">
            <w:pPr>
              <w:jc w:val="left"/>
              <w:rPr>
                <w:rFonts w:cs="Arial"/>
                <w:sz w:val="16"/>
                <w:szCs w:val="16"/>
              </w:rPr>
            </w:pPr>
            <w:r w:rsidRPr="00B93EE1">
              <w:rPr>
                <w:rFonts w:cs="Arial"/>
                <w:sz w:val="16"/>
                <w:szCs w:val="16"/>
              </w:rPr>
              <w:t>15 November 2020</w:t>
            </w:r>
          </w:p>
        </w:tc>
        <w:tc>
          <w:tcPr>
            <w:tcW w:w="1076" w:type="pct"/>
          </w:tcPr>
          <w:p w14:paraId="3BD1938C" w14:textId="77777777" w:rsidR="00120717" w:rsidRPr="00B93EE1" w:rsidRDefault="00120717" w:rsidP="00A6684F">
            <w:pPr>
              <w:jc w:val="left"/>
              <w:rPr>
                <w:rFonts w:cs="Arial"/>
                <w:sz w:val="16"/>
                <w:szCs w:val="16"/>
              </w:rPr>
            </w:pPr>
            <w:r w:rsidRPr="00B93EE1">
              <w:rPr>
                <w:rFonts w:cs="Arial"/>
                <w:sz w:val="16"/>
                <w:szCs w:val="16"/>
              </w:rPr>
              <w:t>1 January 2022</w:t>
            </w:r>
          </w:p>
        </w:tc>
        <w:tc>
          <w:tcPr>
            <w:tcW w:w="860" w:type="pct"/>
          </w:tcPr>
          <w:p w14:paraId="72163A93" w14:textId="77777777" w:rsidR="00120717" w:rsidRPr="00B93EE1" w:rsidRDefault="00120717" w:rsidP="00AA23B0">
            <w:pPr>
              <w:jc w:val="left"/>
              <w:rPr>
                <w:rFonts w:cs="Arial"/>
                <w:sz w:val="16"/>
                <w:szCs w:val="16"/>
              </w:rPr>
            </w:pPr>
            <w:r w:rsidRPr="00B93EE1">
              <w:rPr>
                <w:rFonts w:cs="Arial"/>
                <w:sz w:val="16"/>
                <w:szCs w:val="16"/>
              </w:rPr>
              <w:t>Goods, services, and investment</w:t>
            </w:r>
          </w:p>
        </w:tc>
      </w:tr>
      <w:tr w:rsidR="00120717" w:rsidRPr="00B93EE1" w14:paraId="402B05E0" w14:textId="77777777" w:rsidTr="001327C0">
        <w:trPr>
          <w:trHeight w:val="557"/>
        </w:trPr>
        <w:tc>
          <w:tcPr>
            <w:tcW w:w="298" w:type="pct"/>
            <w:vMerge w:val="restart"/>
            <w:tcBorders>
              <w:top w:val="single" w:sz="4" w:space="0" w:color="auto"/>
            </w:tcBorders>
            <w:shd w:val="clear" w:color="auto" w:fill="006283"/>
            <w:textDirection w:val="btLr"/>
          </w:tcPr>
          <w:p w14:paraId="68812B45" w14:textId="77777777" w:rsidR="00120717" w:rsidRPr="00B93EE1" w:rsidRDefault="00120717" w:rsidP="003907AE">
            <w:pPr>
              <w:ind w:left="113" w:right="113"/>
              <w:jc w:val="center"/>
              <w:rPr>
                <w:rFonts w:cs="Arial"/>
                <w:b/>
                <w:bCs/>
                <w:sz w:val="16"/>
                <w:szCs w:val="16"/>
              </w:rPr>
            </w:pPr>
            <w:r w:rsidRPr="00B93EE1">
              <w:rPr>
                <w:rFonts w:cs="Arial"/>
                <w:b/>
                <w:bCs/>
                <w:color w:val="FFFFFF" w:themeColor="background1"/>
                <w:sz w:val="16"/>
                <w:szCs w:val="16"/>
              </w:rPr>
              <w:t xml:space="preserve">Upgraded FTAs </w:t>
            </w:r>
          </w:p>
        </w:tc>
        <w:tc>
          <w:tcPr>
            <w:tcW w:w="1665" w:type="pct"/>
          </w:tcPr>
          <w:p w14:paraId="3E65D454" w14:textId="77777777" w:rsidR="00120717" w:rsidRPr="00B93EE1" w:rsidRDefault="00120717" w:rsidP="00034E9C">
            <w:pPr>
              <w:jc w:val="left"/>
              <w:rPr>
                <w:rFonts w:cs="Arial"/>
                <w:sz w:val="16"/>
                <w:szCs w:val="16"/>
              </w:rPr>
            </w:pPr>
            <w:r w:rsidRPr="00B93EE1">
              <w:rPr>
                <w:rFonts w:cs="Arial"/>
                <w:sz w:val="16"/>
                <w:szCs w:val="16"/>
              </w:rPr>
              <w:t>Protocol upgrading New Zealand</w:t>
            </w:r>
            <w:r w:rsidRPr="00B93EE1">
              <w:rPr>
                <w:rFonts w:cs="Arial"/>
                <w:sz w:val="16"/>
                <w:szCs w:val="16"/>
              </w:rPr>
              <w:noBreakHyphen/>
              <w:t>Singapore FTA</w:t>
            </w:r>
          </w:p>
        </w:tc>
        <w:tc>
          <w:tcPr>
            <w:tcW w:w="1100" w:type="pct"/>
          </w:tcPr>
          <w:p w14:paraId="638F6152" w14:textId="77777777" w:rsidR="00120717" w:rsidRPr="00B93EE1" w:rsidRDefault="00120717" w:rsidP="003907AE">
            <w:pPr>
              <w:jc w:val="left"/>
              <w:rPr>
                <w:rFonts w:cs="Arial"/>
                <w:sz w:val="16"/>
                <w:szCs w:val="16"/>
              </w:rPr>
            </w:pPr>
            <w:r w:rsidRPr="00B93EE1">
              <w:rPr>
                <w:rFonts w:cs="Arial"/>
                <w:sz w:val="16"/>
                <w:szCs w:val="16"/>
              </w:rPr>
              <w:t>1 January 2020</w:t>
            </w:r>
          </w:p>
        </w:tc>
        <w:tc>
          <w:tcPr>
            <w:tcW w:w="1076" w:type="pct"/>
          </w:tcPr>
          <w:p w14:paraId="0E957995" w14:textId="77777777" w:rsidR="00120717" w:rsidRPr="00B93EE1" w:rsidRDefault="00120717" w:rsidP="003907AE">
            <w:pPr>
              <w:jc w:val="left"/>
              <w:rPr>
                <w:rFonts w:cs="Arial"/>
                <w:sz w:val="16"/>
                <w:szCs w:val="16"/>
              </w:rPr>
            </w:pPr>
            <w:r w:rsidRPr="00B93EE1">
              <w:rPr>
                <w:rFonts w:cs="Arial"/>
                <w:sz w:val="16"/>
                <w:szCs w:val="16"/>
              </w:rPr>
              <w:t>1 January 2020</w:t>
            </w:r>
          </w:p>
        </w:tc>
        <w:tc>
          <w:tcPr>
            <w:tcW w:w="860" w:type="pct"/>
          </w:tcPr>
          <w:p w14:paraId="17660719" w14:textId="77777777" w:rsidR="00120717" w:rsidRPr="00B93EE1" w:rsidRDefault="00120717" w:rsidP="00AA23B0">
            <w:pPr>
              <w:jc w:val="left"/>
              <w:rPr>
                <w:rFonts w:cs="Arial"/>
                <w:sz w:val="16"/>
                <w:szCs w:val="16"/>
              </w:rPr>
            </w:pPr>
            <w:r w:rsidRPr="00B93EE1">
              <w:rPr>
                <w:rFonts w:cs="Arial"/>
                <w:sz w:val="16"/>
                <w:szCs w:val="16"/>
              </w:rPr>
              <w:t>Various regulatory areas</w:t>
            </w:r>
          </w:p>
        </w:tc>
      </w:tr>
      <w:tr w:rsidR="00120717" w:rsidRPr="00B93EE1" w14:paraId="6B544C5A" w14:textId="77777777" w:rsidTr="001327C0">
        <w:trPr>
          <w:cnfStyle w:val="000000010000" w:firstRow="0" w:lastRow="0" w:firstColumn="0" w:lastColumn="0" w:oddVBand="0" w:evenVBand="0" w:oddHBand="0" w:evenHBand="1" w:firstRowFirstColumn="0" w:firstRowLastColumn="0" w:lastRowFirstColumn="0" w:lastRowLastColumn="0"/>
          <w:trHeight w:val="558"/>
        </w:trPr>
        <w:tc>
          <w:tcPr>
            <w:tcW w:w="298" w:type="pct"/>
            <w:vMerge/>
            <w:shd w:val="clear" w:color="auto" w:fill="006283"/>
          </w:tcPr>
          <w:p w14:paraId="4D8D3A44" w14:textId="77777777" w:rsidR="00120717" w:rsidRPr="00B93EE1" w:rsidRDefault="00120717" w:rsidP="003907AE">
            <w:pPr>
              <w:rPr>
                <w:rFonts w:cs="Arial"/>
                <w:sz w:val="16"/>
                <w:szCs w:val="16"/>
              </w:rPr>
            </w:pPr>
          </w:p>
        </w:tc>
        <w:tc>
          <w:tcPr>
            <w:tcW w:w="1665" w:type="pct"/>
            <w:hideMark/>
          </w:tcPr>
          <w:p w14:paraId="3E011F04" w14:textId="77777777" w:rsidR="00120717" w:rsidRPr="00B93EE1" w:rsidRDefault="00120717" w:rsidP="00034E9C">
            <w:pPr>
              <w:jc w:val="left"/>
              <w:rPr>
                <w:rFonts w:cs="Arial"/>
                <w:sz w:val="16"/>
                <w:szCs w:val="16"/>
              </w:rPr>
            </w:pPr>
            <w:r w:rsidRPr="00B93EE1">
              <w:rPr>
                <w:rFonts w:cs="Arial"/>
                <w:sz w:val="16"/>
                <w:szCs w:val="16"/>
              </w:rPr>
              <w:t>Protocol upgrading New Zealand</w:t>
            </w:r>
            <w:r w:rsidRPr="00B93EE1">
              <w:rPr>
                <w:rFonts w:cs="Arial"/>
                <w:sz w:val="16"/>
                <w:szCs w:val="16"/>
              </w:rPr>
              <w:noBreakHyphen/>
              <w:t>China FTA</w:t>
            </w:r>
          </w:p>
        </w:tc>
        <w:tc>
          <w:tcPr>
            <w:tcW w:w="1100" w:type="pct"/>
            <w:hideMark/>
          </w:tcPr>
          <w:p w14:paraId="4C0FADE6" w14:textId="77777777" w:rsidR="00120717" w:rsidRPr="00B93EE1" w:rsidRDefault="00120717" w:rsidP="003907AE">
            <w:pPr>
              <w:jc w:val="left"/>
              <w:rPr>
                <w:rFonts w:cs="Arial"/>
                <w:sz w:val="16"/>
                <w:szCs w:val="16"/>
              </w:rPr>
            </w:pPr>
            <w:r w:rsidRPr="00B93EE1">
              <w:rPr>
                <w:rFonts w:cs="Arial"/>
                <w:sz w:val="16"/>
                <w:szCs w:val="16"/>
              </w:rPr>
              <w:t>26 January 2021</w:t>
            </w:r>
          </w:p>
        </w:tc>
        <w:tc>
          <w:tcPr>
            <w:tcW w:w="1076" w:type="pct"/>
            <w:hideMark/>
          </w:tcPr>
          <w:p w14:paraId="108F3B68" w14:textId="77777777" w:rsidR="00120717" w:rsidRPr="00B93EE1" w:rsidRDefault="00120717" w:rsidP="003907AE">
            <w:pPr>
              <w:jc w:val="left"/>
              <w:rPr>
                <w:rFonts w:cs="Arial"/>
                <w:sz w:val="16"/>
                <w:szCs w:val="16"/>
              </w:rPr>
            </w:pPr>
            <w:r w:rsidRPr="00B93EE1">
              <w:rPr>
                <w:rFonts w:cs="Arial"/>
                <w:sz w:val="16"/>
                <w:szCs w:val="16"/>
              </w:rPr>
              <w:t>7 April 2022</w:t>
            </w:r>
          </w:p>
        </w:tc>
        <w:tc>
          <w:tcPr>
            <w:tcW w:w="860" w:type="pct"/>
            <w:hideMark/>
          </w:tcPr>
          <w:p w14:paraId="61E6B901" w14:textId="77777777" w:rsidR="00120717" w:rsidRPr="00B93EE1" w:rsidRDefault="00120717" w:rsidP="00AA23B0">
            <w:pPr>
              <w:jc w:val="left"/>
              <w:rPr>
                <w:rFonts w:cs="Arial"/>
                <w:sz w:val="16"/>
                <w:szCs w:val="16"/>
              </w:rPr>
            </w:pPr>
            <w:r w:rsidRPr="00B93EE1">
              <w:rPr>
                <w:rFonts w:cs="Arial"/>
                <w:sz w:val="16"/>
                <w:szCs w:val="16"/>
              </w:rPr>
              <w:t>Various regulatory areas</w:t>
            </w:r>
          </w:p>
        </w:tc>
      </w:tr>
    </w:tbl>
    <w:p w14:paraId="1C02159A" w14:textId="77777777" w:rsidR="00120717" w:rsidRPr="00B93EE1" w:rsidRDefault="00120717" w:rsidP="003C53A8">
      <w:pPr>
        <w:pStyle w:val="NoteText"/>
        <w:spacing w:before="120"/>
        <w:rPr>
          <w:szCs w:val="16"/>
        </w:rPr>
      </w:pPr>
      <w:r w:rsidRPr="00B93EE1">
        <w:rPr>
          <w:szCs w:val="16"/>
        </w:rPr>
        <w:t>PACER Plus:</w:t>
      </w:r>
    </w:p>
    <w:p w14:paraId="170386FF" w14:textId="77777777" w:rsidR="00120717" w:rsidRPr="00B93EE1" w:rsidRDefault="00120717" w:rsidP="00F64A35">
      <w:pPr>
        <w:pStyle w:val="NoteText"/>
        <w:rPr>
          <w:szCs w:val="16"/>
        </w:rPr>
      </w:pPr>
      <w:r w:rsidRPr="00B93EE1">
        <w:rPr>
          <w:szCs w:val="16"/>
        </w:rPr>
        <w:tab/>
        <w:t xml:space="preserve">Involves New Zealand and 10 other partners: Australia, Cook Islands, Kiribati, Nauru, </w:t>
      </w:r>
      <w:r w:rsidRPr="00B93EE1">
        <w:t>Niue</w:t>
      </w:r>
      <w:r w:rsidRPr="00B93EE1">
        <w:rPr>
          <w:szCs w:val="16"/>
        </w:rPr>
        <w:t>, Samoa, Solomon Islands, Tonga, Tuvalu, and Vanuatu. The Agreement is not yet in force for Nauru, Tuvalu, and Vanuatu.</w:t>
      </w:r>
    </w:p>
    <w:p w14:paraId="7D5E9423" w14:textId="77777777" w:rsidR="00120717" w:rsidRPr="00B93EE1" w:rsidRDefault="00120717" w:rsidP="003C53A8">
      <w:pPr>
        <w:pStyle w:val="NoteText"/>
        <w:spacing w:before="120"/>
        <w:rPr>
          <w:szCs w:val="16"/>
        </w:rPr>
      </w:pPr>
      <w:proofErr w:type="spellStart"/>
      <w:r w:rsidRPr="00B93EE1">
        <w:t>CPTPP</w:t>
      </w:r>
      <w:proofErr w:type="spellEnd"/>
      <w:r w:rsidRPr="00B93EE1">
        <w:t>:</w:t>
      </w:r>
      <w:r w:rsidRPr="00B93EE1">
        <w:tab/>
        <w:t>I</w:t>
      </w:r>
      <w:r w:rsidRPr="00B93EE1">
        <w:rPr>
          <w:szCs w:val="16"/>
        </w:rPr>
        <w:t xml:space="preserve">nvolves New Zealand and 10 other countries: Australia, Brunei Darussalam, Canada, Chile, Japan, Malaysia, Mexico, Peru, Singapore, and Viet Nam. The Agreement is not yet in force for Brunei Darussalam, Chile, and Malaysia. For the other Parties, the Agreement entered into force on </w:t>
      </w:r>
      <w:r w:rsidRPr="00B93EE1">
        <w:rPr>
          <w:rFonts w:cs="Arial"/>
          <w:szCs w:val="16"/>
        </w:rPr>
        <w:t xml:space="preserve">30 December 2018, except for Peru and Viet Nam. </w:t>
      </w:r>
      <w:r w:rsidRPr="00B93EE1">
        <w:rPr>
          <w:szCs w:val="16"/>
        </w:rPr>
        <w:t xml:space="preserve">The entry into force was on 19 September 2021 for Peru, and </w:t>
      </w:r>
      <w:r w:rsidRPr="00B93EE1">
        <w:t xml:space="preserve">14 January 2019 </w:t>
      </w:r>
      <w:r w:rsidRPr="00B93EE1">
        <w:rPr>
          <w:szCs w:val="16"/>
        </w:rPr>
        <w:t>for Viet Nam.</w:t>
      </w:r>
    </w:p>
    <w:p w14:paraId="30660910" w14:textId="77777777" w:rsidR="00120717" w:rsidRPr="00B93EE1" w:rsidRDefault="00120717" w:rsidP="003C53A8">
      <w:pPr>
        <w:pStyle w:val="NoteText"/>
        <w:spacing w:before="120"/>
        <w:rPr>
          <w:szCs w:val="16"/>
        </w:rPr>
      </w:pPr>
      <w:r w:rsidRPr="00B93EE1">
        <w:rPr>
          <w:szCs w:val="16"/>
        </w:rPr>
        <w:t xml:space="preserve">RCEP: </w:t>
      </w:r>
      <w:r w:rsidRPr="00B93EE1">
        <w:rPr>
          <w:szCs w:val="16"/>
        </w:rPr>
        <w:tab/>
      </w:r>
      <w:r w:rsidRPr="00B93EE1">
        <w:t>Involves</w:t>
      </w:r>
      <w:r w:rsidRPr="00B93EE1">
        <w:rPr>
          <w:szCs w:val="16"/>
        </w:rPr>
        <w:t xml:space="preserve"> New Zealand and 14 other countries: Australia, Brunei Darussalam, Cambodia, China, Indonesia, Japan, the Republic of Korea, the Lao People's Democratic Republic, Malaysia, Myanmar, the Philippines, Singapore, Thailand, and Viet Nam. The Agreement entered into force on 1 January 2022 for all parties, except for Indonesia, Malaysia, Myanmar, the Philippines, and the Republic of Korea. For the Republic of Korea, entry into force was on 1 February 2022, and for Malaysia, it will be on 18 March 2022.</w:t>
      </w:r>
    </w:p>
    <w:p w14:paraId="55767883" w14:textId="77777777" w:rsidR="00120717" w:rsidRPr="00B93EE1" w:rsidRDefault="00120717" w:rsidP="003C53A8">
      <w:pPr>
        <w:pStyle w:val="NoteText"/>
        <w:spacing w:before="120" w:after="240"/>
        <w:rPr>
          <w:szCs w:val="16"/>
        </w:rPr>
      </w:pPr>
      <w:r w:rsidRPr="00B93EE1">
        <w:rPr>
          <w:szCs w:val="16"/>
        </w:rPr>
        <w:t>Source:</w:t>
      </w:r>
      <w:r w:rsidRPr="00B93EE1">
        <w:rPr>
          <w:szCs w:val="16"/>
        </w:rPr>
        <w:tab/>
        <w:t>WTO Secretariat.</w:t>
      </w:r>
    </w:p>
    <w:p w14:paraId="3CFA214B" w14:textId="77777777" w:rsidR="00120717" w:rsidRPr="00B93EE1" w:rsidRDefault="00120717" w:rsidP="00B55C45">
      <w:pPr>
        <w:pStyle w:val="Heading7"/>
      </w:pPr>
      <w:r w:rsidRPr="00B93EE1">
        <w:t>New Zealand – Republic of Korea (2015)</w:t>
      </w:r>
    </w:p>
    <w:p w14:paraId="62DBFCB5" w14:textId="77777777" w:rsidR="00120717" w:rsidRPr="00F64A35" w:rsidRDefault="00120717" w:rsidP="0007368E">
      <w:pPr>
        <w:pStyle w:val="BodyText"/>
      </w:pPr>
      <w:r w:rsidRPr="00B93EE1">
        <w:t>The FTA between New Zealand and the Republic of Korea was signed in March 2015 and entered into force in December of the same year. Under this FTA, New Zealand committed to liberalize all of its tariff lines over a transition period of seven years ending in 2021, with most of the lines (about 86%) becoming duty-free upon the Agreement's entry into force. At the time of the Agreement, about 58% of New Zealand's lines were duty-free on an MFN basis, and as at December 2021, New Zealand had fully implemented its liberalization schedule (Table 3.5). The Republic of Korea liberalized 74.6% of its tariff lines upon entry into force of the Agreement, and by 2034, the end of the transition period, New Zealand exporters will face zero duties on 97.9% of the Republic of Korea's tariff lines.</w:t>
      </w:r>
      <w:r w:rsidRPr="00B93EE1">
        <w:rPr>
          <w:rStyle w:val="FootnoteReference"/>
        </w:rPr>
        <w:footnoteReference w:id="62"/>
      </w:r>
    </w:p>
    <w:p w14:paraId="2C7A8A04" w14:textId="77777777" w:rsidR="00120717" w:rsidRPr="00F64A35" w:rsidRDefault="00120717" w:rsidP="0007368E">
      <w:pPr>
        <w:pStyle w:val="BodyText"/>
      </w:pPr>
      <w:r w:rsidRPr="00B93EE1">
        <w:t xml:space="preserve">The Agreement also covers services, investments, government procurement, intellectual property rights, competition, environment, labour, and SMEs. In services, commitments are similar to those taken under the </w:t>
      </w:r>
      <w:proofErr w:type="spellStart"/>
      <w:r w:rsidRPr="00B93EE1">
        <w:t>CPTPP</w:t>
      </w:r>
      <w:proofErr w:type="spellEnd"/>
      <w:r w:rsidRPr="00B93EE1">
        <w:t>. In investments, commitments include the establishment of an Investor-State Dispute Settlement mechanism.</w:t>
      </w:r>
    </w:p>
    <w:p w14:paraId="740D8242" w14:textId="77777777" w:rsidR="00120717" w:rsidRPr="00B93EE1" w:rsidRDefault="00120717" w:rsidP="00B55C45">
      <w:pPr>
        <w:pStyle w:val="Heading7"/>
      </w:pPr>
      <w:r w:rsidRPr="00B93EE1">
        <w:lastRenderedPageBreak/>
        <w:t>Pacific Agreement on Closer Economic Relations Plus (2017)</w:t>
      </w:r>
    </w:p>
    <w:p w14:paraId="454B10C4" w14:textId="2E4CD619" w:rsidR="00120717" w:rsidRPr="00F64A35" w:rsidRDefault="00120717" w:rsidP="0096704C">
      <w:pPr>
        <w:pStyle w:val="BodyText"/>
      </w:pPr>
      <w:r w:rsidRPr="00B93EE1">
        <w:t xml:space="preserve">PACER Plus was signed </w:t>
      </w:r>
      <w:r w:rsidRPr="00B93EE1">
        <w:rPr>
          <w:rFonts w:eastAsia="Times New Roman"/>
        </w:rPr>
        <w:t xml:space="preserve">in 2017 </w:t>
      </w:r>
      <w:r w:rsidRPr="00B93EE1">
        <w:t>by New Zealand, Australia, and nine other Pacific Islands countries (</w:t>
      </w:r>
      <w:r w:rsidRPr="00B93EE1">
        <w:rPr>
          <w:rFonts w:eastAsia="Times New Roman"/>
        </w:rPr>
        <w:t>Cook Islands, Kiribati, Nauru, Niue, Samoa, Solomon Islands, Tonga, Tuvalu, and Vanuatu).</w:t>
      </w:r>
      <w:r w:rsidRPr="00B93EE1">
        <w:rPr>
          <w:rStyle w:val="FootnoteReference"/>
          <w:rFonts w:eastAsia="Calibri"/>
          <w:color w:val="000000"/>
          <w:lang w:eastAsia="en-NZ"/>
        </w:rPr>
        <w:footnoteReference w:id="63"/>
      </w:r>
      <w:r w:rsidRPr="00B93EE1">
        <w:rPr>
          <w:rFonts w:eastAsia="Times New Roman"/>
        </w:rPr>
        <w:t xml:space="preserve"> PACER Plus</w:t>
      </w:r>
      <w:r w:rsidRPr="00B93EE1">
        <w:t xml:space="preserve"> </w:t>
      </w:r>
      <w:r w:rsidRPr="00B93EE1">
        <w:rPr>
          <w:rFonts w:eastAsia="Calibri"/>
          <w:color w:val="000000"/>
          <w:lang w:eastAsia="en-NZ"/>
        </w:rPr>
        <w:t xml:space="preserve">entered into force in December 2020 for all parties except Nauru, Tuvalu, and Vanuatu. As of February 2022, Nauru and Vanuatu </w:t>
      </w:r>
      <w:r w:rsidRPr="00B93EE1">
        <w:rPr>
          <w:rFonts w:eastAsia="Times New Roman"/>
        </w:rPr>
        <w:t xml:space="preserve">had still to ratify the Agreement. For Tuvalu, which recently ratified it, the Agreement will enter into force in April 2022. </w:t>
      </w:r>
      <w:r w:rsidRPr="00B93EE1">
        <w:t>Of the 11 signatories, 6</w:t>
      </w:r>
      <w:r w:rsidR="006A25C8">
        <w:t> </w:t>
      </w:r>
      <w:r w:rsidRPr="00B93EE1">
        <w:t>are WTO Members (Australia, New Zealand, Samoa, Solomon Islands, Tonga, and Vanuatu)</w:t>
      </w:r>
      <w:r w:rsidR="007E0A45">
        <w:t>, and a</w:t>
      </w:r>
      <w:r w:rsidRPr="00B93EE1">
        <w:t>ll are members of the Pacific Islands Forum (</w:t>
      </w:r>
      <w:proofErr w:type="spellStart"/>
      <w:r w:rsidRPr="00B93EE1">
        <w:t>PIF</w:t>
      </w:r>
      <w:proofErr w:type="spellEnd"/>
      <w:r w:rsidRPr="00B93EE1">
        <w:t xml:space="preserve">). In 2021, trade (imports and exports) between New Zealand and the </w:t>
      </w:r>
      <w:proofErr w:type="spellStart"/>
      <w:r w:rsidRPr="00B93EE1">
        <w:t>PIF</w:t>
      </w:r>
      <w:proofErr w:type="spellEnd"/>
      <w:r w:rsidRPr="00B93EE1">
        <w:t xml:space="preserve"> parties accounted for</w:t>
      </w:r>
      <w:r w:rsidR="007E0A45">
        <w:t xml:space="preserve"> less than 1</w:t>
      </w:r>
      <w:r w:rsidRPr="00B93EE1">
        <w:t>% of New Zealand's total trade.</w:t>
      </w:r>
      <w:r w:rsidRPr="00B93EE1">
        <w:rPr>
          <w:rStyle w:val="FootnoteReference"/>
        </w:rPr>
        <w:footnoteReference w:id="64"/>
      </w:r>
    </w:p>
    <w:p w14:paraId="6BCF1388" w14:textId="77777777" w:rsidR="00120717" w:rsidRPr="00F64A35" w:rsidRDefault="00120717" w:rsidP="00C53986">
      <w:pPr>
        <w:pStyle w:val="BodyText"/>
      </w:pPr>
      <w:r w:rsidRPr="00B93EE1">
        <w:rPr>
          <w:rFonts w:eastAsia="Times New Roman"/>
        </w:rPr>
        <w:t xml:space="preserve">PACER Plus was negotiated following the PACER framework of 2001 that sought to deepen trade and investment liberalization in the Pacific region and that provided, </w:t>
      </w:r>
      <w:r w:rsidRPr="00B93EE1">
        <w:rPr>
          <w:rFonts w:eastAsia="Times New Roman"/>
          <w:i/>
          <w:iCs/>
        </w:rPr>
        <w:t>inter alia</w:t>
      </w:r>
      <w:r w:rsidRPr="00B93EE1">
        <w:rPr>
          <w:rFonts w:eastAsia="Times New Roman"/>
        </w:rPr>
        <w:t xml:space="preserve">, for the future negotiation of reciprocal FTAs between Australia, New Zealand, and other </w:t>
      </w:r>
      <w:proofErr w:type="spellStart"/>
      <w:r w:rsidRPr="00B93EE1">
        <w:rPr>
          <w:rFonts w:eastAsia="Times New Roman"/>
        </w:rPr>
        <w:t>PIF</w:t>
      </w:r>
      <w:proofErr w:type="spellEnd"/>
      <w:r w:rsidRPr="00B93EE1">
        <w:rPr>
          <w:rFonts w:eastAsia="Times New Roman"/>
        </w:rPr>
        <w:t xml:space="preserve"> economies.</w:t>
      </w:r>
      <w:r w:rsidRPr="00B93EE1">
        <w:rPr>
          <w:rStyle w:val="FootnoteReference"/>
          <w:rFonts w:eastAsia="Times New Roman"/>
        </w:rPr>
        <w:footnoteReference w:id="65"/>
      </w:r>
      <w:r w:rsidRPr="00B93EE1">
        <w:rPr>
          <w:rFonts w:eastAsia="Times New Roman"/>
        </w:rPr>
        <w:t xml:space="preserve"> Prior to PACER Plus, trade in goods between New Zealand and the </w:t>
      </w:r>
      <w:proofErr w:type="spellStart"/>
      <w:r w:rsidRPr="00B93EE1">
        <w:rPr>
          <w:rFonts w:eastAsia="Times New Roman"/>
        </w:rPr>
        <w:t>PIF</w:t>
      </w:r>
      <w:proofErr w:type="spellEnd"/>
      <w:r w:rsidRPr="00B93EE1">
        <w:rPr>
          <w:rFonts w:eastAsia="Times New Roman"/>
        </w:rPr>
        <w:t xml:space="preserve"> economies was regulated by </w:t>
      </w:r>
      <w:r w:rsidRPr="00B93EE1">
        <w:t>the South Pacific Regional Trade Economic Cooperation Agreement (</w:t>
      </w:r>
      <w:proofErr w:type="spellStart"/>
      <w:r w:rsidRPr="00B93EE1">
        <w:t>SPARTECA</w:t>
      </w:r>
      <w:proofErr w:type="spellEnd"/>
      <w:r w:rsidRPr="00B93EE1">
        <w:t>) of 1980 – a non</w:t>
      </w:r>
      <w:r w:rsidRPr="00B93EE1">
        <w:noBreakHyphen/>
        <w:t>reciprocal trade agreement among 16 </w:t>
      </w:r>
      <w:proofErr w:type="spellStart"/>
      <w:r w:rsidRPr="00B93EE1">
        <w:t>PIF</w:t>
      </w:r>
      <w:proofErr w:type="spellEnd"/>
      <w:r w:rsidRPr="00B93EE1">
        <w:t xml:space="preserve"> </w:t>
      </w:r>
      <w:r w:rsidRPr="00B93EE1">
        <w:rPr>
          <w:rFonts w:eastAsia="Times New Roman"/>
        </w:rPr>
        <w:t>economies</w:t>
      </w:r>
      <w:r w:rsidRPr="00B93EE1">
        <w:t xml:space="preserve"> – and the Generalized System of Preferences (Section 2.3.3). </w:t>
      </w:r>
      <w:r w:rsidRPr="00B93EE1">
        <w:rPr>
          <w:rFonts w:eastAsia="Times New Roman"/>
        </w:rPr>
        <w:t xml:space="preserve">PACER Plus provides </w:t>
      </w:r>
      <w:r w:rsidRPr="00B93EE1">
        <w:t>f</w:t>
      </w:r>
      <w:r w:rsidRPr="00B93EE1">
        <w:rPr>
          <w:rFonts w:eastAsia="Times New Roman"/>
        </w:rPr>
        <w:t>or reciprocal trade liberalization among its parties, and increased predictability for the trade relationship with the parties that are non-WTO Members as they have bound their tariffs and made other commitments under the Agreement.</w:t>
      </w:r>
    </w:p>
    <w:p w14:paraId="022D2A91" w14:textId="5A32B253" w:rsidR="00120717" w:rsidRPr="00F64A35" w:rsidRDefault="00120717" w:rsidP="00C53986">
      <w:pPr>
        <w:pStyle w:val="BodyText"/>
      </w:pPr>
      <w:r w:rsidRPr="00B93EE1">
        <w:rPr>
          <w:rFonts w:eastAsia="Times New Roman"/>
        </w:rPr>
        <w:t xml:space="preserve">PACER Plus covers trade in goods and services, but also includes some commitments on investment. Other areas covered by the Agreement are TBT, SPS, trade remedies, and development and economic cooperation. </w:t>
      </w:r>
      <w:r w:rsidRPr="00B93EE1">
        <w:t xml:space="preserve">The Agreement also provides for a mechanism for the resolution of disputes between States, but not for </w:t>
      </w:r>
      <w:r w:rsidR="001C795D">
        <w:t>i</w:t>
      </w:r>
      <w:r w:rsidRPr="00B93EE1">
        <w:t>nvestor-</w:t>
      </w:r>
      <w:r w:rsidR="001C795D">
        <w:t>s</w:t>
      </w:r>
      <w:r w:rsidRPr="00B93EE1">
        <w:t>tate disputes.</w:t>
      </w:r>
    </w:p>
    <w:p w14:paraId="19C6AE5B" w14:textId="77777777" w:rsidR="00120717" w:rsidRPr="00F64A35" w:rsidRDefault="00120717" w:rsidP="00EC6DCF">
      <w:pPr>
        <w:pStyle w:val="BodyText"/>
      </w:pPr>
      <w:r w:rsidRPr="00B93EE1">
        <w:t>In trade in goods, the Agreement provides for the elimination of duties upon its entry into force for all tariff lines for New Zealand and Australia, and for 94.2% of tariff lines for Kiribati with remaining lines kept unbound. For Kiribati, all tariff lines were already duty-free at the time of the Agreement.</w:t>
      </w:r>
      <w:r w:rsidRPr="00B93EE1">
        <w:rPr>
          <w:rStyle w:val="FootnoteReference"/>
        </w:rPr>
        <w:footnoteReference w:id="66"/>
      </w:r>
      <w:r w:rsidRPr="00B93EE1">
        <w:t xml:space="preserve"> For the other signatories, duties will be eliminated for 81.5% (Vanuatu) to 98.6% (Nauru) of their total number of tariff lines over a transition period going up to 35 years depending on the party, and starting in some cases after only 10 years of the Agreement's entry into force, or when they graduate from the least developed status, whichever is later so that tariff reductions will be fully implemented at the earliest by 2055.</w:t>
      </w:r>
      <w:r w:rsidRPr="00B93EE1">
        <w:rPr>
          <w:rStyle w:val="FootnoteReference"/>
        </w:rPr>
        <w:footnoteReference w:id="67"/>
      </w:r>
      <w:r w:rsidRPr="00B93EE1">
        <w:t xml:space="preserve"> The Agreement also includes an MFN clause under which any improvements on market access resulting from the negotiation of another preferential trade agreement between a party and a non-party shall be extended to the parties, provided certain conditions are met.</w:t>
      </w:r>
      <w:r w:rsidRPr="00B93EE1">
        <w:rPr>
          <w:rStyle w:val="FootnoteReference"/>
        </w:rPr>
        <w:footnoteReference w:id="68"/>
      </w:r>
      <w:r w:rsidRPr="00B93EE1">
        <w:t xml:space="preserve"> The Agreement also includes an industry development provision under which </w:t>
      </w:r>
      <w:proofErr w:type="spellStart"/>
      <w:r w:rsidRPr="00B93EE1">
        <w:t>PIF</w:t>
      </w:r>
      <w:proofErr w:type="spellEnd"/>
      <w:r w:rsidRPr="00B93EE1">
        <w:t xml:space="preserve"> parties may delay the implementation of their scheduled reductions or increase duties to support the establishment or expansion of a new or existing industry, or to support an industry destroyed or substantially damaged as a result of hostilities or natural disasters. Other flexibilities applying to </w:t>
      </w:r>
      <w:proofErr w:type="spellStart"/>
      <w:r w:rsidRPr="00B93EE1">
        <w:t>PIF</w:t>
      </w:r>
      <w:proofErr w:type="spellEnd"/>
      <w:r w:rsidRPr="00B93EE1">
        <w:t xml:space="preserve"> economies include provisions on the application of transitional safeguards.</w:t>
      </w:r>
      <w:r w:rsidRPr="00B93EE1">
        <w:rPr>
          <w:rStyle w:val="FootnoteReference"/>
        </w:rPr>
        <w:footnoteReference w:id="69"/>
      </w:r>
    </w:p>
    <w:p w14:paraId="761B9CF1" w14:textId="77777777" w:rsidR="00120717" w:rsidRPr="00F64A35" w:rsidRDefault="00120717" w:rsidP="005D34C6">
      <w:pPr>
        <w:pStyle w:val="BodyText"/>
      </w:pPr>
      <w:r w:rsidRPr="00B93EE1">
        <w:t xml:space="preserve">In 2021, the Parties established the PACER Plus Implementation Unit in Samoa to monitor and support the implementation of the Agreement and its development and economic cooperation work programme for </w:t>
      </w:r>
      <w:proofErr w:type="spellStart"/>
      <w:r w:rsidRPr="00B93EE1">
        <w:t>PIF</w:t>
      </w:r>
      <w:proofErr w:type="spellEnd"/>
      <w:r w:rsidRPr="00B93EE1">
        <w:t xml:space="preserve"> parties.</w:t>
      </w:r>
    </w:p>
    <w:p w14:paraId="1C60D020" w14:textId="77777777" w:rsidR="00120717" w:rsidRPr="00B93EE1" w:rsidRDefault="00120717" w:rsidP="00B55C45">
      <w:pPr>
        <w:pStyle w:val="Heading7"/>
      </w:pPr>
      <w:r w:rsidRPr="00B93EE1">
        <w:lastRenderedPageBreak/>
        <w:t>Comprehensive and Progressive Agreement for Trans-Pacific Partnership (2018)</w:t>
      </w:r>
    </w:p>
    <w:p w14:paraId="491D17CB" w14:textId="77777777" w:rsidR="00120717" w:rsidRPr="00F64A35" w:rsidRDefault="00120717" w:rsidP="0007368E">
      <w:pPr>
        <w:pStyle w:val="BodyText"/>
      </w:pPr>
      <w:r w:rsidRPr="00B93EE1">
        <w:t xml:space="preserve">New Zealand is party to the </w:t>
      </w:r>
      <w:proofErr w:type="spellStart"/>
      <w:r w:rsidRPr="00B93EE1">
        <w:t>CPTPP</w:t>
      </w:r>
      <w:proofErr w:type="spellEnd"/>
      <w:r w:rsidRPr="00B93EE1">
        <w:t xml:space="preserve">, together with 10 other countries – </w:t>
      </w:r>
      <w:r w:rsidRPr="00B93EE1">
        <w:rPr>
          <w:szCs w:val="16"/>
        </w:rPr>
        <w:t xml:space="preserve">Australia, Brunei Darussalam, Canada, Chile, Japan, Malaysia, Mexico, Peru, Singapore, and Viet Nam. </w:t>
      </w:r>
      <w:r w:rsidRPr="00B93EE1">
        <w:t xml:space="preserve">The </w:t>
      </w:r>
      <w:proofErr w:type="spellStart"/>
      <w:r w:rsidRPr="00B93EE1">
        <w:t>CPTPP</w:t>
      </w:r>
      <w:proofErr w:type="spellEnd"/>
      <w:r w:rsidRPr="00B93EE1">
        <w:t xml:space="preserve"> was signed in March 2018 and</w:t>
      </w:r>
      <w:r w:rsidRPr="00B93EE1">
        <w:rPr>
          <w:szCs w:val="16"/>
        </w:rPr>
        <w:t xml:space="preserve"> entered into force in December 2018 for those that had ratified it, namely New Zealand, Australia, Canada, Japan, Mexico, and Singapore.</w:t>
      </w:r>
      <w:r w:rsidRPr="00B93EE1">
        <w:rPr>
          <w:rStyle w:val="FootnoteReference"/>
          <w:szCs w:val="16"/>
        </w:rPr>
        <w:footnoteReference w:id="70"/>
      </w:r>
      <w:r w:rsidRPr="00B93EE1">
        <w:rPr>
          <w:szCs w:val="16"/>
        </w:rPr>
        <w:t xml:space="preserve"> Since then, the Agreement has come into force also for Viet Nam (</w:t>
      </w:r>
      <w:r w:rsidRPr="00B93EE1">
        <w:t>January 2019)</w:t>
      </w:r>
      <w:r w:rsidRPr="00B93EE1">
        <w:rPr>
          <w:szCs w:val="16"/>
        </w:rPr>
        <w:t xml:space="preserve"> and Peru (September 2021), leaving the entry into force pending only for </w:t>
      </w:r>
      <w:r w:rsidRPr="00B93EE1">
        <w:t xml:space="preserve">Brunei Darussalam, Chile, and Malaysia. Similarly to the case for other </w:t>
      </w:r>
      <w:proofErr w:type="spellStart"/>
      <w:r w:rsidRPr="00B93EE1">
        <w:t>CPTPP</w:t>
      </w:r>
      <w:proofErr w:type="spellEnd"/>
      <w:r w:rsidRPr="00B93EE1">
        <w:t xml:space="preserve"> parties, the </w:t>
      </w:r>
      <w:proofErr w:type="spellStart"/>
      <w:r w:rsidRPr="00B93EE1">
        <w:t>CPTPP</w:t>
      </w:r>
      <w:proofErr w:type="spellEnd"/>
      <w:r w:rsidRPr="00B93EE1">
        <w:t xml:space="preserve"> overlaps with some of New Zealand's existing FTAs – those with Australia, Brunei Darussalam, Chile, Malaysia, Singapore, and Viet Nam.</w:t>
      </w:r>
    </w:p>
    <w:p w14:paraId="7C269B1D" w14:textId="00AFDFE4" w:rsidR="00120717" w:rsidRPr="00F64A35" w:rsidRDefault="00120717" w:rsidP="0007368E">
      <w:pPr>
        <w:pStyle w:val="BodyText"/>
      </w:pPr>
      <w:r w:rsidRPr="00B93EE1">
        <w:t xml:space="preserve">The </w:t>
      </w:r>
      <w:proofErr w:type="spellStart"/>
      <w:r w:rsidRPr="00B93EE1">
        <w:t>CPTPP</w:t>
      </w:r>
      <w:proofErr w:type="spellEnd"/>
      <w:r w:rsidRPr="00B93EE1">
        <w:t xml:space="preserve"> incorporates by reference most of the provisions of its predecessor, the Trans</w:t>
      </w:r>
      <w:r w:rsidRPr="00B93EE1">
        <w:noBreakHyphen/>
        <w:t>Pacific Partnership (signed but not in force).</w:t>
      </w:r>
      <w:r w:rsidRPr="00B93EE1">
        <w:rPr>
          <w:rStyle w:val="FootnoteReference"/>
        </w:rPr>
        <w:footnoteReference w:id="71"/>
      </w:r>
      <w:r w:rsidRPr="00B93EE1">
        <w:t xml:space="preserve"> It includes commitments in trade in goods and services, and intellectual property, as well as in areas not covered or with limited coverage under WTO Agreements, such as investments, government procurement, labour, environment, competition, e-commerce, and SMEs. In trade in goods, New Zealand liberalized most of its tariff lines (about 95%) immediately upon the Agreement's entry into force in 2018, and all remaining lines will become duty-free by 2024.</w:t>
      </w:r>
      <w:r w:rsidRPr="00B93EE1">
        <w:rPr>
          <w:rStyle w:val="FootnoteReference"/>
        </w:rPr>
        <w:footnoteReference w:id="72"/>
      </w:r>
      <w:r w:rsidRPr="00B93EE1">
        <w:t xml:space="preserve"> At the time of the Agreement's entry into force, about 59% of New Zealand's lines were duty-free on an MFN basis. Other parties will also liberalize most of their tariff lines, with some exceptions, over a transition period going from immediate (Singapore) to more than 20 years after entry into force, in the case of Viet Nam (2039) and Japan (2038).</w:t>
      </w:r>
      <w:r w:rsidRPr="00B93EE1">
        <w:rPr>
          <w:rStyle w:val="FootnoteReference"/>
        </w:rPr>
        <w:footnoteReference w:id="73"/>
      </w:r>
      <w:r w:rsidRPr="00B93EE1">
        <w:t xml:space="preserve"> In services, under the </w:t>
      </w:r>
      <w:proofErr w:type="spellStart"/>
      <w:r w:rsidRPr="00B93EE1">
        <w:t>CPTPP</w:t>
      </w:r>
      <w:proofErr w:type="spellEnd"/>
      <w:r w:rsidRPr="00B93EE1">
        <w:t xml:space="preserve"> New Zealand made commitments in all activities identified in the WTO Services Sectoral Classification list</w:t>
      </w:r>
      <w:r w:rsidRPr="00B93EE1">
        <w:rPr>
          <w:rStyle w:val="FootnoteReference"/>
        </w:rPr>
        <w:footnoteReference w:id="74"/>
      </w:r>
      <w:r w:rsidRPr="00B93EE1">
        <w:t xml:space="preserve">, except for health-related and social services, which are also unbound under its GATS schedule. These commitments were in general broader than under New Zealand's GATS schedule, despite some reservations. For example, New Zealand took commitments in franchising, sewage, sanitation, entertainment, news agencies, and internal waterways transport services, all unbound under the GATS, and expanded those in construction and related engineering services. In investment, the </w:t>
      </w:r>
      <w:proofErr w:type="spellStart"/>
      <w:r w:rsidRPr="00B93EE1">
        <w:t>CPTPP</w:t>
      </w:r>
      <w:proofErr w:type="spellEnd"/>
      <w:r w:rsidRPr="00B93EE1">
        <w:t xml:space="preserve"> provides for a higher screening threshold for transactions relating to significant business assets (Section 2.4) from investors from </w:t>
      </w:r>
      <w:proofErr w:type="spellStart"/>
      <w:r w:rsidRPr="00B93EE1">
        <w:t>CPTPP</w:t>
      </w:r>
      <w:proofErr w:type="spellEnd"/>
      <w:r w:rsidRPr="00B93EE1">
        <w:t xml:space="preserve"> parties (NZD 200 million instead of NZD 100 million), and for a mechanism for the settlement of disputes between investors and the host Party. This dispute settlement mechanism applies between New Zealand and all other </w:t>
      </w:r>
      <w:proofErr w:type="spellStart"/>
      <w:r w:rsidRPr="00B93EE1">
        <w:t>CPTPP</w:t>
      </w:r>
      <w:proofErr w:type="spellEnd"/>
      <w:r w:rsidRPr="00B93EE1">
        <w:t xml:space="preserve"> parties, except Australia, Brunei Darussalam, Malaysia, Peru, and Viet Nam, with whom New Zealand has secured reciprocal side letters agreeing to the non</w:t>
      </w:r>
      <w:r w:rsidRPr="00B93EE1">
        <w:noBreakHyphen/>
        <w:t xml:space="preserve">application of this mechanism. According to the authorities, signatories to these side letters cover more than 80% of New Zealand's overseas investments from </w:t>
      </w:r>
      <w:proofErr w:type="spellStart"/>
      <w:r w:rsidRPr="00B93EE1">
        <w:t>CPTPP</w:t>
      </w:r>
      <w:proofErr w:type="spellEnd"/>
      <w:r w:rsidRPr="00B93EE1">
        <w:t xml:space="preserve"> countries as a whole.</w:t>
      </w:r>
    </w:p>
    <w:p w14:paraId="7019959A" w14:textId="77777777" w:rsidR="00120717" w:rsidRPr="00B93EE1" w:rsidRDefault="00120717" w:rsidP="00B55C45">
      <w:pPr>
        <w:pStyle w:val="Heading7"/>
      </w:pPr>
      <w:r w:rsidRPr="00B93EE1">
        <w:t>Regional Comprehensive Economic Partnership (2020)</w:t>
      </w:r>
    </w:p>
    <w:p w14:paraId="208D2EB5" w14:textId="70D8EB98" w:rsidR="00120717" w:rsidRPr="00F64A35" w:rsidRDefault="00120717" w:rsidP="00975C6F">
      <w:pPr>
        <w:pStyle w:val="BodyText"/>
      </w:pPr>
      <w:r w:rsidRPr="00B93EE1">
        <w:t xml:space="preserve">The RCEP is </w:t>
      </w:r>
      <w:r w:rsidR="00E8495C">
        <w:t>New Zealand's</w:t>
      </w:r>
      <w:r w:rsidRPr="00B93EE1">
        <w:t xml:space="preserve"> most recent FTA </w:t>
      </w:r>
      <w:r w:rsidR="00E8495C">
        <w:t>in force</w:t>
      </w:r>
      <w:r w:rsidRPr="00B93EE1">
        <w:t>. It was signed on 15 November 2020 by New Zealand and 14 other countries</w:t>
      </w:r>
      <w:r w:rsidRPr="00B93EE1">
        <w:rPr>
          <w:rStyle w:val="FootnoteReference"/>
        </w:rPr>
        <w:footnoteReference w:id="75"/>
      </w:r>
      <w:r w:rsidRPr="00B93EE1">
        <w:t xml:space="preserve"> in the Indo-pacific (i.e. Australia, China, Japan, the Republic of Korea, and 10 ASEAN Member States).</w:t>
      </w:r>
      <w:r w:rsidRPr="00B93EE1">
        <w:rPr>
          <w:rStyle w:val="FootnoteReference"/>
        </w:rPr>
        <w:footnoteReference w:id="76"/>
      </w:r>
      <w:r w:rsidRPr="00B93EE1">
        <w:t xml:space="preserve"> The Agreement entered into force on 1 January 2022 following the ratification of six of its members, and once fully in force it will be viewed as the largest free trade zone yet negotiated in terms of gross domestic product (GDP) (accounting for 29% of world GDP in 2020).</w:t>
      </w:r>
      <w:r w:rsidRPr="00B93EE1">
        <w:rPr>
          <w:rStyle w:val="FootnoteReference"/>
        </w:rPr>
        <w:footnoteReference w:id="77"/>
      </w:r>
      <w:r w:rsidRPr="00B93EE1">
        <w:t xml:space="preserve"> RCEP covers trade in goods and services, and investments.</w:t>
      </w:r>
    </w:p>
    <w:p w14:paraId="63458FAC" w14:textId="77777777" w:rsidR="00120717" w:rsidRPr="00F64A35" w:rsidRDefault="00120717" w:rsidP="00EC059E">
      <w:pPr>
        <w:pStyle w:val="BodyText"/>
      </w:pPr>
      <w:r w:rsidRPr="00B93EE1">
        <w:t xml:space="preserve">In trade in goods, improvements in terms of market access under RCEP will be limited as New Zealand already has FTAs (in some cases more than one) with all RCEP Parties, and those FTAs </w:t>
      </w:r>
      <w:r w:rsidRPr="00B93EE1">
        <w:lastRenderedPageBreak/>
        <w:t>will continue to operate in parallel. However, RCEP is expected to bring additional benefits compared to existing FTAs in other areas, notably in reducing non-tariff barriers. For instance, the Agreement provides for a common set of rules of origin and common rules regarding certain customs procedures, which will greatly facilitate the movement of goods across its Parties.</w:t>
      </w:r>
      <w:r w:rsidRPr="00B93EE1">
        <w:rPr>
          <w:rStyle w:val="FootnoteReference"/>
        </w:rPr>
        <w:footnoteReference w:id="78"/>
      </w:r>
      <w:r w:rsidRPr="00B93EE1">
        <w:t xml:space="preserve"> Under RCEP, New Zealand will complete the implementation of its liberalization tariff schedule by 2041, with 92% of its tariff lines becoming duty-free by 2036, after which only tariff reductions will take place. For other parties, </w:t>
      </w:r>
      <w:bookmarkStart w:id="58" w:name="_Hlk89771223"/>
      <w:r w:rsidRPr="00B93EE1">
        <w:t xml:space="preserve">the share of tariff lines that will become duty-free under the Agreement ranges between </w:t>
      </w:r>
      <w:r w:rsidRPr="00B93EE1">
        <w:rPr>
          <w:lang w:eastAsia="en-GB"/>
        </w:rPr>
        <w:t>81% (by Japan for imports from the Republic of Korea) and 100% (Singapore).</w:t>
      </w:r>
      <w:r w:rsidRPr="00B93EE1">
        <w:rPr>
          <w:rStyle w:val="FootnoteReference"/>
          <w:lang w:eastAsia="en-GB"/>
        </w:rPr>
        <w:footnoteReference w:id="79"/>
      </w:r>
      <w:r w:rsidRPr="00B93EE1">
        <w:rPr>
          <w:lang w:eastAsia="en-GB"/>
        </w:rPr>
        <w:t xml:space="preserve"> </w:t>
      </w:r>
      <w:r w:rsidRPr="00B93EE1">
        <w:t>The transition periods for implementation will also vary across parties ranging from immediate to 36 years from the Agreement's entry into force.</w:t>
      </w:r>
      <w:r w:rsidRPr="00B93EE1">
        <w:rPr>
          <w:vertAlign w:val="superscript"/>
        </w:rPr>
        <w:footnoteReference w:id="80"/>
      </w:r>
      <w:bookmarkEnd w:id="58"/>
    </w:p>
    <w:p w14:paraId="7EA5A2FB" w14:textId="77777777" w:rsidR="00120717" w:rsidRPr="00F64A35" w:rsidRDefault="00120717" w:rsidP="008B4146">
      <w:pPr>
        <w:pStyle w:val="BodyText"/>
      </w:pPr>
      <w:r w:rsidRPr="00B93EE1">
        <w:t>RCEP will expand some of New Zealand's commitments under existing FTAs in services and in particular investments because in some of New Zealand's existing FTAs with RCEP parties the coverage of investment is limited, such as the FTAs with ASEAN countries that are not parties to the </w:t>
      </w:r>
      <w:proofErr w:type="spellStart"/>
      <w:r w:rsidRPr="00B93EE1">
        <w:t>CPTPP</w:t>
      </w:r>
      <w:proofErr w:type="spellEnd"/>
      <w:r w:rsidRPr="00B93EE1">
        <w:t>.</w:t>
      </w:r>
      <w:r w:rsidRPr="00B93EE1">
        <w:rPr>
          <w:rStyle w:val="FootnoteReference"/>
        </w:rPr>
        <w:footnoteReference w:id="81"/>
      </w:r>
    </w:p>
    <w:p w14:paraId="336A6DCC" w14:textId="77777777" w:rsidR="00120717" w:rsidRPr="00F64A35" w:rsidRDefault="00120717" w:rsidP="00D4106A">
      <w:pPr>
        <w:pStyle w:val="BodyText"/>
      </w:pPr>
      <w:r w:rsidRPr="00B93EE1">
        <w:t>RCEP also includes provisions on TBT, SPS, trade remedies, intellectual property, electronic commerce, competition policy, SMEs, government procurement, and economic and technical cooperation. It provides for a state-to-state dispute settlement mechanism and for the review of the inclusion of another one for the resolutions of investor-state disputes within five years from the Agreement's entry into force.</w:t>
      </w:r>
      <w:r w:rsidRPr="00B93EE1">
        <w:rPr>
          <w:rStyle w:val="FootnoteReference"/>
        </w:rPr>
        <w:footnoteReference w:id="82"/>
      </w:r>
    </w:p>
    <w:p w14:paraId="1502F345" w14:textId="77777777" w:rsidR="00120717" w:rsidRPr="00B93EE1" w:rsidRDefault="00120717" w:rsidP="00B55C45">
      <w:pPr>
        <w:pStyle w:val="Heading7"/>
      </w:pPr>
      <w:r w:rsidRPr="00B93EE1">
        <w:t>Upgrades of existing FTAs</w:t>
      </w:r>
    </w:p>
    <w:p w14:paraId="2D3B4E79" w14:textId="15F16EA0" w:rsidR="00120717" w:rsidRPr="00F64A35" w:rsidRDefault="00120717" w:rsidP="00AA6FC3">
      <w:pPr>
        <w:pStyle w:val="BodyText"/>
      </w:pPr>
      <w:r w:rsidRPr="00B93EE1">
        <w:t>During the review period, New Zealand amended the FTAs it has with Singapore and China to align them with its more recent trade practices. It is also in negotiations to update the ASEAN</w:t>
      </w:r>
      <w:r w:rsidR="00D03F9D">
        <w:noBreakHyphen/>
      </w:r>
      <w:r w:rsidRPr="00B93EE1">
        <w:t>Australia-New Zealand FTA (</w:t>
      </w:r>
      <w:proofErr w:type="spellStart"/>
      <w:r w:rsidRPr="00B93EE1">
        <w:t>AANZFTA</w:t>
      </w:r>
      <w:proofErr w:type="spellEnd"/>
      <w:r w:rsidRPr="00B93EE1">
        <w:t>).</w:t>
      </w:r>
    </w:p>
    <w:p w14:paraId="573E3878" w14:textId="77777777" w:rsidR="00120717" w:rsidRPr="00F64A35" w:rsidRDefault="00120717" w:rsidP="00D63405">
      <w:pPr>
        <w:pStyle w:val="BodyText"/>
      </w:pPr>
      <w:r w:rsidRPr="00B93EE1">
        <w:t>In May 2019, New Zealand and Singapore signed a protocol to update their FTA of 2000.</w:t>
      </w:r>
      <w:r w:rsidRPr="00B93EE1">
        <w:rPr>
          <w:rStyle w:val="FootnoteReference"/>
        </w:rPr>
        <w:footnoteReference w:id="83"/>
      </w:r>
      <w:r w:rsidRPr="00B93EE1">
        <w:t xml:space="preserve"> The protocol entered into force on 1 January 2020 and expands the coverage of the Agreement by including chapters on electronic commerce and regulatory cooperation and four new sectoral annexes to the TBT chapter that replicate those under the </w:t>
      </w:r>
      <w:proofErr w:type="spellStart"/>
      <w:r w:rsidRPr="00B93EE1">
        <w:t>CPTPP</w:t>
      </w:r>
      <w:proofErr w:type="spellEnd"/>
      <w:r w:rsidRPr="00B93EE1">
        <w:t>. Under these new TBT annexes, the Parties remove some regulatory requirements for wine and distilled spirits, pharmaceuticals, medical devices, and cosmetics. The protocol also improves existing commitments in other areas. For instance, it updates the chapters on rules of origin, which are now more detailed and contain product specific rules, and the chapter on customs procedures to provide for shorter release times for goods and expedited shipment (i.e. goods must be released within 24 hours and express consignments within 4 hours). Other changes include targeted improvements to the provisions on investor protection, competition, and consumer protection.</w:t>
      </w:r>
      <w:r w:rsidRPr="00B93EE1">
        <w:rPr>
          <w:rStyle w:val="FootnoteReference"/>
        </w:rPr>
        <w:footnoteReference w:id="84"/>
      </w:r>
    </w:p>
    <w:p w14:paraId="09093C7F" w14:textId="77777777" w:rsidR="00120717" w:rsidRPr="00F64A35" w:rsidRDefault="00120717" w:rsidP="0078771E">
      <w:pPr>
        <w:pStyle w:val="BodyText"/>
      </w:pPr>
      <w:r w:rsidRPr="00B93EE1">
        <w:t xml:space="preserve">New Zealand and China upgraded their FTA of 2008 through a protocol signed on 26 January 2021. The Protocol was ratified by the Parties in February 2022 and is expected to enter into force in April 2022. The upgraded FTA will include four new chapters – government procurement, competition policy, electronic commerce, and environment and trade – and replace the chapter on customs procedures and cooperation with a chapter on customs procedures and trade facilitation with broader commitments. The Protocol also expands existing commitments in rules of origin and operational procedures, TBT, and temporary movement of natural persons. It improves market </w:t>
      </w:r>
      <w:r w:rsidRPr="00B93EE1">
        <w:lastRenderedPageBreak/>
        <w:t>access for wood and paper products from New Zealand, as well as services liberalization commitments while providing for subsequent negotiations based on a negative list approach.</w:t>
      </w:r>
      <w:r w:rsidRPr="00B93EE1">
        <w:rPr>
          <w:rStyle w:val="FootnoteReference"/>
        </w:rPr>
        <w:footnoteReference w:id="85"/>
      </w:r>
    </w:p>
    <w:p w14:paraId="42629300" w14:textId="77777777" w:rsidR="00120717" w:rsidRPr="00F64A35" w:rsidRDefault="00120717" w:rsidP="00D63405">
      <w:pPr>
        <w:pStyle w:val="BodyText"/>
      </w:pPr>
      <w:r w:rsidRPr="00B93EE1">
        <w:t xml:space="preserve">In May 2019, the Parties to the </w:t>
      </w:r>
      <w:proofErr w:type="spellStart"/>
      <w:r w:rsidRPr="00B93EE1">
        <w:t>AANZFTA</w:t>
      </w:r>
      <w:proofErr w:type="spellEnd"/>
      <w:r w:rsidRPr="00B93EE1">
        <w:t xml:space="preserve"> (2010) launched negotiations to upgrade it. Negotiations will focus on updating provisions in the following areas: rules of origin, customs procedures, services, electronic commerce, investment, competition, government procurement, and trade and sustainable development.</w:t>
      </w:r>
      <w:r w:rsidRPr="00B93EE1">
        <w:rPr>
          <w:rStyle w:val="FootnoteReference"/>
        </w:rPr>
        <w:footnoteReference w:id="86"/>
      </w:r>
      <w:r w:rsidRPr="00B93EE1">
        <w:t xml:space="preserve"> The Agreement had already been reviewed through a first protocol that was signed in November 2014 to, </w:t>
      </w:r>
      <w:r w:rsidRPr="00B93EE1">
        <w:rPr>
          <w:i/>
          <w:iCs/>
        </w:rPr>
        <w:t>inter alia</w:t>
      </w:r>
      <w:r w:rsidRPr="00B93EE1">
        <w:t>, streamline the certification procedures related to rules of origin. This first protocol entered into force on 1 October 2015 for all Parties, except Cambodia and Indonesia for which it entered into force in 2016 and 2019, respectively.</w:t>
      </w:r>
    </w:p>
    <w:p w14:paraId="5AAE500C" w14:textId="77777777" w:rsidR="00120717" w:rsidRPr="00F64A35" w:rsidRDefault="00120717" w:rsidP="0021766F">
      <w:pPr>
        <w:pStyle w:val="Heading3"/>
      </w:pPr>
      <w:bookmarkStart w:id="59" w:name="_Toc97800128"/>
      <w:r w:rsidRPr="00B93EE1">
        <w:t>Unilateral preferential regimes</w:t>
      </w:r>
      <w:bookmarkEnd w:id="59"/>
    </w:p>
    <w:p w14:paraId="6C41CF86" w14:textId="77777777" w:rsidR="00120717" w:rsidRPr="00F64A35" w:rsidRDefault="00120717" w:rsidP="00843EBB">
      <w:pPr>
        <w:pStyle w:val="BodyText"/>
      </w:pPr>
      <w:r w:rsidRPr="00B93EE1">
        <w:t>New Zealand continues to provide unilateral preferences to less and least developed countries under the Generalized System of Preferences.</w:t>
      </w:r>
      <w:r w:rsidRPr="00B93EE1">
        <w:rPr>
          <w:rStyle w:val="FootnoteReference"/>
        </w:rPr>
        <w:footnoteReference w:id="87"/>
      </w:r>
      <w:r w:rsidRPr="00B93EE1">
        <w:t xml:space="preserve"> Under this scheme, about 63% of New Zealand tariff lines are duty-free for less developed countries, while for least developed countries (</w:t>
      </w:r>
      <w:proofErr w:type="spellStart"/>
      <w:r w:rsidRPr="00B93EE1">
        <w:t>LDCs</w:t>
      </w:r>
      <w:proofErr w:type="spellEnd"/>
      <w:r w:rsidRPr="00B93EE1">
        <w:t xml:space="preserve">), all of New Zealand's tariff lines are duty-free (Table 3.5). Since the previous Review, there were no significant changes to this scheme; however, the list of less and least developed countries and the preferential rules of origin are currently being reviewed. New Zealand is also party to </w:t>
      </w:r>
      <w:proofErr w:type="spellStart"/>
      <w:r w:rsidRPr="00B93EE1">
        <w:rPr>
          <w:color w:val="000000"/>
        </w:rPr>
        <w:t>SPARTECA</w:t>
      </w:r>
      <w:proofErr w:type="spellEnd"/>
      <w:r w:rsidRPr="00B93EE1">
        <w:rPr>
          <w:color w:val="000000"/>
        </w:rPr>
        <w:t xml:space="preserve">, </w:t>
      </w:r>
      <w:r w:rsidRPr="00B93EE1">
        <w:rPr>
          <w:rFonts w:eastAsia="SimSun"/>
          <w:color w:val="000000"/>
        </w:rPr>
        <w:t>a non</w:t>
      </w:r>
      <w:r w:rsidRPr="00B93EE1">
        <w:rPr>
          <w:rFonts w:eastAsia="SimSun"/>
          <w:color w:val="000000"/>
        </w:rPr>
        <w:noBreakHyphen/>
        <w:t>reciprocal</w:t>
      </w:r>
      <w:r w:rsidRPr="00B93EE1">
        <w:rPr>
          <w:color w:val="000000"/>
        </w:rPr>
        <w:t xml:space="preserve"> </w:t>
      </w:r>
      <w:r w:rsidRPr="00B93EE1">
        <w:rPr>
          <w:rFonts w:eastAsia="SimSun"/>
          <w:color w:val="000000"/>
        </w:rPr>
        <w:t xml:space="preserve">trade agreement </w:t>
      </w:r>
      <w:r w:rsidRPr="00B93EE1">
        <w:rPr>
          <w:color w:val="000000"/>
        </w:rPr>
        <w:t>under which Australia</w:t>
      </w:r>
      <w:r w:rsidRPr="00B93EE1">
        <w:rPr>
          <w:rStyle w:val="FootnoteReference"/>
          <w:color w:val="000000"/>
        </w:rPr>
        <w:t xml:space="preserve"> </w:t>
      </w:r>
      <w:r w:rsidRPr="00B93EE1">
        <w:rPr>
          <w:color w:val="000000"/>
        </w:rPr>
        <w:t xml:space="preserve">and </w:t>
      </w:r>
      <w:r w:rsidRPr="00B93EE1">
        <w:rPr>
          <w:rFonts w:eastAsia="SimSun"/>
          <w:color w:val="000000"/>
        </w:rPr>
        <w:t xml:space="preserve">New Zealand grant </w:t>
      </w:r>
      <w:r w:rsidRPr="00B93EE1">
        <w:t>duty-free and quota</w:t>
      </w:r>
      <w:r w:rsidRPr="00B93EE1">
        <w:noBreakHyphen/>
        <w:t xml:space="preserve">free access for virtually all products originating from </w:t>
      </w:r>
      <w:proofErr w:type="spellStart"/>
      <w:r w:rsidRPr="00B93EE1">
        <w:t>PIF</w:t>
      </w:r>
      <w:proofErr w:type="spellEnd"/>
      <w:r w:rsidRPr="00B93EE1">
        <w:t xml:space="preserve"> countries</w:t>
      </w:r>
      <w:r w:rsidRPr="00B93EE1">
        <w:rPr>
          <w:color w:val="000000"/>
        </w:rPr>
        <w:t>.</w:t>
      </w:r>
      <w:r w:rsidRPr="00B93EE1">
        <w:rPr>
          <w:rStyle w:val="FootnoteReference"/>
          <w:color w:val="000000"/>
        </w:rPr>
        <w:footnoteReference w:id="88"/>
      </w:r>
      <w:r w:rsidRPr="00B93EE1">
        <w:t xml:space="preserve"> </w:t>
      </w:r>
      <w:proofErr w:type="spellStart"/>
      <w:r w:rsidRPr="00B93EE1">
        <w:rPr>
          <w:color w:val="000000"/>
        </w:rPr>
        <w:t>SPARTECA</w:t>
      </w:r>
      <w:proofErr w:type="spellEnd"/>
      <w:r w:rsidRPr="00B93EE1">
        <w:t xml:space="preserve"> will continue to apply in parallel with PACER Plus (in force since 2020) (see above</w:t>
      </w:r>
      <w:r w:rsidRPr="00B93EE1">
        <w:rPr>
          <w:color w:val="000000"/>
        </w:rPr>
        <w:t>)</w:t>
      </w:r>
      <w:r w:rsidRPr="00B93EE1">
        <w:t xml:space="preserve">, but in the event of any inconsistency between the provisions under PACER Plus and </w:t>
      </w:r>
      <w:proofErr w:type="spellStart"/>
      <w:r w:rsidRPr="00B93EE1">
        <w:t>SPARTECA</w:t>
      </w:r>
      <w:proofErr w:type="spellEnd"/>
      <w:r w:rsidRPr="00B93EE1">
        <w:t xml:space="preserve"> the former will prevail.</w:t>
      </w:r>
    </w:p>
    <w:p w14:paraId="33C3287D" w14:textId="77777777" w:rsidR="00120717" w:rsidRPr="00F64A35" w:rsidRDefault="00120717" w:rsidP="004C2719">
      <w:pPr>
        <w:pStyle w:val="BodyText"/>
      </w:pPr>
      <w:r w:rsidRPr="00B93EE1">
        <w:t xml:space="preserve">Since August 2015 and in accordance with the WTO waiver allowing preferential treatment to services and services suppliers from </w:t>
      </w:r>
      <w:proofErr w:type="spellStart"/>
      <w:r w:rsidRPr="00B93EE1">
        <w:t>LDCs</w:t>
      </w:r>
      <w:proofErr w:type="spellEnd"/>
      <w:r w:rsidRPr="00B93EE1">
        <w:rPr>
          <w:rStyle w:val="FootnoteReference"/>
        </w:rPr>
        <w:footnoteReference w:id="89"/>
      </w:r>
      <w:r w:rsidRPr="00B93EE1">
        <w:t xml:space="preserve">, New Zealand grants preferential market access to </w:t>
      </w:r>
      <w:proofErr w:type="spellStart"/>
      <w:r w:rsidRPr="00B93EE1">
        <w:t>LDCs</w:t>
      </w:r>
      <w:proofErr w:type="spellEnd"/>
      <w:r w:rsidRPr="00B93EE1">
        <w:t xml:space="preserve"> in 10 additional subsectors of the WTO Services Sectoral Classification.</w:t>
      </w:r>
    </w:p>
    <w:p w14:paraId="60F510F6" w14:textId="77777777" w:rsidR="00120717" w:rsidRPr="00F64A35" w:rsidRDefault="00120717" w:rsidP="00153003">
      <w:pPr>
        <w:pStyle w:val="Heading3"/>
      </w:pPr>
      <w:bookmarkStart w:id="60" w:name="_Toc97800129"/>
      <w:r w:rsidRPr="00B93EE1">
        <w:t>Other agreements and arrangements</w:t>
      </w:r>
      <w:bookmarkEnd w:id="60"/>
    </w:p>
    <w:p w14:paraId="34988722" w14:textId="77777777" w:rsidR="00120717" w:rsidRPr="00F64A35" w:rsidRDefault="00120717" w:rsidP="00C53001">
      <w:pPr>
        <w:pStyle w:val="BodyText"/>
      </w:pPr>
      <w:r w:rsidRPr="00B93EE1">
        <w:t>New Zealand continued to strengthen regional integration through the Asia Pacific Economic Cooperation Forum (APEC), and to make progress towards the targets set under the Bogor Declaration of 1994.</w:t>
      </w:r>
      <w:r w:rsidRPr="00B93EE1">
        <w:rPr>
          <w:vertAlign w:val="superscript"/>
        </w:rPr>
        <w:footnoteReference w:id="90"/>
      </w:r>
      <w:r w:rsidRPr="00B93EE1">
        <w:t xml:space="preserve"> Under this declaration, APEC members agreed to achieve free and open trade and investment by 2020, through unilateral, regional, and multilateral liberalization.</w:t>
      </w:r>
      <w:r w:rsidRPr="00B93EE1">
        <w:rPr>
          <w:vertAlign w:val="superscript"/>
        </w:rPr>
        <w:footnoteReference w:id="91"/>
      </w:r>
      <w:r w:rsidRPr="00B93EE1">
        <w:t xml:space="preserve"> While more efforts and actions are still needed, the 2020 Final Review of APEC's Progress Towards the Bogor Goals recognizes that tariffs have fallen substantially in the region and remain low, and that market access for services as well as investments conditions have significantly improved. The Final Review also notes that more work is needed with respect to, </w:t>
      </w:r>
      <w:r w:rsidRPr="00B93EE1">
        <w:rPr>
          <w:i/>
          <w:iCs/>
        </w:rPr>
        <w:t>inter alia</w:t>
      </w:r>
      <w:r w:rsidRPr="00B93EE1">
        <w:t>, non-tariff measures, tariffs in agricultural goods, and new restrictions in services. In 2020, APEC members further adopted the APEC Putrajaya Vision 2040, which builds on the Bogor goals and sets further targets for the region for the next 20 years. Under this plan, APEC members aim to achieve an "open, dynamic, resilient and peaceful Asia-Pacific community by 2040" for the prosperity of their inhabitants</w:t>
      </w:r>
      <w:r w:rsidRPr="00B93EE1">
        <w:rPr>
          <w:szCs w:val="18"/>
        </w:rPr>
        <w:t>.</w:t>
      </w:r>
      <w:r w:rsidRPr="00B93EE1">
        <w:rPr>
          <w:rStyle w:val="FootnoteReference"/>
          <w:szCs w:val="18"/>
        </w:rPr>
        <w:footnoteReference w:id="92"/>
      </w:r>
      <w:r w:rsidRPr="00B93EE1">
        <w:t xml:space="preserve"> In 2021, as the chair of APEC, New Zealand led the response to recover from the COVID</w:t>
      </w:r>
      <w:r w:rsidRPr="00B93EE1">
        <w:noBreakHyphen/>
        <w:t xml:space="preserve">19 pandemic, and the development of the Aotearoa Plan of Action to implement the Putrajaya Vision 2040. The Aotearoa </w:t>
      </w:r>
      <w:r w:rsidRPr="00B93EE1">
        <w:lastRenderedPageBreak/>
        <w:t>Plan of Action was launched in November 2021, and sets out individual and collective actions to achieve the APEC Putrajaya Vision 2040.</w:t>
      </w:r>
      <w:r w:rsidRPr="00B93EE1">
        <w:rPr>
          <w:rStyle w:val="FootnoteReference"/>
        </w:rPr>
        <w:footnoteReference w:id="93"/>
      </w:r>
    </w:p>
    <w:p w14:paraId="5A84EE0E" w14:textId="77777777" w:rsidR="00120717" w:rsidRPr="00F64A35" w:rsidRDefault="00120717" w:rsidP="00C74E4A">
      <w:pPr>
        <w:pStyle w:val="BodyText"/>
      </w:pPr>
      <w:r w:rsidRPr="00B93EE1">
        <w:t>In June 2020, New Zealand, Singapore and Chile signed the Digital Economy Partnership Agreement (</w:t>
      </w:r>
      <w:proofErr w:type="spellStart"/>
      <w:r w:rsidRPr="00B93EE1">
        <w:t>DEPA</w:t>
      </w:r>
      <w:proofErr w:type="spellEnd"/>
      <w:r w:rsidRPr="00B93EE1">
        <w:t xml:space="preserve">), which covers various aspects of digital trade such as technology and trade facilitation, digital products, data protection, digital identities, artificial intelligence, and participation of small and medium enterprises. The Parties expect that </w:t>
      </w:r>
      <w:proofErr w:type="spellStart"/>
      <w:r w:rsidRPr="00B93EE1">
        <w:t>DEPA</w:t>
      </w:r>
      <w:proofErr w:type="spellEnd"/>
      <w:r w:rsidRPr="00B93EE1">
        <w:t xml:space="preserve"> will complement the WTO negotiations on e-commerce and continue to evolve. The </w:t>
      </w:r>
      <w:proofErr w:type="spellStart"/>
      <w:r w:rsidRPr="00B93EE1">
        <w:t>DEPA</w:t>
      </w:r>
      <w:proofErr w:type="spellEnd"/>
      <w:r w:rsidRPr="00B93EE1">
        <w:t xml:space="preserve"> entered into force on 7 January 2021 for New Zealand and Singapore and on 23 November 2021 for Chile.</w:t>
      </w:r>
      <w:r w:rsidRPr="00B93EE1">
        <w:rPr>
          <w:rStyle w:val="FootnoteReference"/>
        </w:rPr>
        <w:footnoteReference w:id="94"/>
      </w:r>
    </w:p>
    <w:p w14:paraId="38AD6C99" w14:textId="77777777" w:rsidR="00120717" w:rsidRPr="00F64A35" w:rsidRDefault="00120717" w:rsidP="00C74E4A">
      <w:pPr>
        <w:pStyle w:val="BodyText"/>
      </w:pPr>
      <w:r w:rsidRPr="00B93EE1">
        <w:t>New Zealand was also involved in the Trade in Services Agreement negotiations that comprise 23 WTO Members. Negotiations have been stalled since their last round in December 2016.</w:t>
      </w:r>
    </w:p>
    <w:p w14:paraId="702BF76E" w14:textId="77777777" w:rsidR="00120717" w:rsidRPr="00F64A35" w:rsidRDefault="00120717" w:rsidP="001B11BB">
      <w:pPr>
        <w:pStyle w:val="Heading2"/>
      </w:pPr>
      <w:bookmarkStart w:id="61" w:name="_Toc97800130"/>
      <w:r w:rsidRPr="00B93EE1">
        <w:t>Foreign Investment Regime</w:t>
      </w:r>
      <w:bookmarkEnd w:id="61"/>
    </w:p>
    <w:p w14:paraId="61C02C99" w14:textId="6C0D6ED1" w:rsidR="00120717" w:rsidRPr="00F64A35" w:rsidRDefault="00120717" w:rsidP="00273B8A">
      <w:pPr>
        <w:pStyle w:val="BodyText"/>
      </w:pPr>
      <w:r w:rsidRPr="00B93EE1">
        <w:rPr>
          <w:lang w:eastAsia="en-GB"/>
        </w:rPr>
        <w:t xml:space="preserve">Foreign investment in New Zealand is governed by the </w:t>
      </w:r>
      <w:r w:rsidRPr="00B93EE1">
        <w:t>Overseas Investment Act 2005 and the Overseas Investment Regulations 2005; both are administered and enforced by the Overseas Investment Office (</w:t>
      </w:r>
      <w:proofErr w:type="spellStart"/>
      <w:r w:rsidRPr="00B93EE1">
        <w:t>OIO</w:t>
      </w:r>
      <w:proofErr w:type="spellEnd"/>
      <w:r w:rsidRPr="00B93EE1">
        <w:t xml:space="preserve">) of </w:t>
      </w:r>
      <w:proofErr w:type="spellStart"/>
      <w:r w:rsidRPr="00B93EE1">
        <w:t>Toitū</w:t>
      </w:r>
      <w:proofErr w:type="spellEnd"/>
      <w:r w:rsidRPr="00B93EE1">
        <w:t xml:space="preserve"> </w:t>
      </w:r>
      <w:proofErr w:type="spellStart"/>
      <w:r w:rsidRPr="00B93EE1">
        <w:t>Te</w:t>
      </w:r>
      <w:proofErr w:type="spellEnd"/>
      <w:r w:rsidRPr="00B93EE1">
        <w:t xml:space="preserve"> Whenua Land Information New Zealand (LINZ). During the review period, New Zealand launched a broad reform of its foreign investment regime to simplify its screening mechanism and enhance the coverage of high-risk transactions</w:t>
      </w:r>
      <w:r w:rsidRPr="00B93EE1">
        <w:rPr>
          <w:szCs w:val="18"/>
        </w:rPr>
        <w:t>.</w:t>
      </w:r>
      <w:r w:rsidRPr="00B93EE1">
        <w:rPr>
          <w:rStyle w:val="FootnoteReference"/>
        </w:rPr>
        <w:footnoteReference w:id="95"/>
      </w:r>
      <w:r w:rsidRPr="00B93EE1">
        <w:t xml:space="preserve"> The reform process, which started in 2017, led to the adoption of several legislative changes in August 2018, June 2020, and </w:t>
      </w:r>
      <w:r w:rsidR="00E8495C">
        <w:t>May</w:t>
      </w:r>
      <w:r w:rsidRPr="00B93EE1">
        <w:t> 2021.</w:t>
      </w:r>
      <w:r w:rsidRPr="00B93EE1">
        <w:rPr>
          <w:rStyle w:val="FootnoteReference"/>
        </w:rPr>
        <w:footnoteReference w:id="96"/>
      </w:r>
      <w:r w:rsidRPr="00B93EE1">
        <w:t xml:space="preserve"> These changes were originally planned to take place in two stages, in 2018 and 2020, but due to the COVID</w:t>
      </w:r>
      <w:r w:rsidRPr="00B93EE1">
        <w:noBreakHyphen/>
        <w:t xml:space="preserve">19 pandemic, several measures deemed as urgent were introduced in 2020, while others less urgent were delayed until 2021. </w:t>
      </w:r>
    </w:p>
    <w:p w14:paraId="247BCA51" w14:textId="77777777" w:rsidR="00120717" w:rsidRPr="00F64A35" w:rsidRDefault="00120717" w:rsidP="00E962FF">
      <w:pPr>
        <w:pStyle w:val="Heading3"/>
        <w:numPr>
          <w:ilvl w:val="2"/>
          <w:numId w:val="23"/>
        </w:numPr>
      </w:pPr>
      <w:bookmarkStart w:id="62" w:name="_Toc97800131"/>
      <w:r w:rsidRPr="00B93EE1">
        <w:t>Regulatory framework</w:t>
      </w:r>
      <w:bookmarkEnd w:id="62"/>
    </w:p>
    <w:p w14:paraId="3C0D4C02" w14:textId="77777777" w:rsidR="00120717" w:rsidRPr="00F64A35" w:rsidRDefault="00120717" w:rsidP="00DD082F">
      <w:pPr>
        <w:pStyle w:val="BodyText"/>
      </w:pPr>
      <w:r w:rsidRPr="00B93EE1">
        <w:rPr>
          <w:szCs w:val="18"/>
        </w:rPr>
        <w:t xml:space="preserve">Foreign investment is </w:t>
      </w:r>
      <w:bookmarkStart w:id="63" w:name="_Hlk97498396"/>
      <w:r w:rsidRPr="00B93EE1">
        <w:rPr>
          <w:szCs w:val="18"/>
        </w:rPr>
        <w:t xml:space="preserve">generally </w:t>
      </w:r>
      <w:bookmarkEnd w:id="63"/>
      <w:r w:rsidRPr="00B93EE1">
        <w:rPr>
          <w:szCs w:val="18"/>
        </w:rPr>
        <w:t>permitted without restrictions</w:t>
      </w:r>
      <w:bookmarkStart w:id="64" w:name="_Hlk97498416"/>
      <w:r w:rsidRPr="00B93EE1">
        <w:rPr>
          <w:szCs w:val="18"/>
        </w:rPr>
        <w:t xml:space="preserve">, although there are </w:t>
      </w:r>
      <w:bookmarkEnd w:id="64"/>
      <w:r w:rsidRPr="00B93EE1">
        <w:rPr>
          <w:szCs w:val="18"/>
        </w:rPr>
        <w:t>some exceptions applying notably to investments involving: (</w:t>
      </w:r>
      <w:proofErr w:type="spellStart"/>
      <w:r w:rsidRPr="00B93EE1">
        <w:rPr>
          <w:szCs w:val="18"/>
        </w:rPr>
        <w:t>i</w:t>
      </w:r>
      <w:proofErr w:type="spellEnd"/>
      <w:r w:rsidRPr="00B93EE1">
        <w:rPr>
          <w:szCs w:val="18"/>
        </w:rPr>
        <w:t xml:space="preserve">) assets deemed as sensitive; and (ii) since the reforms of 2020, businesses deemed as strategically important. </w:t>
      </w:r>
      <w:r w:rsidRPr="00B93EE1">
        <w:t xml:space="preserve">Under the Overseas Investment Act 2005 (and subsequent reforms), foreign investments in sensitive assets are subject to a screening mechanism that </w:t>
      </w:r>
      <w:r w:rsidRPr="00B93EE1">
        <w:rPr>
          <w:szCs w:val="18"/>
        </w:rPr>
        <w:t>was perceived as overly complex prior to the reform</w:t>
      </w:r>
      <w:r w:rsidRPr="00B93EE1">
        <w:t>.</w:t>
      </w:r>
      <w:r w:rsidRPr="00B93EE1">
        <w:rPr>
          <w:rStyle w:val="FootnoteReference"/>
        </w:rPr>
        <w:footnoteReference w:id="97"/>
      </w:r>
      <w:r w:rsidRPr="00B93EE1">
        <w:t xml:space="preserve"> Sensitive assets are defined according to three broad categories:</w:t>
      </w:r>
    </w:p>
    <w:p w14:paraId="6529C69C" w14:textId="77777777" w:rsidR="00120717" w:rsidRPr="00B93EE1" w:rsidRDefault="00120717" w:rsidP="003C53A8">
      <w:pPr>
        <w:pStyle w:val="ListBullet2"/>
        <w:contextualSpacing w:val="0"/>
        <w:rPr>
          <w:lang w:eastAsia="en-GB"/>
        </w:rPr>
      </w:pPr>
      <w:r w:rsidRPr="00B93EE1">
        <w:rPr>
          <w:lang w:eastAsia="en-GB"/>
        </w:rPr>
        <w:t>Sensitive land</w:t>
      </w:r>
      <w:r w:rsidRPr="00B93EE1">
        <w:rPr>
          <w:rStyle w:val="FootnoteReference"/>
        </w:rPr>
        <w:footnoteReference w:id="98"/>
      </w:r>
      <w:r w:rsidRPr="00B93EE1">
        <w:rPr>
          <w:lang w:eastAsia="en-GB"/>
        </w:rPr>
        <w:t xml:space="preserve">, which includes </w:t>
      </w:r>
      <w:r w:rsidRPr="00B93EE1">
        <w:t>non-urban land over five hectares; land adjoining sensitive areas, such as the foreshore and seabed; and since the reforms of 2018, residential and lifestyle lands</w:t>
      </w:r>
      <w:r w:rsidRPr="00B93EE1">
        <w:rPr>
          <w:rStyle w:val="FootnoteReference"/>
        </w:rPr>
        <w:footnoteReference w:id="99"/>
      </w:r>
      <w:r w:rsidRPr="00B93EE1">
        <w:t>;</w:t>
      </w:r>
    </w:p>
    <w:p w14:paraId="0EB53F5E" w14:textId="77777777" w:rsidR="00120717" w:rsidRPr="00B93EE1" w:rsidRDefault="00120717" w:rsidP="003C53A8">
      <w:pPr>
        <w:pStyle w:val="ListBullet2"/>
        <w:contextualSpacing w:val="0"/>
        <w:rPr>
          <w:lang w:eastAsia="en-GB"/>
        </w:rPr>
      </w:pPr>
      <w:r w:rsidRPr="00B93EE1">
        <w:rPr>
          <w:lang w:eastAsia="en-GB"/>
        </w:rPr>
        <w:t>Significant business assets, which generally comprise investments worth more than NZD 100 million</w:t>
      </w:r>
      <w:r w:rsidRPr="00B93EE1">
        <w:rPr>
          <w:rStyle w:val="FootnoteReference"/>
          <w:lang w:eastAsia="en-GB"/>
        </w:rPr>
        <w:footnoteReference w:id="100"/>
      </w:r>
      <w:r w:rsidRPr="00B93EE1">
        <w:rPr>
          <w:lang w:eastAsia="en-GB"/>
        </w:rPr>
        <w:t xml:space="preserve"> or accounting for 25% or more of the equity (or control interest) of a New Zealand entity; and</w:t>
      </w:r>
    </w:p>
    <w:p w14:paraId="5A4CB3D1" w14:textId="77777777" w:rsidR="00120717" w:rsidRPr="00B93EE1" w:rsidRDefault="00120717" w:rsidP="00E962FF">
      <w:pPr>
        <w:pStyle w:val="ListBullet2"/>
        <w:rPr>
          <w:lang w:eastAsia="en-GB"/>
        </w:rPr>
      </w:pPr>
      <w:r w:rsidRPr="00B93EE1">
        <w:rPr>
          <w:lang w:eastAsia="en-GB"/>
        </w:rPr>
        <w:t>Fishing quota, which refers to shares or assets in any entity that owns a fishing quota.</w:t>
      </w:r>
      <w:r w:rsidRPr="00B93EE1">
        <w:rPr>
          <w:rStyle w:val="FootnoteReference"/>
        </w:rPr>
        <w:footnoteReference w:id="101"/>
      </w:r>
    </w:p>
    <w:p w14:paraId="4B9B3B62" w14:textId="77777777" w:rsidR="00120717" w:rsidRPr="00F64A35" w:rsidRDefault="00120717" w:rsidP="00DD082F">
      <w:pPr>
        <w:pStyle w:val="BodyText"/>
      </w:pPr>
      <w:r w:rsidRPr="00B93EE1">
        <w:lastRenderedPageBreak/>
        <w:t xml:space="preserve">The screening mechanism seeks to ensure that foreign investments benefit New Zealand and are in line with its national interests. To this end, any </w:t>
      </w:r>
      <w:r w:rsidRPr="00B93EE1">
        <w:rPr>
          <w:lang w:eastAsia="en-GB"/>
        </w:rPr>
        <w:t>overseas person</w:t>
      </w:r>
      <w:r w:rsidRPr="00B93EE1">
        <w:rPr>
          <w:rStyle w:val="FootnoteReference"/>
          <w:lang w:eastAsia="en-GB"/>
        </w:rPr>
        <w:footnoteReference w:id="102"/>
      </w:r>
      <w:r w:rsidRPr="00B93EE1">
        <w:rPr>
          <w:lang w:eastAsia="en-GB"/>
        </w:rPr>
        <w:t xml:space="preserve"> willing to acquire any type of </w:t>
      </w:r>
      <w:r w:rsidRPr="00B93EE1">
        <w:t>sensitive assets in New Zealand</w:t>
      </w:r>
      <w:r w:rsidRPr="00B93EE1">
        <w:rPr>
          <w:lang w:eastAsia="en-GB"/>
        </w:rPr>
        <w:t xml:space="preserve"> are required to </w:t>
      </w:r>
      <w:r w:rsidRPr="00B93EE1">
        <w:t xml:space="preserve">apply for consent from the </w:t>
      </w:r>
      <w:proofErr w:type="spellStart"/>
      <w:r w:rsidRPr="00B93EE1">
        <w:t>OIO</w:t>
      </w:r>
      <w:proofErr w:type="spellEnd"/>
      <w:r w:rsidRPr="00B93EE1">
        <w:t xml:space="preserve"> and undergo an investor test. </w:t>
      </w:r>
      <w:r w:rsidRPr="00B93EE1">
        <w:rPr>
          <w:lang w:eastAsia="en-GB"/>
        </w:rPr>
        <w:t>Investments in sensitive land and fishing quota are also subject to a benefit test.</w:t>
      </w:r>
      <w:r w:rsidRPr="00B93EE1">
        <w:rPr>
          <w:rStyle w:val="FootnoteReference"/>
          <w:lang w:eastAsia="en-GB"/>
        </w:rPr>
        <w:footnoteReference w:id="103"/>
      </w:r>
      <w:r w:rsidRPr="00B93EE1">
        <w:rPr>
          <w:lang w:eastAsia="en-GB"/>
        </w:rPr>
        <w:t xml:space="preserve"> </w:t>
      </w:r>
      <w:r w:rsidRPr="00B93EE1">
        <w:t>I</w:t>
      </w:r>
      <w:r w:rsidRPr="00B93EE1">
        <w:rPr>
          <w:lang w:eastAsia="en-GB"/>
        </w:rPr>
        <w:t>f the overseas investor meets the criteria under these tests, t</w:t>
      </w:r>
      <w:r w:rsidRPr="00B93EE1">
        <w:t xml:space="preserve">he </w:t>
      </w:r>
      <w:proofErr w:type="spellStart"/>
      <w:r w:rsidRPr="00B93EE1">
        <w:rPr>
          <w:lang w:eastAsia="en-GB"/>
        </w:rPr>
        <w:t>OIO</w:t>
      </w:r>
      <w:proofErr w:type="spellEnd"/>
      <w:r w:rsidRPr="00B93EE1">
        <w:rPr>
          <w:lang w:eastAsia="en-GB"/>
        </w:rPr>
        <w:t xml:space="preserve"> approves the transaction. </w:t>
      </w:r>
      <w:r w:rsidRPr="00B93EE1">
        <w:t xml:space="preserve">According to the </w:t>
      </w:r>
      <w:proofErr w:type="spellStart"/>
      <w:r w:rsidRPr="00B93EE1">
        <w:t>OIO</w:t>
      </w:r>
      <w:proofErr w:type="spellEnd"/>
      <w:r w:rsidRPr="00B93EE1">
        <w:t>, about 15% (or NZD 15 billion) of all foreign direct investment into New Zealand went through this screening mechanism in FY2019/20.</w:t>
      </w:r>
      <w:r w:rsidRPr="00B93EE1">
        <w:rPr>
          <w:rStyle w:val="FootnoteReference"/>
        </w:rPr>
        <w:footnoteReference w:id="104"/>
      </w:r>
    </w:p>
    <w:p w14:paraId="1D41EC01" w14:textId="77777777" w:rsidR="00120717" w:rsidRPr="00F64A35" w:rsidRDefault="00120717" w:rsidP="00DD082F">
      <w:pPr>
        <w:pStyle w:val="BodyText"/>
      </w:pPr>
      <w:r w:rsidRPr="00B93EE1">
        <w:rPr>
          <w:lang w:eastAsia="en-GB"/>
        </w:rPr>
        <w:t>Each test assesses a different aspect of the proposed investment. The investor test is used to assess the investor's character (e.g. existence of criminal convictions) and capabilities (e.g. prohibitions to holding director positions)</w:t>
      </w:r>
      <w:r w:rsidRPr="00B93EE1">
        <w:rPr>
          <w:rStyle w:val="FootnoteReference"/>
          <w:lang w:eastAsia="en-GB"/>
        </w:rPr>
        <w:footnoteReference w:id="105"/>
      </w:r>
      <w:r w:rsidRPr="00B93EE1">
        <w:rPr>
          <w:lang w:eastAsia="en-GB"/>
        </w:rPr>
        <w:t xml:space="preserve">, while under the benefit test, the </w:t>
      </w:r>
      <w:proofErr w:type="spellStart"/>
      <w:r w:rsidRPr="00B93EE1">
        <w:rPr>
          <w:lang w:eastAsia="en-GB"/>
        </w:rPr>
        <w:t>OIO</w:t>
      </w:r>
      <w:proofErr w:type="spellEnd"/>
      <w:r w:rsidRPr="00B93EE1">
        <w:rPr>
          <w:lang w:eastAsia="en-GB"/>
        </w:rPr>
        <w:t xml:space="preserve"> assesses the </w:t>
      </w:r>
      <w:r w:rsidRPr="00B93EE1">
        <w:t>benefit of the investment to New Zealand by comparing the likely result of the investment against the current situation (i.e. no investment) based on several criteria</w:t>
      </w:r>
      <w:r w:rsidRPr="00B93EE1">
        <w:rPr>
          <w:lang w:eastAsia="en-GB"/>
        </w:rPr>
        <w:t>.</w:t>
      </w:r>
      <w:r w:rsidRPr="00B93EE1">
        <w:rPr>
          <w:rStyle w:val="FootnoteReference"/>
          <w:lang w:eastAsia="en-GB"/>
        </w:rPr>
        <w:footnoteReference w:id="106"/>
      </w:r>
      <w:r w:rsidRPr="00B93EE1">
        <w:rPr>
          <w:lang w:eastAsia="en-GB"/>
        </w:rPr>
        <w:t xml:space="preserve"> Under the reforms of its foreign investment regime, New Zealand simplified both tests</w:t>
      </w:r>
      <w:r w:rsidRPr="00B93EE1">
        <w:t xml:space="preserve">. </w:t>
      </w:r>
      <w:r w:rsidRPr="00B93EE1">
        <w:rPr>
          <w:lang w:eastAsia="en-GB"/>
        </w:rPr>
        <w:t>The benefit test was streamlined in 2021 by clarifying the comparison assessment and by reducing the number of benefit criteria used in the analysis from 21 specific factors to 7 broad categories of factors. The investor test was revised in 2020 by removing some criteria and focusing on specific and well-defined factors relating to the investor's character and capability.</w:t>
      </w:r>
      <w:r w:rsidRPr="00B93EE1">
        <w:rPr>
          <w:rStyle w:val="FootnoteReference"/>
          <w:lang w:eastAsia="en-GB"/>
        </w:rPr>
        <w:footnoteReference w:id="107"/>
      </w:r>
      <w:r w:rsidRPr="00B93EE1">
        <w:rPr>
          <w:lang w:eastAsia="en-GB"/>
        </w:rPr>
        <w:t xml:space="preserve"> In addition to these amendments, New Zealand removed screening requirements for low-risk transactions to further simplify its foreign investment regime (Box 2.1). Most of these changes took place under the reforms of 2020 and 2021, and a</w:t>
      </w:r>
      <w:r w:rsidRPr="00B93EE1">
        <w:t>ccording to the authorities, the changes have significantly streamlined the screening process of applications and reduced the number of transactions requiring consent by about 30%.</w:t>
      </w:r>
      <w:r w:rsidRPr="00B93EE1">
        <w:rPr>
          <w:rStyle w:val="FootnoteReference"/>
        </w:rPr>
        <w:footnoteReference w:id="108"/>
      </w:r>
    </w:p>
    <w:p w14:paraId="0507AE32" w14:textId="13C01C50" w:rsidR="00120717" w:rsidRPr="00B93EE1" w:rsidRDefault="00120717" w:rsidP="00D20DEF">
      <w:pPr>
        <w:pStyle w:val="Caption"/>
      </w:pPr>
      <w:bookmarkStart w:id="65" w:name="_Toc97743425"/>
      <w:r w:rsidRPr="00B93EE1">
        <w:t xml:space="preserve">Box </w:t>
      </w:r>
      <w:r w:rsidR="0012793B">
        <w:fldChar w:fldCharType="begin"/>
      </w:r>
      <w:r w:rsidR="0012793B">
        <w:instrText xml:space="preserve"> STYLEREF 1 \s </w:instrText>
      </w:r>
      <w:r w:rsidR="0012793B">
        <w:fldChar w:fldCharType="separate"/>
      </w:r>
      <w:r w:rsidR="00133D67">
        <w:rPr>
          <w:noProof/>
        </w:rPr>
        <w:t>2</w:t>
      </w:r>
      <w:r w:rsidR="0012793B">
        <w:rPr>
          <w:noProof/>
        </w:rPr>
        <w:fldChar w:fldCharType="end"/>
      </w:r>
      <w:r w:rsidRPr="00B93EE1">
        <w:t>.</w:t>
      </w:r>
      <w:r w:rsidR="0012793B">
        <w:fldChar w:fldCharType="begin"/>
      </w:r>
      <w:r w:rsidR="0012793B">
        <w:instrText xml:space="preserve"> SEQ Box \* ARABIC \s 1 </w:instrText>
      </w:r>
      <w:r w:rsidR="0012793B">
        <w:fldChar w:fldCharType="separate"/>
      </w:r>
      <w:r w:rsidRPr="00B93EE1">
        <w:t>1</w:t>
      </w:r>
      <w:r w:rsidR="0012793B">
        <w:fldChar w:fldCharType="end"/>
      </w:r>
      <w:r w:rsidRPr="00B93EE1">
        <w:t xml:space="preserve"> Selected reforms simplifying New Zealand's foreign investment regime</w:t>
      </w:r>
      <w:bookmarkEnd w:id="65"/>
      <w:r w:rsidRPr="00B93EE1">
        <w:t xml:space="preserve"> </w:t>
      </w:r>
    </w:p>
    <w:tbl>
      <w:tblPr>
        <w:tblStyle w:val="WTOBox1"/>
        <w:tblW w:w="0" w:type="auto"/>
        <w:tblLook w:val="04A0" w:firstRow="1" w:lastRow="0" w:firstColumn="1" w:lastColumn="0" w:noHBand="0" w:noVBand="1"/>
      </w:tblPr>
      <w:tblGrid>
        <w:gridCol w:w="9016"/>
      </w:tblGrid>
      <w:tr w:rsidR="00120717" w:rsidRPr="00B93EE1" w14:paraId="440B1C6B" w14:textId="77777777" w:rsidTr="0028763A">
        <w:trPr>
          <w:trHeight w:val="843"/>
        </w:trPr>
        <w:tc>
          <w:tcPr>
            <w:tcW w:w="9016" w:type="dxa"/>
          </w:tcPr>
          <w:p w14:paraId="12B260C0" w14:textId="77777777" w:rsidR="00120717" w:rsidRPr="00B93EE1" w:rsidRDefault="00120717" w:rsidP="0028763A">
            <w:pPr>
              <w:rPr>
                <w:sz w:val="16"/>
                <w:szCs w:val="16"/>
              </w:rPr>
            </w:pPr>
            <w:r w:rsidRPr="00B93EE1">
              <w:rPr>
                <w:sz w:val="16"/>
                <w:szCs w:val="16"/>
              </w:rPr>
              <w:t>In 2017, New Zealand launched a broad set of reforms to simplify its foreign investment regime and enhance the coverage of high-risk transactions. These reforms were adopted through the Overseas Investment Amendment Act 2018, the Overseas Investment (Urgent Measures) Amendment Act 2020, and the Overseas Investment Amendment Act 2021. The majority of measures seeking to simplify the country's foreign investment regime were adopted in 2020 and 2021. Some of the most significant include:</w:t>
            </w:r>
          </w:p>
          <w:p w14:paraId="60365C25" w14:textId="77777777" w:rsidR="00120717" w:rsidRPr="00B93EE1" w:rsidRDefault="00120717" w:rsidP="006A25C8">
            <w:pPr>
              <w:pStyle w:val="ListParagraph"/>
              <w:numPr>
                <w:ilvl w:val="0"/>
                <w:numId w:val="10"/>
              </w:numPr>
              <w:spacing w:before="120"/>
              <w:ind w:left="357" w:hanging="357"/>
              <w:rPr>
                <w:sz w:val="16"/>
                <w:szCs w:val="16"/>
              </w:rPr>
            </w:pPr>
            <w:r w:rsidRPr="00B93EE1">
              <w:rPr>
                <w:b/>
                <w:sz w:val="16"/>
                <w:szCs w:val="16"/>
              </w:rPr>
              <w:t>Removal of categories of sensitive land (2020).</w:t>
            </w:r>
            <w:r w:rsidRPr="00B93EE1">
              <w:rPr>
                <w:bCs/>
                <w:sz w:val="16"/>
                <w:szCs w:val="16"/>
              </w:rPr>
              <w:t xml:space="preserve"> </w:t>
            </w:r>
            <w:r w:rsidRPr="00B93EE1">
              <w:rPr>
                <w:sz w:val="16"/>
                <w:szCs w:val="16"/>
              </w:rPr>
              <w:t>The definition of "sensitive adjoining land" (i.e. land that is sensitive because of what it is next to) – a category of "sensitive land" – became narrower in 2020. With this reform, the authorities expect to reduce the number of sensitive land applications by 5%</w:t>
            </w:r>
            <w:r w:rsidRPr="00B93EE1">
              <w:rPr>
                <w:sz w:val="16"/>
                <w:szCs w:val="16"/>
              </w:rPr>
              <w:noBreakHyphen/>
              <w:t>10%.</w:t>
            </w:r>
          </w:p>
          <w:p w14:paraId="01608F27" w14:textId="77777777" w:rsidR="00120717" w:rsidRPr="00B93EE1" w:rsidRDefault="00120717" w:rsidP="00E962FF">
            <w:pPr>
              <w:pStyle w:val="ListParagraph"/>
              <w:numPr>
                <w:ilvl w:val="0"/>
                <w:numId w:val="10"/>
              </w:numPr>
              <w:ind w:left="360"/>
              <w:rPr>
                <w:sz w:val="16"/>
                <w:szCs w:val="16"/>
              </w:rPr>
            </w:pPr>
            <w:r w:rsidRPr="00B93EE1">
              <w:rPr>
                <w:b/>
                <w:bCs/>
                <w:sz w:val="16"/>
                <w:szCs w:val="16"/>
              </w:rPr>
              <w:t>Reduced screening requirements for listed companies and exemptions for non-listed companies (2020).</w:t>
            </w:r>
            <w:r w:rsidRPr="00B93EE1">
              <w:rPr>
                <w:sz w:val="16"/>
                <w:szCs w:val="16"/>
              </w:rPr>
              <w:t xml:space="preserve"> Listed companies that are majority-owned by New Zealanders and not subject to substantial overseas control are no longer considered overseas persons, and therefore not subject to the Overseas Investment Act. Control is substantial if overseas persons holding 10% or more of shares hold more than 25% combined. Non-publicly listed companies may also apply for an exemption if they fulfil the same criteria.</w:t>
            </w:r>
          </w:p>
          <w:p w14:paraId="415A4C71" w14:textId="77777777" w:rsidR="00120717" w:rsidRPr="00B93EE1" w:rsidRDefault="00120717" w:rsidP="00E962FF">
            <w:pPr>
              <w:pStyle w:val="ListParagraph"/>
              <w:numPr>
                <w:ilvl w:val="0"/>
                <w:numId w:val="10"/>
              </w:numPr>
              <w:ind w:left="360"/>
              <w:rPr>
                <w:sz w:val="16"/>
                <w:szCs w:val="16"/>
              </w:rPr>
            </w:pPr>
            <w:r w:rsidRPr="00B93EE1">
              <w:rPr>
                <w:b/>
                <w:bCs/>
                <w:sz w:val="16"/>
                <w:szCs w:val="16"/>
              </w:rPr>
              <w:t>Revised investor test (2020) and introduction of a pre-verified status for returning investors (2021).</w:t>
            </w:r>
            <w:r w:rsidRPr="00B93EE1">
              <w:rPr>
                <w:sz w:val="16"/>
                <w:szCs w:val="16"/>
              </w:rPr>
              <w:t xml:space="preserve"> Overseas investors seeking to acquire sensitive assets must meet the investor test, which focuses on the character and capability of the investor. The 2020 reforms streamlined the investor test by clearly defining the factors the </w:t>
            </w:r>
            <w:proofErr w:type="spellStart"/>
            <w:r w:rsidRPr="00B93EE1">
              <w:rPr>
                <w:sz w:val="16"/>
                <w:szCs w:val="16"/>
              </w:rPr>
              <w:t>OIO</w:t>
            </w:r>
            <w:proofErr w:type="spellEnd"/>
            <w:r w:rsidRPr="00B93EE1">
              <w:rPr>
                <w:sz w:val="16"/>
                <w:szCs w:val="16"/>
              </w:rPr>
              <w:t xml:space="preserve"> can consider as part of its assessment, and in some cases narrowing them to, for example, consider only serious offences or contraventions (or ongoing proceedings for such contraventions or offences).</w:t>
            </w:r>
            <w:r w:rsidRPr="00B93EE1">
              <w:rPr>
                <w:rStyle w:val="FootnoteReference"/>
                <w:sz w:val="16"/>
                <w:szCs w:val="16"/>
              </w:rPr>
              <w:footnoteReference w:id="109"/>
            </w:r>
            <w:r w:rsidRPr="00B93EE1">
              <w:rPr>
                <w:sz w:val="16"/>
                <w:szCs w:val="16"/>
              </w:rPr>
              <w:t xml:space="preserve"> In addition, the 2021 reforms allowed "repeat" investors to submit a statutory declaration confirming that their circumstances have not changed instead of repeating the test. Prior to this change, overseas investors had to meet the investor test for every foreign investment application.</w:t>
            </w:r>
          </w:p>
          <w:p w14:paraId="0EA6D105" w14:textId="77777777" w:rsidR="00120717" w:rsidRPr="00B93EE1" w:rsidRDefault="00120717" w:rsidP="00E962FF">
            <w:pPr>
              <w:pStyle w:val="ListParagraph"/>
              <w:numPr>
                <w:ilvl w:val="0"/>
                <w:numId w:val="10"/>
              </w:numPr>
              <w:ind w:left="360"/>
              <w:rPr>
                <w:sz w:val="16"/>
                <w:szCs w:val="16"/>
              </w:rPr>
            </w:pPr>
            <w:r w:rsidRPr="00B93EE1">
              <w:rPr>
                <w:b/>
                <w:bCs/>
                <w:sz w:val="16"/>
                <w:szCs w:val="16"/>
              </w:rPr>
              <w:lastRenderedPageBreak/>
              <w:t>Simplification of the benefit test (2021).</w:t>
            </w:r>
            <w:r w:rsidRPr="00B93EE1">
              <w:rPr>
                <w:sz w:val="16"/>
                <w:szCs w:val="16"/>
              </w:rPr>
              <w:t xml:space="preserve"> Overseas persons who seek to acquire sensitive land or fishing quota must prove that the investment will, or is likely to, benefit New Zealand. Under this test, the </w:t>
            </w:r>
            <w:proofErr w:type="spellStart"/>
            <w:r w:rsidRPr="00B93EE1">
              <w:rPr>
                <w:sz w:val="16"/>
                <w:szCs w:val="16"/>
              </w:rPr>
              <w:t>OIO</w:t>
            </w:r>
            <w:proofErr w:type="spellEnd"/>
            <w:r w:rsidRPr="00B93EE1">
              <w:rPr>
                <w:sz w:val="16"/>
                <w:szCs w:val="16"/>
              </w:rPr>
              <w:t xml:space="preserve"> compares the current situation to the situation with the proposed investment with respect to several benefit criteria. The reform of 2021 clarified the comparison analysis and streamlined the process by reducing the number of criteria used for this analysis from 21 specific factors to 7 broad categories of factors, providing the </w:t>
            </w:r>
            <w:proofErr w:type="spellStart"/>
            <w:r w:rsidRPr="00B93EE1">
              <w:rPr>
                <w:sz w:val="16"/>
                <w:szCs w:val="16"/>
              </w:rPr>
              <w:t>OIO</w:t>
            </w:r>
            <w:proofErr w:type="spellEnd"/>
            <w:r w:rsidRPr="00B93EE1">
              <w:rPr>
                <w:sz w:val="16"/>
                <w:szCs w:val="16"/>
              </w:rPr>
              <w:t xml:space="preserve"> with more flexibility when assessing the benefits of an investment. Currently, the seven categories used for this analysis refer to economic, environmental, and any other consequential benefits resulting from the proposed investment, as well as to the effects of the investment on public access in the case of land, the protection of historic heritage, government policy, and participation by New Zealanders.</w:t>
            </w:r>
          </w:p>
          <w:p w14:paraId="08BB133F" w14:textId="77777777" w:rsidR="00120717" w:rsidRPr="00B93EE1" w:rsidRDefault="00120717" w:rsidP="00E962FF">
            <w:pPr>
              <w:pStyle w:val="ListParagraph"/>
              <w:numPr>
                <w:ilvl w:val="0"/>
                <w:numId w:val="10"/>
              </w:numPr>
              <w:ind w:left="360"/>
              <w:rPr>
                <w:sz w:val="16"/>
                <w:szCs w:val="16"/>
              </w:rPr>
            </w:pPr>
            <w:r w:rsidRPr="00B93EE1">
              <w:rPr>
                <w:b/>
                <w:bCs/>
                <w:sz w:val="16"/>
                <w:szCs w:val="16"/>
              </w:rPr>
              <w:t>Waiver of consent for incremental ownership in significant business assets (2021).</w:t>
            </w:r>
            <w:r w:rsidRPr="00B93EE1">
              <w:rPr>
                <w:sz w:val="16"/>
                <w:szCs w:val="16"/>
              </w:rPr>
              <w:t xml:space="preserve"> Additional foreign investments in sensitive assets are no longer subject to </w:t>
            </w:r>
            <w:proofErr w:type="spellStart"/>
            <w:r w:rsidRPr="00B93EE1">
              <w:rPr>
                <w:sz w:val="16"/>
                <w:szCs w:val="16"/>
              </w:rPr>
              <w:t>OIO</w:t>
            </w:r>
            <w:proofErr w:type="spellEnd"/>
            <w:r w:rsidRPr="00B93EE1">
              <w:rPr>
                <w:sz w:val="16"/>
                <w:szCs w:val="16"/>
              </w:rPr>
              <w:t xml:space="preserve"> consent, provided the foreign equity does not exceed certain thresholds (i.e. 25%, 50%, 75%, or up to 100%) in the asset following investments increments. Prior to this amendment, overseas investors seeking to increase their shareholding had to submit a separate </w:t>
            </w:r>
            <w:proofErr w:type="spellStart"/>
            <w:r w:rsidRPr="00B93EE1">
              <w:rPr>
                <w:sz w:val="16"/>
                <w:szCs w:val="16"/>
              </w:rPr>
              <w:t>OIO</w:t>
            </w:r>
            <w:proofErr w:type="spellEnd"/>
            <w:r w:rsidRPr="00B93EE1">
              <w:rPr>
                <w:sz w:val="16"/>
                <w:szCs w:val="16"/>
              </w:rPr>
              <w:t xml:space="preserve"> application.</w:t>
            </w:r>
          </w:p>
          <w:p w14:paraId="6066C075" w14:textId="77777777" w:rsidR="00120717" w:rsidRPr="00B93EE1" w:rsidRDefault="00120717" w:rsidP="00E962FF">
            <w:pPr>
              <w:pStyle w:val="ListParagraph"/>
              <w:numPr>
                <w:ilvl w:val="0"/>
                <w:numId w:val="10"/>
              </w:numPr>
              <w:ind w:left="360"/>
              <w:rPr>
                <w:sz w:val="16"/>
                <w:szCs w:val="16"/>
              </w:rPr>
            </w:pPr>
            <w:r w:rsidRPr="00B93EE1">
              <w:rPr>
                <w:b/>
                <w:bCs/>
                <w:sz w:val="16"/>
                <w:szCs w:val="16"/>
              </w:rPr>
              <w:t>Introduction of statutory timeframes for decisions (2021).</w:t>
            </w:r>
            <w:r w:rsidRPr="00B93EE1">
              <w:rPr>
                <w:sz w:val="16"/>
                <w:szCs w:val="16"/>
              </w:rPr>
              <w:t xml:space="preserve"> New Zealand established in 2021 statutory time frames for decisions on each type of application for consent under its screening mechanism. These time frames are not legally binding, but the </w:t>
            </w:r>
            <w:proofErr w:type="spellStart"/>
            <w:r w:rsidRPr="00B93EE1">
              <w:rPr>
                <w:sz w:val="16"/>
                <w:szCs w:val="16"/>
              </w:rPr>
              <w:t>OIO</w:t>
            </w:r>
            <w:proofErr w:type="spellEnd"/>
            <w:r w:rsidRPr="00B93EE1">
              <w:rPr>
                <w:sz w:val="16"/>
                <w:szCs w:val="16"/>
              </w:rPr>
              <w:t xml:space="preserve"> is required to report on their compliance.</w:t>
            </w:r>
          </w:p>
          <w:p w14:paraId="60F221E4" w14:textId="77777777" w:rsidR="00120717" w:rsidRPr="00B93EE1" w:rsidRDefault="00120717" w:rsidP="0028763A">
            <w:pPr>
              <w:rPr>
                <w:sz w:val="16"/>
                <w:szCs w:val="16"/>
              </w:rPr>
            </w:pPr>
          </w:p>
        </w:tc>
      </w:tr>
    </w:tbl>
    <w:p w14:paraId="794E009F" w14:textId="77777777" w:rsidR="00120717" w:rsidRPr="00B93EE1" w:rsidRDefault="00120717" w:rsidP="00062AA5">
      <w:pPr>
        <w:pStyle w:val="NoteText"/>
        <w:spacing w:before="120" w:after="240"/>
      </w:pPr>
      <w:r w:rsidRPr="00B93EE1">
        <w:lastRenderedPageBreak/>
        <w:t>Source:</w:t>
      </w:r>
      <w:r w:rsidRPr="00B93EE1">
        <w:tab/>
        <w:t>WTO Secretariat based on the Overseas Investment Amendment Acts 2018-2021; and information provided by the authorities.</w:t>
      </w:r>
    </w:p>
    <w:p w14:paraId="407AC61A" w14:textId="77777777" w:rsidR="00120717" w:rsidRPr="00F64A35" w:rsidRDefault="00120717" w:rsidP="00DD082F">
      <w:pPr>
        <w:pStyle w:val="BodyText"/>
      </w:pPr>
      <w:r w:rsidRPr="00B93EE1">
        <w:t xml:space="preserve">In addition to its screening mechanism, </w:t>
      </w:r>
      <w:r w:rsidRPr="00B93EE1">
        <w:rPr>
          <w:szCs w:val="18"/>
        </w:rPr>
        <w:t>under the reforms of 2020 and in response to the COVID</w:t>
      </w:r>
      <w:r w:rsidRPr="00B93EE1">
        <w:rPr>
          <w:szCs w:val="18"/>
        </w:rPr>
        <w:noBreakHyphen/>
        <w:t xml:space="preserve">19 pandemic, </w:t>
      </w:r>
      <w:r w:rsidRPr="00B93EE1">
        <w:t xml:space="preserve">New Zealand introduced two other tools to review foreign investments: a </w:t>
      </w:r>
      <w:r w:rsidRPr="00B93EE1">
        <w:rPr>
          <w:lang w:eastAsia="en-GB"/>
        </w:rPr>
        <w:t xml:space="preserve">national interest test and </w:t>
      </w:r>
      <w:r w:rsidRPr="00B93EE1">
        <w:t>a temporary emergency notification system that was replaced in 2021 by another one – the National Security and Public Order (</w:t>
      </w:r>
      <w:proofErr w:type="spellStart"/>
      <w:r w:rsidRPr="00B93EE1">
        <w:t>NSPO</w:t>
      </w:r>
      <w:proofErr w:type="spellEnd"/>
      <w:r w:rsidRPr="00B93EE1">
        <w:t>) notification system</w:t>
      </w:r>
      <w:r w:rsidRPr="00B93EE1">
        <w:rPr>
          <w:lang w:eastAsia="en-GB"/>
        </w:rPr>
        <w:t xml:space="preserve">. </w:t>
      </w:r>
      <w:r w:rsidRPr="00B93EE1">
        <w:t xml:space="preserve">The </w:t>
      </w:r>
      <w:r w:rsidRPr="00B93EE1">
        <w:rPr>
          <w:lang w:eastAsia="en-GB"/>
        </w:rPr>
        <w:t xml:space="preserve">national interest test, introduced in June 2020, can be applied only to transactions already subject to screening, and is performed in addition to the other applicable tests under the </w:t>
      </w:r>
      <w:proofErr w:type="spellStart"/>
      <w:r w:rsidRPr="00B93EE1">
        <w:rPr>
          <w:lang w:eastAsia="en-GB"/>
        </w:rPr>
        <w:t>OIO's</w:t>
      </w:r>
      <w:proofErr w:type="spellEnd"/>
      <w:r w:rsidRPr="00B93EE1">
        <w:rPr>
          <w:lang w:eastAsia="en-GB"/>
        </w:rPr>
        <w:t xml:space="preserve"> general screening (e.g. an investor test, and a benefits test if it involves sensitive land or fishing quota). The test is mandatory for transactions involving strategically important businesses or a foreign government investor, but can also be applied to any other transaction that is ordinarily subject to screening at the Minister of Finance's discretion. Such discretion is to be applied rarely, according to Ministerial </w:t>
      </w:r>
      <w:r w:rsidRPr="00B93EE1">
        <w:t>Directives</w:t>
      </w:r>
      <w:r w:rsidRPr="00B93EE1">
        <w:rPr>
          <w:lang w:eastAsia="en-GB"/>
        </w:rPr>
        <w:t>.</w:t>
      </w:r>
      <w:r w:rsidRPr="00B93EE1">
        <w:rPr>
          <w:rStyle w:val="FootnoteReference"/>
          <w:szCs w:val="18"/>
        </w:rPr>
        <w:footnoteReference w:id="110"/>
      </w:r>
      <w:r w:rsidRPr="00B93EE1">
        <w:rPr>
          <w:szCs w:val="18"/>
        </w:rPr>
        <w:t xml:space="preserve"> </w:t>
      </w:r>
      <w:r w:rsidRPr="00B93EE1">
        <w:rPr>
          <w:lang w:eastAsia="en-GB"/>
        </w:rPr>
        <w:t>Transactions subject to this test are approved by the Minister of Finance if they are not contrary to New Zealand's national interest.</w:t>
      </w:r>
      <w:r w:rsidRPr="00B93EE1">
        <w:rPr>
          <w:rStyle w:val="FootnoteReference"/>
          <w:lang w:eastAsia="en-GB"/>
        </w:rPr>
        <w:footnoteReference w:id="111"/>
      </w:r>
      <w:r w:rsidRPr="00B93EE1">
        <w:rPr>
          <w:lang w:eastAsia="en-GB"/>
        </w:rPr>
        <w:t xml:space="preserve"> Under the legislation, strategically important businesses are businesses with activities related, </w:t>
      </w:r>
      <w:r w:rsidRPr="00B93EE1">
        <w:rPr>
          <w:i/>
          <w:iCs/>
          <w:lang w:eastAsia="en-GB"/>
        </w:rPr>
        <w:t>inter alia,</w:t>
      </w:r>
      <w:r w:rsidRPr="00B93EE1">
        <w:rPr>
          <w:lang w:eastAsia="en-GB"/>
        </w:rPr>
        <w:t xml:space="preserve"> to </w:t>
      </w:r>
      <w:r w:rsidRPr="00B93EE1">
        <w:t>ports and airports; electricity; water; telecommunications; financial institutions, and military and dual-use technology.</w:t>
      </w:r>
      <w:r w:rsidRPr="00B93EE1">
        <w:rPr>
          <w:rStyle w:val="FootnoteReference"/>
          <w:lang w:eastAsia="en-GB"/>
        </w:rPr>
        <w:footnoteReference w:id="112"/>
      </w:r>
      <w:r w:rsidRPr="00B93EE1">
        <w:rPr>
          <w:lang w:eastAsia="en-GB"/>
        </w:rPr>
        <w:t xml:space="preserve"> </w:t>
      </w:r>
      <w:r w:rsidRPr="00B93EE1">
        <w:t xml:space="preserve">Transactions by </w:t>
      </w:r>
      <w:r w:rsidRPr="00B93EE1">
        <w:rPr>
          <w:lang w:eastAsia="en-GB"/>
        </w:rPr>
        <w:t xml:space="preserve">foreign governments subject to this test include those </w:t>
      </w:r>
      <w:r w:rsidRPr="00B93EE1">
        <w:t>leading to an acquisition of more than 10% ownership or control interest in the asset</w:t>
      </w:r>
      <w:r w:rsidRPr="00B93EE1">
        <w:rPr>
          <w:lang w:eastAsia="en-GB"/>
        </w:rPr>
        <w:t>. In 2021, this equity threshold was increased to more than 25%. Foreign government investors that operate independently from the Government can apply for an exemption from this requirement.</w:t>
      </w:r>
    </w:p>
    <w:p w14:paraId="410EB47A" w14:textId="77777777" w:rsidR="00120717" w:rsidRPr="00F64A35" w:rsidRDefault="00120717" w:rsidP="00DD082F">
      <w:pPr>
        <w:pStyle w:val="BodyText"/>
      </w:pPr>
      <w:r w:rsidRPr="00B93EE1">
        <w:t>The emergency notification system, also adopted in June 2020, provided that all foreign investments that were not subject to screening had to be notified to the </w:t>
      </w:r>
      <w:proofErr w:type="spellStart"/>
      <w:r w:rsidRPr="00B93EE1">
        <w:t>OIO</w:t>
      </w:r>
      <w:proofErr w:type="spellEnd"/>
      <w:r w:rsidRPr="00B93EE1">
        <w:t xml:space="preserve"> if the investors intended to: (</w:t>
      </w:r>
      <w:proofErr w:type="spellStart"/>
      <w:r w:rsidRPr="00B93EE1">
        <w:t>i</w:t>
      </w:r>
      <w:proofErr w:type="spellEnd"/>
      <w:r w:rsidRPr="00B93EE1">
        <w:t xml:space="preserve">) acquire more than 25% of the assets or level of control of an existing company; or (ii) increase its existing shareholding (or level of control) up to or beyond certain thresholds (i.e. 50%, 75%, or 100%). Once notified, the </w:t>
      </w:r>
      <w:proofErr w:type="spellStart"/>
      <w:r w:rsidRPr="00B93EE1">
        <w:t>OIO</w:t>
      </w:r>
      <w:proofErr w:type="spellEnd"/>
      <w:r w:rsidRPr="00B93EE1">
        <w:t xml:space="preserve"> assessed whether the transaction was contrary to New Zealand's national interest. In June 2021, this notification mechanism was repealed and replaced by the </w:t>
      </w:r>
      <w:proofErr w:type="spellStart"/>
      <w:r w:rsidRPr="00B93EE1">
        <w:t>NSPO</w:t>
      </w:r>
      <w:proofErr w:type="spellEnd"/>
      <w:r w:rsidRPr="00B93EE1">
        <w:t xml:space="preserve"> notification system that has a narrower scope than those of the temporary emergency notification system and the national interest test</w:t>
      </w:r>
      <w:r w:rsidRPr="00B93EE1">
        <w:rPr>
          <w:szCs w:val="18"/>
        </w:rPr>
        <w:t xml:space="preserve">. </w:t>
      </w:r>
      <w:r w:rsidRPr="00B93EE1">
        <w:t xml:space="preserve">The </w:t>
      </w:r>
      <w:proofErr w:type="spellStart"/>
      <w:r w:rsidRPr="00B93EE1">
        <w:t>NSPO</w:t>
      </w:r>
      <w:proofErr w:type="spellEnd"/>
      <w:r w:rsidRPr="00B93EE1">
        <w:t xml:space="preserve"> notification system allows the Government to review foreign investments that involve strategically important businesses</w:t>
      </w:r>
      <w:r w:rsidRPr="00B93EE1">
        <w:rPr>
          <w:rStyle w:val="FootnoteReference"/>
        </w:rPr>
        <w:footnoteReference w:id="113"/>
      </w:r>
      <w:r w:rsidRPr="00B93EE1">
        <w:t xml:space="preserve"> but are not subject to screening (i.e. consent) under the Overseas Investment Act (i.e. do not involve a sensitive asset). Of the foreign investments covered by this mechanism, notification is compulsory only for those relating to military or dual-use technology and critical direct suppliers to the New Zealand Defence Force or </w:t>
      </w:r>
      <w:r w:rsidRPr="00B93EE1">
        <w:lastRenderedPageBreak/>
        <w:t>security and intelligence agencies.</w:t>
      </w:r>
      <w:r w:rsidRPr="00B93EE1">
        <w:rPr>
          <w:rStyle w:val="FootnoteReference"/>
        </w:rPr>
        <w:footnoteReference w:id="114"/>
      </w:r>
      <w:r w:rsidRPr="00B93EE1">
        <w:t xml:space="preserve"> For all other covered transactions, notification is voluntary but greatly encouraged to guarantee the adequacy of the investment and legal predictability.</w:t>
      </w:r>
      <w:r w:rsidRPr="00B93EE1">
        <w:rPr>
          <w:vertAlign w:val="superscript"/>
        </w:rPr>
        <w:footnoteReference w:id="115"/>
      </w:r>
      <w:r w:rsidRPr="00B93EE1">
        <w:t xml:space="preserve"> If the transaction is not notified, prospective investors risk that their transaction might be assessed at a later stage. If notified, the </w:t>
      </w:r>
      <w:proofErr w:type="spellStart"/>
      <w:r w:rsidRPr="00B93EE1">
        <w:t>OIO</w:t>
      </w:r>
      <w:proofErr w:type="spellEnd"/>
      <w:r w:rsidRPr="00B93EE1">
        <w:t xml:space="preserve"> assesses the transaction to determine whether it poses a significant risk to the country's national security or public order. If it does, the Minister of Finance is empowered to impose conditions on, block, or order disposal to manage those risks. If it does not, it will approve the transaction with or without conditions. Like the national interest test, the </w:t>
      </w:r>
      <w:proofErr w:type="spellStart"/>
      <w:r w:rsidRPr="00B93EE1">
        <w:t>NSPO</w:t>
      </w:r>
      <w:proofErr w:type="spellEnd"/>
      <w:r w:rsidRPr="00B93EE1">
        <w:t xml:space="preserve"> notification system is to be used only rarely.</w:t>
      </w:r>
      <w:r w:rsidRPr="00B93EE1">
        <w:rPr>
          <w:rStyle w:val="FootnoteReference"/>
        </w:rPr>
        <w:footnoteReference w:id="116"/>
      </w:r>
    </w:p>
    <w:p w14:paraId="6C2E8EC6" w14:textId="77777777" w:rsidR="00120717" w:rsidRPr="00F64A35" w:rsidRDefault="00120717" w:rsidP="00DD082F">
      <w:pPr>
        <w:pStyle w:val="BodyText"/>
      </w:pPr>
      <w:r w:rsidRPr="00B93EE1">
        <w:t xml:space="preserve">In FY2020/21, the </w:t>
      </w:r>
      <w:proofErr w:type="spellStart"/>
      <w:r w:rsidRPr="00B93EE1">
        <w:t>OIO</w:t>
      </w:r>
      <w:proofErr w:type="spellEnd"/>
      <w:r w:rsidRPr="00B93EE1">
        <w:t xml:space="preserve"> assessed 176 applications</w:t>
      </w:r>
      <w:r w:rsidRPr="00B93EE1">
        <w:rPr>
          <w:rStyle w:val="FootnoteReference"/>
        </w:rPr>
        <w:footnoteReference w:id="117"/>
      </w:r>
      <w:r w:rsidRPr="00B93EE1">
        <w:t xml:space="preserve"> under its ordinary screening mechanism, and approved 170.</w:t>
      </w:r>
      <w:r w:rsidRPr="00B93EE1">
        <w:rPr>
          <w:rStyle w:val="FootnoteReference"/>
        </w:rPr>
        <w:footnoteReference w:id="118"/>
      </w:r>
      <w:r w:rsidRPr="00B93EE1">
        <w:t xml:space="preserve"> These figures are slightly higher than those in FY2014/15, when the number of assessed and approved applications were 168 and 160, respectively.</w:t>
      </w:r>
      <w:r w:rsidRPr="00B93EE1">
        <w:rPr>
          <w:rStyle w:val="FootnoteReference"/>
        </w:rPr>
        <w:footnoteReference w:id="119"/>
      </w:r>
      <w:r w:rsidRPr="00B93EE1">
        <w:t xml:space="preserve"> The time-frame for assessing applications varies depending on the type of investment requiring consent, the complexity of the assessment, and the amount of information required for the analysis. Processing applications can take from 30 working days for assessing investments requiring only an investor test to 200 working days for assessing investments on fishing quota.</w:t>
      </w:r>
      <w:r w:rsidRPr="00B93EE1">
        <w:rPr>
          <w:rStyle w:val="FootnoteReference"/>
        </w:rPr>
        <w:footnoteReference w:id="120"/>
      </w:r>
      <w:r w:rsidRPr="00B93EE1">
        <w:t xml:space="preserve"> According to the authorities, during 2015-21 an assessment took 45 working days on average.</w:t>
      </w:r>
      <w:r w:rsidRPr="00B93EE1">
        <w:rPr>
          <w:rStyle w:val="FootnoteReference"/>
        </w:rPr>
        <w:footnoteReference w:id="121"/>
      </w:r>
    </w:p>
    <w:p w14:paraId="512835B1" w14:textId="77777777" w:rsidR="00120717" w:rsidRPr="00F64A35" w:rsidRDefault="00120717" w:rsidP="00DD082F">
      <w:pPr>
        <w:pStyle w:val="BodyText"/>
      </w:pPr>
      <w:r w:rsidRPr="00B93EE1">
        <w:t>In addition to its screening and notification mechanisms, New Zealand maintains specific limitations on foreign investment in key state-owned companies operating in the air transport and telecommunications sectors so that these companies remain majority-owned by New Zealand. In air transport services, foreign equity in New Zealand's national airline company – Air New Zealand Limited – is limited to 10%, unless the Sovereign decides otherwise. In telecommunications, foreign investments exceeding 49.9% in the national telecommunication company – Chorus Limited – requires approval. In addition, New Zealand applies nationality requirements for senior managers and boards of directors for both companies.</w:t>
      </w:r>
    </w:p>
    <w:p w14:paraId="0EA0B992" w14:textId="77777777" w:rsidR="00120717" w:rsidRPr="00F64A35" w:rsidRDefault="00120717" w:rsidP="00DD082F">
      <w:pPr>
        <w:pStyle w:val="BodyText"/>
      </w:pPr>
      <w:r w:rsidRPr="00B93EE1">
        <w:t xml:space="preserve">New Zealand also has specific limitations on foreign investments in various sectors (e.g. agriculture and </w:t>
      </w:r>
      <w:proofErr w:type="spellStart"/>
      <w:r w:rsidRPr="00B93EE1">
        <w:t>audiovisual</w:t>
      </w:r>
      <w:proofErr w:type="spellEnd"/>
      <w:r w:rsidRPr="00B93EE1">
        <w:t>) that have been included in its lists of reservations of non</w:t>
      </w:r>
      <w:r w:rsidRPr="00B93EE1">
        <w:noBreakHyphen/>
        <w:t>conforming measures under its FTAs.</w:t>
      </w:r>
    </w:p>
    <w:p w14:paraId="46FBC997" w14:textId="77777777" w:rsidR="00120717" w:rsidRPr="00F64A35" w:rsidRDefault="00120717" w:rsidP="00153003">
      <w:pPr>
        <w:pStyle w:val="Heading3"/>
      </w:pPr>
      <w:bookmarkStart w:id="66" w:name="_Toc97800132"/>
      <w:r w:rsidRPr="00B93EE1">
        <w:t>Other aspects of New Zealand's foreign investment regime</w:t>
      </w:r>
      <w:bookmarkEnd w:id="66"/>
    </w:p>
    <w:p w14:paraId="44717E7F" w14:textId="77777777" w:rsidR="00120717" w:rsidRPr="00F64A35" w:rsidRDefault="00120717" w:rsidP="00BF0BB2">
      <w:pPr>
        <w:pStyle w:val="BodyText"/>
      </w:pPr>
      <w:r w:rsidRPr="00B93EE1">
        <w:t>New Zealand has not signed any new bilateral investment treaties (</w:t>
      </w:r>
      <w:proofErr w:type="spellStart"/>
      <w:r w:rsidRPr="00B93EE1">
        <w:t>BITs</w:t>
      </w:r>
      <w:proofErr w:type="spellEnd"/>
      <w:r w:rsidRPr="00B93EE1">
        <w:t xml:space="preserve">) since 2015. It currently has four </w:t>
      </w:r>
      <w:proofErr w:type="spellStart"/>
      <w:r w:rsidRPr="00B93EE1">
        <w:t>BITs</w:t>
      </w:r>
      <w:proofErr w:type="spellEnd"/>
      <w:r w:rsidRPr="00B93EE1">
        <w:t xml:space="preserve"> with Argentina; Chile; China; and Hong Kong, China, all concluded prior 2000, yet only those with China and Hong Kong, China are in force. The authorities indicate that there are no plans to bring the </w:t>
      </w:r>
      <w:proofErr w:type="spellStart"/>
      <w:r w:rsidRPr="00B93EE1">
        <w:t>BITs</w:t>
      </w:r>
      <w:proofErr w:type="spellEnd"/>
      <w:r w:rsidRPr="00B93EE1">
        <w:t xml:space="preserve"> with Argentina and with Chile into force, as the Government's position is not to conclude further agreements with a compulsory investor-state dispute settlement (</w:t>
      </w:r>
      <w:proofErr w:type="spellStart"/>
      <w:r w:rsidRPr="00B93EE1">
        <w:t>ISDS</w:t>
      </w:r>
      <w:proofErr w:type="spellEnd"/>
      <w:r w:rsidRPr="00B93EE1">
        <w:t>) mechanism.</w:t>
      </w:r>
      <w:r w:rsidRPr="00B93EE1">
        <w:rPr>
          <w:rStyle w:val="FootnoteReference"/>
        </w:rPr>
        <w:footnoteReference w:id="122"/>
      </w:r>
    </w:p>
    <w:p w14:paraId="510EA368" w14:textId="42A3E4CA" w:rsidR="00120717" w:rsidRPr="00F64A35" w:rsidRDefault="00120717" w:rsidP="00B322CB">
      <w:pPr>
        <w:pStyle w:val="BodyText"/>
      </w:pPr>
      <w:r w:rsidRPr="00B93EE1">
        <w:t xml:space="preserve">While its participation in </w:t>
      </w:r>
      <w:proofErr w:type="spellStart"/>
      <w:r w:rsidRPr="00B93EE1">
        <w:t>BITs</w:t>
      </w:r>
      <w:proofErr w:type="spellEnd"/>
      <w:r w:rsidRPr="00B93EE1">
        <w:t xml:space="preserve"> is limited, New Zealand has made investment commitments in all of </w:t>
      </w:r>
      <w:r w:rsidR="00E8495C">
        <w:t>its FTAs</w:t>
      </w:r>
      <w:r w:rsidRPr="00B93EE1">
        <w:t xml:space="preserve">, except for </w:t>
      </w:r>
      <w:r w:rsidR="00E8495C">
        <w:t>two</w:t>
      </w:r>
      <w:r w:rsidRPr="00B93EE1">
        <w:t xml:space="preserve"> (the Trans-Pacific Strategic Economic Partnership, and the New Zealand–Hong Kong, China FTA).</w:t>
      </w:r>
      <w:r w:rsidRPr="00B93EE1">
        <w:rPr>
          <w:rStyle w:val="FootnoteReference"/>
        </w:rPr>
        <w:footnoteReference w:id="123"/>
      </w:r>
      <w:r w:rsidRPr="00B93EE1">
        <w:t xml:space="preserve"> Under some of the FTAs covering investments, New Zealand committed to a higher screening threshold for investments in significant business assets. </w:t>
      </w:r>
      <w:r w:rsidRPr="00B93EE1">
        <w:lastRenderedPageBreak/>
        <w:t>For</w:t>
      </w:r>
      <w:r w:rsidR="00EE1448">
        <w:t> </w:t>
      </w:r>
      <w:r w:rsidRPr="00B93EE1">
        <w:t xml:space="preserve">instance, under the New Zealand-Australia FTA, the threshold is NZD 496 million for Australian non-government investors, while under the </w:t>
      </w:r>
      <w:proofErr w:type="spellStart"/>
      <w:r w:rsidRPr="00B93EE1">
        <w:t>CPTPP</w:t>
      </w:r>
      <w:proofErr w:type="spellEnd"/>
      <w:r w:rsidRPr="00B93EE1">
        <w:t xml:space="preserve"> the threshold is NZD 200 million. Following the conclusion of the </w:t>
      </w:r>
      <w:proofErr w:type="spellStart"/>
      <w:r w:rsidRPr="00B93EE1">
        <w:t>CPTPP</w:t>
      </w:r>
      <w:proofErr w:type="spellEnd"/>
      <w:r w:rsidRPr="00B93EE1">
        <w:t xml:space="preserve"> and in accordance with New Zealand's MFN commitment under its FTAs with the Republic of Korea; China; Chinese Taipei; and Hong Kong, China, the investment threshold applicable to those trading partners was increased to NZD 200 million.</w:t>
      </w:r>
      <w:r w:rsidRPr="00B93EE1">
        <w:rPr>
          <w:rStyle w:val="FootnoteReference"/>
        </w:rPr>
        <w:footnoteReference w:id="124"/>
      </w:r>
      <w:r w:rsidRPr="00B93EE1">
        <w:t xml:space="preserve"> Under RCEP and PACER Plus, New Zealand did not make any additional commitments in this respect, and maintained the NZD 10 million threshold it has under its GATS schedule. Of the four FTAs signed during </w:t>
      </w:r>
      <w:r w:rsidR="00E8495C">
        <w:t>2015-21</w:t>
      </w:r>
      <w:r w:rsidRPr="00B93EE1">
        <w:t xml:space="preserve">, only the </w:t>
      </w:r>
      <w:proofErr w:type="spellStart"/>
      <w:r w:rsidRPr="00B93EE1">
        <w:t>CPTPP</w:t>
      </w:r>
      <w:proofErr w:type="spellEnd"/>
      <w:r w:rsidRPr="00B93EE1">
        <w:rPr>
          <w:rStyle w:val="FootnoteReference"/>
        </w:rPr>
        <w:footnoteReference w:id="125"/>
      </w:r>
      <w:r w:rsidRPr="00B93EE1">
        <w:t xml:space="preserve"> and the New Zealand</w:t>
      </w:r>
      <w:r w:rsidRPr="00B93EE1">
        <w:noBreakHyphen/>
        <w:t xml:space="preserve">Republic of Korea FTA provide for an </w:t>
      </w:r>
      <w:proofErr w:type="spellStart"/>
      <w:r w:rsidRPr="00B93EE1">
        <w:t>ISDS</w:t>
      </w:r>
      <w:proofErr w:type="spellEnd"/>
      <w:r w:rsidRPr="00B93EE1">
        <w:t xml:space="preserve"> mechanism.</w:t>
      </w:r>
    </w:p>
    <w:p w14:paraId="399F9B62" w14:textId="77777777" w:rsidR="00120717" w:rsidRPr="00F64A35" w:rsidRDefault="00120717" w:rsidP="00E4375D">
      <w:pPr>
        <w:pStyle w:val="BodyText"/>
      </w:pPr>
      <w:r w:rsidRPr="00B93EE1">
        <w:t>New Zealand has 40 double taxation agreements (DTAs) currently in force, including with its main economic partners (e.g. Australia, and China). Its most recent DTA is with Samoa, which was signed in July 2015, and entered into force in December of the same year. This DTA is also the only DTA signed by New Zealand during the review period.</w:t>
      </w:r>
      <w:r w:rsidRPr="00B93EE1">
        <w:rPr>
          <w:vertAlign w:val="superscript"/>
        </w:rPr>
        <w:footnoteReference w:id="126"/>
      </w:r>
      <w:r w:rsidRPr="00B93EE1">
        <w:t xml:space="preserve"> Since then and according to the authorities, negotiations for additional new DTAs have generally been on hold due to various issues, including the COVID</w:t>
      </w:r>
      <w:r w:rsidRPr="00B93EE1">
        <w:noBreakHyphen/>
        <w:t>19 pandemic.</w:t>
      </w:r>
    </w:p>
    <w:p w14:paraId="7E62FEF4" w14:textId="77777777" w:rsidR="00927DD0" w:rsidRPr="00F64A35" w:rsidRDefault="00120717" w:rsidP="00F7182B">
      <w:pPr>
        <w:pStyle w:val="BodyText"/>
        <w:sectPr w:rsidR="00927DD0" w:rsidRPr="00F64A35" w:rsidSect="003D7746">
          <w:footnotePr>
            <w:numRestart w:val="eachSect"/>
          </w:footnotePr>
          <w:type w:val="continuous"/>
          <w:pgSz w:w="11906" w:h="16838" w:code="9"/>
          <w:pgMar w:top="1701" w:right="1440" w:bottom="1440" w:left="1440" w:header="720" w:footer="720" w:gutter="0"/>
          <w:cols w:space="720"/>
          <w:docGrid w:linePitch="360"/>
        </w:sectPr>
      </w:pPr>
      <w:r w:rsidRPr="00B93EE1">
        <w:t xml:space="preserve">New Zealand does not provide any financial incentives for investors, but it may provide grants depending on the sector of operation or R&amp;D efforts. Such grants are administered by the </w:t>
      </w:r>
      <w:proofErr w:type="spellStart"/>
      <w:r w:rsidRPr="00B93EE1">
        <w:t>NZTE</w:t>
      </w:r>
      <w:proofErr w:type="spellEnd"/>
      <w:r w:rsidRPr="00927DD0">
        <w:rPr>
          <w:szCs w:val="20"/>
        </w:rPr>
        <w:t xml:space="preserve"> and</w:t>
      </w:r>
      <w:r w:rsidRPr="00B93EE1">
        <w:t xml:space="preserve"> include, </w:t>
      </w:r>
      <w:r w:rsidRPr="00927DD0">
        <w:rPr>
          <w:i/>
          <w:iCs/>
        </w:rPr>
        <w:t>inter alia</w:t>
      </w:r>
      <w:r w:rsidRPr="00B93EE1">
        <w:t xml:space="preserve">, the Strategic Investment Fund (SIF), which facilitates feasibility studies of potential investment projects benefiting New Zealand. The SIF is a co-funding grant based on a fund of NZD 1,204 million, and is available to both domestic and foreign firms looking to establish or expand significant business operations in New Zealand, as well as to domestic companies considering significant overseas investments. The authorities further indicate that to ensure that </w:t>
      </w:r>
      <w:proofErr w:type="spellStart"/>
      <w:r w:rsidRPr="00B93EE1">
        <w:t>NZTE</w:t>
      </w:r>
      <w:proofErr w:type="spellEnd"/>
      <w:r w:rsidRPr="00B93EE1">
        <w:t xml:space="preserve"> generates a net economic benefit for New Zealand, initiatives to assist firms' outward investment must lead to benefits in addition to those that would flow on from firms undertaking the investment without assistance.</w:t>
      </w:r>
    </w:p>
    <w:p w14:paraId="2A3DE69B" w14:textId="77777777" w:rsidR="00120717" w:rsidRPr="00F64A35" w:rsidRDefault="00120717" w:rsidP="00E232D9">
      <w:pPr>
        <w:pStyle w:val="Heading1"/>
      </w:pPr>
      <w:bookmarkStart w:id="67" w:name="_Toc97800133"/>
      <w:r w:rsidRPr="00B93EE1">
        <w:lastRenderedPageBreak/>
        <w:t>TRADE POLICIES AND PRACTICES BY MEASURE</w:t>
      </w:r>
      <w:bookmarkEnd w:id="67"/>
    </w:p>
    <w:p w14:paraId="23C496FC" w14:textId="77777777" w:rsidR="00120717" w:rsidRPr="00F64A35" w:rsidRDefault="00120717" w:rsidP="00E962FF">
      <w:pPr>
        <w:pStyle w:val="Heading2"/>
        <w:numPr>
          <w:ilvl w:val="1"/>
          <w:numId w:val="24"/>
        </w:numPr>
      </w:pPr>
      <w:bookmarkStart w:id="68" w:name="_Toc97800134"/>
      <w:r w:rsidRPr="00B93EE1">
        <w:t>Measures Directly Affecting Imports</w:t>
      </w:r>
      <w:bookmarkEnd w:id="68"/>
    </w:p>
    <w:p w14:paraId="47E110BF" w14:textId="77777777" w:rsidR="00120717" w:rsidRPr="00F64A35" w:rsidRDefault="00120717" w:rsidP="00E962FF">
      <w:pPr>
        <w:pStyle w:val="Heading3"/>
        <w:numPr>
          <w:ilvl w:val="2"/>
          <w:numId w:val="25"/>
        </w:numPr>
      </w:pPr>
      <w:bookmarkStart w:id="69" w:name="_Toc53058185"/>
      <w:bookmarkStart w:id="70" w:name="_Toc97800135"/>
      <w:r w:rsidRPr="00B93EE1">
        <w:t>Customs procedures, valuation, and requirements</w:t>
      </w:r>
      <w:bookmarkEnd w:id="69"/>
      <w:bookmarkEnd w:id="70"/>
    </w:p>
    <w:p w14:paraId="204C4901" w14:textId="77777777" w:rsidR="00120717" w:rsidRPr="00F64A35" w:rsidRDefault="00120717" w:rsidP="00185006">
      <w:pPr>
        <w:pStyle w:val="BodyText"/>
      </w:pPr>
      <w:r w:rsidRPr="00B93EE1">
        <w:t>There have been some significant changes in New Zealand's customs legislation since its last Review. Import procedures, including customs valuation regulations and appeal mechanisms are now regulated through the Customs and Excise Act 2018 that replaced the Customs and Excise Act 1996.</w:t>
      </w:r>
      <w:r w:rsidRPr="00B93EE1">
        <w:rPr>
          <w:vertAlign w:val="superscript"/>
        </w:rPr>
        <w:footnoteReference w:id="127"/>
      </w:r>
      <w:r w:rsidRPr="00B93EE1">
        <w:t xml:space="preserve"> The 2018 Act, which came into effect on 1 October 2018, is more transparent and provides for a number of new services and better support compliance. It also promotes economic growth by making it easier for traders to do business and supports greater information sharing between the New Zealand Customs Service (</w:t>
      </w:r>
      <w:proofErr w:type="spellStart"/>
      <w:r w:rsidRPr="00B93EE1">
        <w:t>NZCS</w:t>
      </w:r>
      <w:proofErr w:type="spellEnd"/>
      <w:r w:rsidRPr="00B93EE1">
        <w:t>) and other agencies. A comparison guide shows the difference between the 1996 and 2018 Acts.</w:t>
      </w:r>
      <w:r w:rsidRPr="00B93EE1">
        <w:rPr>
          <w:vertAlign w:val="superscript"/>
        </w:rPr>
        <w:footnoteReference w:id="128"/>
      </w:r>
      <w:r w:rsidRPr="00B93EE1">
        <w:t xml:space="preserve"> For example, there is now the provision requiring the broker or importer to be a fit and proper person. Registration approval can now be suspended or revoked.</w:t>
      </w:r>
    </w:p>
    <w:p w14:paraId="29996822" w14:textId="77777777" w:rsidR="00120717" w:rsidRPr="00F64A35" w:rsidRDefault="00120717" w:rsidP="00185006">
      <w:pPr>
        <w:pStyle w:val="BodyText"/>
      </w:pPr>
      <w:r w:rsidRPr="00B93EE1">
        <w:t xml:space="preserve">The </w:t>
      </w:r>
      <w:proofErr w:type="spellStart"/>
      <w:r w:rsidRPr="00B93EE1">
        <w:t>NZCS</w:t>
      </w:r>
      <w:proofErr w:type="spellEnd"/>
      <w:r w:rsidRPr="00B93EE1">
        <w:t xml:space="preserve"> continues to be responsible for customs procedures, security of the national border, as well as collection and administration of all duties and taxes collected at the border.</w:t>
      </w:r>
      <w:r w:rsidRPr="00B93EE1">
        <w:rPr>
          <w:vertAlign w:val="superscript"/>
        </w:rPr>
        <w:footnoteReference w:id="129"/>
      </w:r>
      <w:r w:rsidRPr="00B93EE1">
        <w:t xml:space="preserve"> It requires that customs procedures be undertaken electronically for consignments valued at NZD 1,000 or more (import lodgement) for which full details of the goods to be imported, including the classification of the goods under "The Working Tariff Document of New Zealand", are needed. Import entry clearance must be lodged no later than 20 days </w:t>
      </w:r>
      <w:r w:rsidRPr="00B93EE1">
        <w:rPr>
          <w:bCs/>
        </w:rPr>
        <w:t>after</w:t>
      </w:r>
      <w:r w:rsidRPr="00B93EE1">
        <w:t xml:space="preserve"> the date of importation. In practice, most entries are lodged in advance of arrival. Some goods are exempt from import entry requirements, including postal articles when no duty is payable. Goods valued at less than NZD 1,000 can be entered using a simplified entry request procedure or can be cleared for entry based on electronic cargo information, which can include multiple consignments on a manifest. Duty is not collected on imported goods when the value of goods is less than or equal to NZD 1,000. This waiver does not apply to tobacco and alcohol beverages.</w:t>
      </w:r>
    </w:p>
    <w:p w14:paraId="7D3C9FBD" w14:textId="77777777" w:rsidR="00120717" w:rsidRPr="00F64A35" w:rsidRDefault="00120717" w:rsidP="00185006">
      <w:pPr>
        <w:pStyle w:val="BodyText"/>
      </w:pPr>
      <w:r w:rsidRPr="00B93EE1">
        <w:t xml:space="preserve">There are no specific requirements to become an importer in New Zealand. However, depending on the nature of goods, prior to importation, consent may be required from various government agencies such as </w:t>
      </w:r>
      <w:proofErr w:type="spellStart"/>
      <w:r w:rsidRPr="00B93EE1">
        <w:t>NZCS</w:t>
      </w:r>
      <w:proofErr w:type="spellEnd"/>
      <w:r w:rsidRPr="00B93EE1">
        <w:t>, the Ministry for Primary Industries (</w:t>
      </w:r>
      <w:proofErr w:type="spellStart"/>
      <w:r w:rsidRPr="00B93EE1">
        <w:t>MPI</w:t>
      </w:r>
      <w:proofErr w:type="spellEnd"/>
      <w:r w:rsidRPr="00B93EE1">
        <w:t xml:space="preserve">), the New Zealand Transport Agency, and the Ministry of Health. Food importers must register with the </w:t>
      </w:r>
      <w:proofErr w:type="spellStart"/>
      <w:r w:rsidRPr="00B93EE1">
        <w:t>MPI</w:t>
      </w:r>
      <w:proofErr w:type="spellEnd"/>
      <w:r w:rsidRPr="00B93EE1">
        <w:t>.</w:t>
      </w:r>
    </w:p>
    <w:p w14:paraId="19C90921" w14:textId="77777777" w:rsidR="00120717" w:rsidRPr="00F64A35" w:rsidRDefault="00120717" w:rsidP="00185006">
      <w:pPr>
        <w:pStyle w:val="BodyText"/>
      </w:pPr>
      <w:r w:rsidRPr="00B93EE1">
        <w:t xml:space="preserve">The </w:t>
      </w:r>
      <w:proofErr w:type="spellStart"/>
      <w:r w:rsidRPr="00B93EE1">
        <w:t>NZCS</w:t>
      </w:r>
      <w:proofErr w:type="spellEnd"/>
      <w:r w:rsidRPr="00B93EE1">
        <w:t xml:space="preserve"> has been working on improving the Trade Single Window (</w:t>
      </w:r>
      <w:proofErr w:type="spellStart"/>
      <w:r w:rsidRPr="00B93EE1">
        <w:t>TSW</w:t>
      </w:r>
      <w:proofErr w:type="spellEnd"/>
      <w:r w:rsidRPr="00B93EE1">
        <w:t xml:space="preserve">) platform. The </w:t>
      </w:r>
      <w:proofErr w:type="spellStart"/>
      <w:r w:rsidRPr="00B93EE1">
        <w:t>TSW</w:t>
      </w:r>
      <w:proofErr w:type="spellEnd"/>
      <w:r w:rsidRPr="00B93EE1">
        <w:t xml:space="preserve"> platform now has additional features for carriers, including import, export, and excise declarations. The system now has inward and outward cargo reports. The </w:t>
      </w:r>
      <w:proofErr w:type="spellStart"/>
      <w:r w:rsidRPr="00B93EE1">
        <w:t>NZCS</w:t>
      </w:r>
      <w:proofErr w:type="spellEnd"/>
      <w:r w:rsidRPr="00B93EE1">
        <w:t xml:space="preserve"> has also moved into introducing </w:t>
      </w:r>
      <w:proofErr w:type="spellStart"/>
      <w:r w:rsidRPr="00B93EE1">
        <w:t>TSW</w:t>
      </w:r>
      <w:proofErr w:type="spellEnd"/>
      <w:r w:rsidRPr="00B93EE1">
        <w:t xml:space="preserve"> electronic delivery notifications.</w:t>
      </w:r>
      <w:r w:rsidRPr="00B93EE1">
        <w:rPr>
          <w:vertAlign w:val="superscript"/>
        </w:rPr>
        <w:footnoteReference w:id="130"/>
      </w:r>
      <w:r w:rsidRPr="00B93EE1">
        <w:rPr>
          <w:sz w:val="20"/>
        </w:rPr>
        <w:t xml:space="preserve"> </w:t>
      </w:r>
      <w:r w:rsidRPr="00B93EE1">
        <w:t xml:space="preserve">In 2020, customs introduced an electronic delivery order messaging process where importers, exporters, brokers, and freight forwarders received an electronic message from the </w:t>
      </w:r>
      <w:proofErr w:type="spellStart"/>
      <w:r w:rsidRPr="00B93EE1">
        <w:t>NZCS</w:t>
      </w:r>
      <w:proofErr w:type="spellEnd"/>
      <w:r w:rsidRPr="00B93EE1">
        <w:t xml:space="preserve"> and the </w:t>
      </w:r>
      <w:proofErr w:type="spellStart"/>
      <w:r w:rsidRPr="00B93EE1">
        <w:t>MPI</w:t>
      </w:r>
      <w:proofErr w:type="spellEnd"/>
      <w:r w:rsidRPr="00B93EE1">
        <w:t xml:space="preserve"> advising of delivery. Paper-based delivery orders are no longer accepted.</w:t>
      </w:r>
    </w:p>
    <w:p w14:paraId="506FE704" w14:textId="2C58F07A" w:rsidR="00120717" w:rsidRPr="00F64A35" w:rsidRDefault="00120717" w:rsidP="00371316">
      <w:pPr>
        <w:pStyle w:val="BodyText"/>
      </w:pPr>
      <w:r w:rsidRPr="00B93EE1">
        <w:t>T</w:t>
      </w:r>
      <w:r w:rsidRPr="00B93EE1">
        <w:rPr>
          <w:szCs w:val="16"/>
        </w:rPr>
        <w:t>he type and volume of goods crossing the border have changed significantly since the last Review in 2015</w:t>
      </w:r>
      <w:r w:rsidRPr="00B93EE1">
        <w:t xml:space="preserve">. As a result, the </w:t>
      </w:r>
      <w:proofErr w:type="spellStart"/>
      <w:r w:rsidRPr="00B93EE1">
        <w:t>NZ</w:t>
      </w:r>
      <w:r w:rsidR="00D846DD">
        <w:t>C</w:t>
      </w:r>
      <w:r w:rsidRPr="00B93EE1">
        <w:t>S</w:t>
      </w:r>
      <w:proofErr w:type="spellEnd"/>
      <w:r w:rsidRPr="00B93EE1">
        <w:t xml:space="preserve"> conducted a review of customs goods clearance fees for imported and exported goods in 2019. </w:t>
      </w:r>
      <w:bookmarkStart w:id="73" w:name="_Hlk89849600"/>
      <w:r w:rsidRPr="00B93EE1">
        <w:t>Table 3.1 shows the reviewed fees that have applied since 1 July 2021, reflecting the costs incurred in clearing goods and risk identification arising from sea and air cargo.</w:t>
      </w:r>
      <w:bookmarkEnd w:id="73"/>
    </w:p>
    <w:p w14:paraId="6FFE6ED9" w14:textId="5B464D1E" w:rsidR="00120717" w:rsidRPr="00B93EE1" w:rsidRDefault="00BB55A0" w:rsidP="00BB55A0">
      <w:pPr>
        <w:pStyle w:val="Caption"/>
      </w:pPr>
      <w:bookmarkStart w:id="74" w:name="_Toc97793387"/>
      <w:r>
        <w:lastRenderedPageBreak/>
        <w:t xml:space="preserve">Table </w:t>
      </w:r>
      <w:r w:rsidR="0012793B">
        <w:fldChar w:fldCharType="begin"/>
      </w:r>
      <w:r w:rsidR="0012793B">
        <w:instrText xml:space="preserve"> STYLEREF 1 \s </w:instrText>
      </w:r>
      <w:r w:rsidR="0012793B">
        <w:fldChar w:fldCharType="separate"/>
      </w:r>
      <w:r w:rsidR="00D37A97">
        <w:rPr>
          <w:noProof/>
        </w:rPr>
        <w:t>3</w:t>
      </w:r>
      <w:r w:rsidR="0012793B">
        <w:rPr>
          <w:noProof/>
        </w:rPr>
        <w:fldChar w:fldCharType="end"/>
      </w:r>
      <w:r w:rsidR="00D37A97">
        <w:t>.</w:t>
      </w:r>
      <w:r w:rsidR="0012793B">
        <w:fldChar w:fldCharType="begin"/>
      </w:r>
      <w:r w:rsidR="0012793B">
        <w:instrText xml:space="preserve"> SEQ Table \* ARABIC \s 1 </w:instrText>
      </w:r>
      <w:r w:rsidR="0012793B">
        <w:fldChar w:fldCharType="separate"/>
      </w:r>
      <w:r w:rsidR="00D37A97">
        <w:rPr>
          <w:noProof/>
        </w:rPr>
        <w:t>1</w:t>
      </w:r>
      <w:r w:rsidR="0012793B">
        <w:rPr>
          <w:noProof/>
        </w:rPr>
        <w:fldChar w:fldCharType="end"/>
      </w:r>
      <w:r w:rsidR="00E724E6">
        <w:t xml:space="preserve"> </w:t>
      </w:r>
      <w:r w:rsidR="00120717" w:rsidRPr="00B93EE1">
        <w:t>Goods clearance fees and hourly rate, 2022</w:t>
      </w:r>
      <w:bookmarkEnd w:id="74"/>
    </w:p>
    <w:tbl>
      <w:tblPr>
        <w:tblStyle w:val="WTOTable1"/>
        <w:tblW w:w="0" w:type="auto"/>
        <w:tblLook w:val="04A0" w:firstRow="1" w:lastRow="0" w:firstColumn="1" w:lastColumn="0" w:noHBand="0" w:noVBand="1"/>
      </w:tblPr>
      <w:tblGrid>
        <w:gridCol w:w="3114"/>
        <w:gridCol w:w="3118"/>
        <w:gridCol w:w="2784"/>
      </w:tblGrid>
      <w:tr w:rsidR="00120717" w:rsidRPr="00B93EE1" w14:paraId="04EFCD5F" w14:textId="77777777" w:rsidTr="00F3410C">
        <w:trPr>
          <w:cnfStyle w:val="100000000000" w:firstRow="1" w:lastRow="0" w:firstColumn="0" w:lastColumn="0" w:oddVBand="0" w:evenVBand="0" w:oddHBand="0" w:evenHBand="0" w:firstRowFirstColumn="0" w:firstRowLastColumn="0" w:lastRowFirstColumn="0" w:lastRowLastColumn="0"/>
          <w:trHeight w:val="248"/>
        </w:trPr>
        <w:tc>
          <w:tcPr>
            <w:tcW w:w="3114" w:type="dxa"/>
            <w:vAlign w:val="center"/>
          </w:tcPr>
          <w:p w14:paraId="0EEF7857" w14:textId="77777777" w:rsidR="00120717" w:rsidRPr="00B93EE1" w:rsidRDefault="00120717" w:rsidP="00F3410C">
            <w:pPr>
              <w:pStyle w:val="BodyText"/>
              <w:keepNext/>
              <w:keepLines/>
              <w:numPr>
                <w:ilvl w:val="0"/>
                <w:numId w:val="0"/>
              </w:numPr>
              <w:spacing w:after="0"/>
              <w:jc w:val="left"/>
              <w:rPr>
                <w:b w:val="0"/>
                <w:sz w:val="16"/>
                <w:szCs w:val="16"/>
              </w:rPr>
            </w:pPr>
            <w:r w:rsidRPr="00B93EE1">
              <w:rPr>
                <w:sz w:val="16"/>
                <w:szCs w:val="16"/>
              </w:rPr>
              <w:t>Fees</w:t>
            </w:r>
          </w:p>
        </w:tc>
        <w:tc>
          <w:tcPr>
            <w:tcW w:w="3118" w:type="dxa"/>
            <w:vAlign w:val="center"/>
          </w:tcPr>
          <w:p w14:paraId="13E85EAD" w14:textId="77777777" w:rsidR="00120717" w:rsidRPr="00B93EE1" w:rsidRDefault="00120717" w:rsidP="00F3410C">
            <w:pPr>
              <w:pStyle w:val="BodyText"/>
              <w:keepNext/>
              <w:keepLines/>
              <w:numPr>
                <w:ilvl w:val="0"/>
                <w:numId w:val="0"/>
              </w:numPr>
              <w:spacing w:after="0"/>
              <w:jc w:val="left"/>
              <w:rPr>
                <w:b w:val="0"/>
                <w:sz w:val="16"/>
                <w:szCs w:val="16"/>
              </w:rPr>
            </w:pPr>
            <w:r w:rsidRPr="00B93EE1">
              <w:rPr>
                <w:sz w:val="16"/>
                <w:szCs w:val="16"/>
              </w:rPr>
              <w:t>Channel</w:t>
            </w:r>
          </w:p>
        </w:tc>
        <w:tc>
          <w:tcPr>
            <w:tcW w:w="2784" w:type="dxa"/>
            <w:vAlign w:val="center"/>
          </w:tcPr>
          <w:p w14:paraId="5484C7BF" w14:textId="77777777" w:rsidR="00120717" w:rsidRPr="00B93EE1" w:rsidRDefault="00120717" w:rsidP="00F3410C">
            <w:pPr>
              <w:pStyle w:val="BodyText"/>
              <w:keepNext/>
              <w:keepLines/>
              <w:numPr>
                <w:ilvl w:val="0"/>
                <w:numId w:val="0"/>
              </w:numPr>
              <w:spacing w:after="0"/>
              <w:ind w:right="1134"/>
              <w:jc w:val="right"/>
              <w:rPr>
                <w:b w:val="0"/>
                <w:sz w:val="16"/>
                <w:szCs w:val="16"/>
              </w:rPr>
            </w:pPr>
            <w:proofErr w:type="spellStart"/>
            <w:r w:rsidRPr="00B93EE1">
              <w:rPr>
                <w:sz w:val="16"/>
                <w:szCs w:val="16"/>
              </w:rPr>
              <w:t>NZD</w:t>
            </w:r>
            <w:r w:rsidRPr="00B93EE1">
              <w:rPr>
                <w:sz w:val="16"/>
                <w:szCs w:val="16"/>
                <w:vertAlign w:val="superscript"/>
              </w:rPr>
              <w:t>a</w:t>
            </w:r>
            <w:proofErr w:type="spellEnd"/>
          </w:p>
        </w:tc>
      </w:tr>
      <w:tr w:rsidR="00120717" w:rsidRPr="00B93EE1" w14:paraId="5CF05AF0" w14:textId="77777777" w:rsidTr="00F3410C">
        <w:trPr>
          <w:trHeight w:val="113"/>
        </w:trPr>
        <w:tc>
          <w:tcPr>
            <w:tcW w:w="3114" w:type="dxa"/>
            <w:vAlign w:val="center"/>
          </w:tcPr>
          <w:p w14:paraId="7EA666F6"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Import entry transaction fee</w:t>
            </w:r>
          </w:p>
        </w:tc>
        <w:tc>
          <w:tcPr>
            <w:tcW w:w="3118" w:type="dxa"/>
            <w:vAlign w:val="center"/>
          </w:tcPr>
          <w:p w14:paraId="50C8E713"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Any</w:t>
            </w:r>
          </w:p>
        </w:tc>
        <w:tc>
          <w:tcPr>
            <w:tcW w:w="2784" w:type="dxa"/>
            <w:vAlign w:val="center"/>
          </w:tcPr>
          <w:p w14:paraId="4655998C" w14:textId="77777777" w:rsidR="00120717" w:rsidRPr="00B93EE1" w:rsidRDefault="00120717" w:rsidP="00F3410C">
            <w:pPr>
              <w:pStyle w:val="BodyText"/>
              <w:keepNext/>
              <w:keepLines/>
              <w:numPr>
                <w:ilvl w:val="0"/>
                <w:numId w:val="0"/>
              </w:numPr>
              <w:spacing w:after="0"/>
              <w:ind w:right="1134"/>
              <w:jc w:val="right"/>
              <w:rPr>
                <w:sz w:val="16"/>
                <w:szCs w:val="16"/>
              </w:rPr>
            </w:pPr>
            <w:r w:rsidRPr="00B93EE1">
              <w:rPr>
                <w:sz w:val="16"/>
                <w:szCs w:val="16"/>
              </w:rPr>
              <w:t>33.03</w:t>
            </w:r>
          </w:p>
        </w:tc>
      </w:tr>
      <w:tr w:rsidR="00120717" w:rsidRPr="00B93EE1" w14:paraId="6C3BAC1D" w14:textId="77777777" w:rsidTr="00F3410C">
        <w:trPr>
          <w:cnfStyle w:val="000000010000" w:firstRow="0" w:lastRow="0" w:firstColumn="0" w:lastColumn="0" w:oddVBand="0" w:evenVBand="0" w:oddHBand="0" w:evenHBand="1" w:firstRowFirstColumn="0" w:firstRowLastColumn="0" w:lastRowFirstColumn="0" w:lastRowLastColumn="0"/>
          <w:trHeight w:val="113"/>
        </w:trPr>
        <w:tc>
          <w:tcPr>
            <w:tcW w:w="3114" w:type="dxa"/>
            <w:vAlign w:val="center"/>
          </w:tcPr>
          <w:p w14:paraId="0BDD832E"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Inward cargo transaction fee</w:t>
            </w:r>
          </w:p>
        </w:tc>
        <w:tc>
          <w:tcPr>
            <w:tcW w:w="3118" w:type="dxa"/>
            <w:vAlign w:val="center"/>
          </w:tcPr>
          <w:p w14:paraId="4BFE34F5"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Air</w:t>
            </w:r>
          </w:p>
          <w:p w14:paraId="72426C26"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Sea</w:t>
            </w:r>
          </w:p>
        </w:tc>
        <w:tc>
          <w:tcPr>
            <w:tcW w:w="2784" w:type="dxa"/>
            <w:vAlign w:val="center"/>
          </w:tcPr>
          <w:p w14:paraId="793BE324" w14:textId="77777777" w:rsidR="00120717" w:rsidRPr="00B93EE1" w:rsidRDefault="00120717" w:rsidP="00F3410C">
            <w:pPr>
              <w:pStyle w:val="BodyText"/>
              <w:keepNext/>
              <w:keepLines/>
              <w:numPr>
                <w:ilvl w:val="0"/>
                <w:numId w:val="0"/>
              </w:numPr>
              <w:spacing w:after="0"/>
              <w:ind w:right="1134"/>
              <w:jc w:val="right"/>
              <w:rPr>
                <w:sz w:val="16"/>
                <w:szCs w:val="16"/>
              </w:rPr>
            </w:pPr>
            <w:r w:rsidRPr="00B93EE1">
              <w:rPr>
                <w:sz w:val="16"/>
                <w:szCs w:val="16"/>
              </w:rPr>
              <w:t>77.00</w:t>
            </w:r>
          </w:p>
          <w:p w14:paraId="0985C74E" w14:textId="77777777" w:rsidR="00120717" w:rsidRPr="00B93EE1" w:rsidRDefault="00120717" w:rsidP="00F3410C">
            <w:pPr>
              <w:pStyle w:val="BodyText"/>
              <w:keepNext/>
              <w:keepLines/>
              <w:numPr>
                <w:ilvl w:val="0"/>
                <w:numId w:val="0"/>
              </w:numPr>
              <w:spacing w:after="0"/>
              <w:ind w:right="1134"/>
              <w:jc w:val="right"/>
              <w:rPr>
                <w:sz w:val="16"/>
                <w:szCs w:val="16"/>
              </w:rPr>
            </w:pPr>
            <w:r w:rsidRPr="00B93EE1">
              <w:rPr>
                <w:sz w:val="16"/>
                <w:szCs w:val="16"/>
              </w:rPr>
              <w:t>520.00</w:t>
            </w:r>
          </w:p>
        </w:tc>
      </w:tr>
      <w:tr w:rsidR="00120717" w:rsidRPr="00B93EE1" w14:paraId="0C19A39C" w14:textId="77777777" w:rsidTr="00F3410C">
        <w:trPr>
          <w:trHeight w:val="113"/>
        </w:trPr>
        <w:tc>
          <w:tcPr>
            <w:tcW w:w="3114" w:type="dxa"/>
            <w:vAlign w:val="center"/>
          </w:tcPr>
          <w:p w14:paraId="4846B7E4"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Export entry transaction fee</w:t>
            </w:r>
          </w:p>
        </w:tc>
        <w:tc>
          <w:tcPr>
            <w:tcW w:w="3118" w:type="dxa"/>
            <w:vAlign w:val="center"/>
          </w:tcPr>
          <w:p w14:paraId="5C097A45"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Secure exports scheme</w:t>
            </w:r>
          </w:p>
          <w:p w14:paraId="72A49E1A"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Other exports</w:t>
            </w:r>
          </w:p>
        </w:tc>
        <w:tc>
          <w:tcPr>
            <w:tcW w:w="2784" w:type="dxa"/>
            <w:vAlign w:val="center"/>
          </w:tcPr>
          <w:p w14:paraId="30524102" w14:textId="77777777" w:rsidR="00120717" w:rsidRPr="00B93EE1" w:rsidRDefault="00120717" w:rsidP="00F3410C">
            <w:pPr>
              <w:pStyle w:val="BodyText"/>
              <w:keepNext/>
              <w:keepLines/>
              <w:numPr>
                <w:ilvl w:val="0"/>
                <w:numId w:val="0"/>
              </w:numPr>
              <w:spacing w:after="0"/>
              <w:ind w:right="1134"/>
              <w:jc w:val="right"/>
              <w:rPr>
                <w:sz w:val="16"/>
                <w:szCs w:val="16"/>
              </w:rPr>
            </w:pPr>
            <w:r w:rsidRPr="00B93EE1">
              <w:rPr>
                <w:sz w:val="16"/>
                <w:szCs w:val="16"/>
              </w:rPr>
              <w:t>3.27</w:t>
            </w:r>
          </w:p>
          <w:p w14:paraId="5E94C36A" w14:textId="77777777" w:rsidR="00120717" w:rsidRPr="00B93EE1" w:rsidRDefault="00120717" w:rsidP="00F3410C">
            <w:pPr>
              <w:pStyle w:val="BodyText"/>
              <w:keepNext/>
              <w:keepLines/>
              <w:numPr>
                <w:ilvl w:val="0"/>
                <w:numId w:val="0"/>
              </w:numPr>
              <w:spacing w:after="0"/>
              <w:ind w:right="1134"/>
              <w:jc w:val="right"/>
              <w:rPr>
                <w:sz w:val="16"/>
                <w:szCs w:val="16"/>
              </w:rPr>
            </w:pPr>
            <w:r w:rsidRPr="00B93EE1">
              <w:rPr>
                <w:sz w:val="16"/>
                <w:szCs w:val="16"/>
              </w:rPr>
              <w:t>6.82</w:t>
            </w:r>
          </w:p>
        </w:tc>
      </w:tr>
      <w:tr w:rsidR="00120717" w:rsidRPr="00B93EE1" w14:paraId="653BB1F8" w14:textId="77777777" w:rsidTr="00F3410C">
        <w:trPr>
          <w:cnfStyle w:val="000000010000" w:firstRow="0" w:lastRow="0" w:firstColumn="0" w:lastColumn="0" w:oddVBand="0" w:evenVBand="0" w:oddHBand="0" w:evenHBand="1" w:firstRowFirstColumn="0" w:firstRowLastColumn="0" w:lastRowFirstColumn="0" w:lastRowLastColumn="0"/>
          <w:trHeight w:val="113"/>
        </w:trPr>
        <w:tc>
          <w:tcPr>
            <w:tcW w:w="3114" w:type="dxa"/>
            <w:vAlign w:val="center"/>
          </w:tcPr>
          <w:p w14:paraId="4EA652F1"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Outward cargo transaction fee</w:t>
            </w:r>
          </w:p>
        </w:tc>
        <w:tc>
          <w:tcPr>
            <w:tcW w:w="3118" w:type="dxa"/>
            <w:vAlign w:val="center"/>
          </w:tcPr>
          <w:p w14:paraId="5DC8B506"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Cargo report export (Air)</w:t>
            </w:r>
          </w:p>
          <w:p w14:paraId="77D5A056"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Outward cargo report (Air)</w:t>
            </w:r>
          </w:p>
          <w:p w14:paraId="5974F86E"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Cargo report export (Sea)</w:t>
            </w:r>
          </w:p>
          <w:p w14:paraId="776B7118"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Outward cargo report (Sea)</w:t>
            </w:r>
          </w:p>
        </w:tc>
        <w:tc>
          <w:tcPr>
            <w:tcW w:w="2784" w:type="dxa"/>
            <w:vAlign w:val="center"/>
          </w:tcPr>
          <w:p w14:paraId="6FDE9D74" w14:textId="77777777" w:rsidR="00120717" w:rsidRPr="00B93EE1" w:rsidRDefault="00120717" w:rsidP="00F3410C">
            <w:pPr>
              <w:pStyle w:val="BodyText"/>
              <w:keepNext/>
              <w:keepLines/>
              <w:numPr>
                <w:ilvl w:val="0"/>
                <w:numId w:val="0"/>
              </w:numPr>
              <w:spacing w:after="0"/>
              <w:ind w:right="1134"/>
              <w:jc w:val="right"/>
              <w:rPr>
                <w:sz w:val="16"/>
                <w:szCs w:val="16"/>
              </w:rPr>
            </w:pPr>
            <w:r w:rsidRPr="00B93EE1">
              <w:rPr>
                <w:sz w:val="16"/>
                <w:szCs w:val="16"/>
              </w:rPr>
              <w:t>40.00</w:t>
            </w:r>
          </w:p>
          <w:p w14:paraId="4A4B4F2B" w14:textId="77777777" w:rsidR="00120717" w:rsidRPr="00B93EE1" w:rsidRDefault="00120717" w:rsidP="00F3410C">
            <w:pPr>
              <w:pStyle w:val="BodyText"/>
              <w:keepNext/>
              <w:keepLines/>
              <w:numPr>
                <w:ilvl w:val="0"/>
                <w:numId w:val="0"/>
              </w:numPr>
              <w:spacing w:after="0"/>
              <w:ind w:right="1134"/>
              <w:jc w:val="right"/>
              <w:rPr>
                <w:sz w:val="16"/>
                <w:szCs w:val="16"/>
              </w:rPr>
            </w:pPr>
            <w:r w:rsidRPr="00B93EE1">
              <w:rPr>
                <w:sz w:val="16"/>
                <w:szCs w:val="16"/>
              </w:rPr>
              <w:t>14.35</w:t>
            </w:r>
          </w:p>
          <w:p w14:paraId="46291158" w14:textId="77777777" w:rsidR="00120717" w:rsidRPr="00B93EE1" w:rsidRDefault="00120717" w:rsidP="00F3410C">
            <w:pPr>
              <w:pStyle w:val="BodyText"/>
              <w:keepNext/>
              <w:keepLines/>
              <w:numPr>
                <w:ilvl w:val="0"/>
                <w:numId w:val="0"/>
              </w:numPr>
              <w:spacing w:after="0"/>
              <w:ind w:right="1134"/>
              <w:jc w:val="right"/>
              <w:rPr>
                <w:sz w:val="16"/>
                <w:szCs w:val="16"/>
              </w:rPr>
            </w:pPr>
            <w:r w:rsidRPr="00B93EE1">
              <w:rPr>
                <w:sz w:val="16"/>
                <w:szCs w:val="16"/>
              </w:rPr>
              <w:t>5.57</w:t>
            </w:r>
          </w:p>
          <w:p w14:paraId="308B25F3" w14:textId="77777777" w:rsidR="00120717" w:rsidRPr="00B93EE1" w:rsidRDefault="00120717" w:rsidP="00F3410C">
            <w:pPr>
              <w:pStyle w:val="BodyText"/>
              <w:keepNext/>
              <w:keepLines/>
              <w:numPr>
                <w:ilvl w:val="0"/>
                <w:numId w:val="0"/>
              </w:numPr>
              <w:spacing w:after="0"/>
              <w:ind w:right="1134"/>
              <w:jc w:val="right"/>
              <w:rPr>
                <w:sz w:val="16"/>
                <w:szCs w:val="16"/>
              </w:rPr>
            </w:pPr>
            <w:r w:rsidRPr="00B93EE1">
              <w:rPr>
                <w:sz w:val="16"/>
                <w:szCs w:val="16"/>
              </w:rPr>
              <w:t>18.59</w:t>
            </w:r>
          </w:p>
        </w:tc>
      </w:tr>
      <w:tr w:rsidR="00120717" w:rsidRPr="00B93EE1" w14:paraId="384EE8B1" w14:textId="77777777" w:rsidTr="00F3410C">
        <w:trPr>
          <w:trHeight w:val="113"/>
        </w:trPr>
        <w:tc>
          <w:tcPr>
            <w:tcW w:w="3114" w:type="dxa"/>
            <w:vAlign w:val="center"/>
          </w:tcPr>
          <w:p w14:paraId="3E275701"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Customs rate for officers time outside of working hours of customs</w:t>
            </w:r>
          </w:p>
        </w:tc>
        <w:tc>
          <w:tcPr>
            <w:tcW w:w="3118" w:type="dxa"/>
            <w:vAlign w:val="center"/>
          </w:tcPr>
          <w:p w14:paraId="06418806"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Fee</w:t>
            </w:r>
          </w:p>
        </w:tc>
        <w:tc>
          <w:tcPr>
            <w:tcW w:w="2784" w:type="dxa"/>
            <w:vAlign w:val="center"/>
          </w:tcPr>
          <w:p w14:paraId="1B0C0CAC" w14:textId="77777777" w:rsidR="00120717" w:rsidRPr="00B93EE1" w:rsidRDefault="00120717" w:rsidP="00F3410C">
            <w:pPr>
              <w:pStyle w:val="BodyText"/>
              <w:keepNext/>
              <w:keepLines/>
              <w:numPr>
                <w:ilvl w:val="0"/>
                <w:numId w:val="0"/>
              </w:numPr>
              <w:spacing w:after="0"/>
              <w:jc w:val="left"/>
              <w:rPr>
                <w:sz w:val="16"/>
                <w:szCs w:val="16"/>
              </w:rPr>
            </w:pPr>
            <w:r w:rsidRPr="00B93EE1">
              <w:rPr>
                <w:sz w:val="16"/>
                <w:szCs w:val="16"/>
              </w:rPr>
              <w:t>399.00 plus 133.00 per hour or portion in excess of 3 hours</w:t>
            </w:r>
          </w:p>
        </w:tc>
      </w:tr>
    </w:tbl>
    <w:p w14:paraId="4641AFB5" w14:textId="77777777" w:rsidR="00120717" w:rsidRPr="00B93EE1" w:rsidRDefault="00120717" w:rsidP="00062AA5">
      <w:pPr>
        <w:pStyle w:val="NoteText"/>
        <w:spacing w:before="120"/>
      </w:pPr>
      <w:proofErr w:type="spellStart"/>
      <w:r w:rsidRPr="00B93EE1">
        <w:t>a</w:t>
      </w:r>
      <w:proofErr w:type="spellEnd"/>
      <w:r w:rsidRPr="00B93EE1">
        <w:tab/>
        <w:t>Including Goods and Services Tax (GST).</w:t>
      </w:r>
    </w:p>
    <w:p w14:paraId="60FE91B0" w14:textId="77777777" w:rsidR="00120717" w:rsidRPr="00B93EE1" w:rsidRDefault="00120717" w:rsidP="00062AA5">
      <w:pPr>
        <w:pStyle w:val="NoteText"/>
        <w:spacing w:before="120" w:after="240"/>
      </w:pPr>
      <w:r w:rsidRPr="00B93EE1">
        <w:t>Source:</w:t>
      </w:r>
      <w:r w:rsidRPr="00B93EE1">
        <w:tab/>
        <w:t>Information provided by the authorities.</w:t>
      </w:r>
    </w:p>
    <w:p w14:paraId="2127EC19" w14:textId="77777777" w:rsidR="00120717" w:rsidRPr="00F64A35" w:rsidRDefault="00120717" w:rsidP="00185006">
      <w:pPr>
        <w:pStyle w:val="BodyText"/>
      </w:pPr>
      <w:r w:rsidRPr="00B93EE1">
        <w:t>According to the World Bank, in 2020 the time needed to import goods from New Zealand was 25 hours at a cost of USD 367, compared to an average of 8.5 hours and USD 98.1, respectively, for OECD high-income countries.</w:t>
      </w:r>
      <w:r w:rsidRPr="00B93EE1">
        <w:rPr>
          <w:vertAlign w:val="superscript"/>
        </w:rPr>
        <w:footnoteReference w:id="131"/>
      </w:r>
      <w:r w:rsidRPr="00B93EE1">
        <w:t xml:space="preserve"> The </w:t>
      </w:r>
      <w:proofErr w:type="spellStart"/>
      <w:r w:rsidRPr="00B93EE1">
        <w:rPr>
          <w:iCs/>
          <w:szCs w:val="18"/>
        </w:rPr>
        <w:t>NZCS's</w:t>
      </w:r>
      <w:proofErr w:type="spellEnd"/>
      <w:r w:rsidRPr="00B93EE1">
        <w:rPr>
          <w:iCs/>
          <w:szCs w:val="18"/>
        </w:rPr>
        <w:t xml:space="preserve"> measure for 2020/21 for the actual minimum clearance percentage of transactions (other than those referred for compliance checks) processed (including assessment against business rules and intelligence alerts) within 30 minutes is 99.3%. Further, the minimum percentage of import transactions that are deemed compliant based on risk assessment and proceed without further intervention is 99.1%.</w:t>
      </w:r>
      <w:r w:rsidRPr="00B93EE1">
        <w:rPr>
          <w:rStyle w:val="FootnoteReference"/>
          <w:iCs/>
          <w:szCs w:val="18"/>
        </w:rPr>
        <w:footnoteReference w:id="132"/>
      </w:r>
    </w:p>
    <w:p w14:paraId="139948C9" w14:textId="77777777" w:rsidR="00120717" w:rsidRPr="00F64A35" w:rsidRDefault="00120717" w:rsidP="00185006">
      <w:pPr>
        <w:pStyle w:val="BodyText"/>
      </w:pPr>
      <w:r w:rsidRPr="00B93EE1">
        <w:t>According to the World Customs Organization (</w:t>
      </w:r>
      <w:proofErr w:type="spellStart"/>
      <w:r w:rsidRPr="00B93EE1">
        <w:t>WCO</w:t>
      </w:r>
      <w:proofErr w:type="spellEnd"/>
      <w:r w:rsidRPr="00B93EE1">
        <w:t>), New Zealand has a modern and well</w:t>
      </w:r>
      <w:r w:rsidRPr="00B93EE1">
        <w:noBreakHyphen/>
        <w:t>developed cargo reporting system and customs clearance processes combined with risk management. Cargo is reported electronically and in advance of arrival. The cargo reporting information is electronically risk-assessed and, if accepted, cleared by customs, often before arrival of the vessel carrying that cargo. Payment of any duty and tax is by deferred payment account or cash.</w:t>
      </w:r>
      <w:r w:rsidRPr="00B93EE1">
        <w:rPr>
          <w:vertAlign w:val="superscript"/>
        </w:rPr>
        <w:footnoteReference w:id="133"/>
      </w:r>
    </w:p>
    <w:p w14:paraId="7A8A085B" w14:textId="77777777" w:rsidR="00120717" w:rsidRPr="00F64A35" w:rsidRDefault="00120717" w:rsidP="00185006">
      <w:pPr>
        <w:pStyle w:val="BodyText"/>
      </w:pPr>
      <w:r w:rsidRPr="00B93EE1">
        <w:t xml:space="preserve">New Zealand's risk management system is based on a standardized methodology, jointly developed with Australia for identifying and assessing risk. According to the authorities, </w:t>
      </w:r>
      <w:r w:rsidRPr="00B93EE1">
        <w:rPr>
          <w:bCs/>
        </w:rPr>
        <w:t>1</w:t>
      </w:r>
      <w:r w:rsidRPr="00B93EE1">
        <w:t xml:space="preserve">% of import transactions are subject to further compliance checks or inspection, and all compliant transactions are processed by the </w:t>
      </w:r>
      <w:proofErr w:type="spellStart"/>
      <w:r w:rsidRPr="00B93EE1">
        <w:t>NZCS</w:t>
      </w:r>
      <w:proofErr w:type="spellEnd"/>
      <w:r w:rsidRPr="00B93EE1">
        <w:t xml:space="preserve"> within 30 minutes of completion of an import declaration. The </w:t>
      </w:r>
      <w:proofErr w:type="spellStart"/>
      <w:r w:rsidRPr="00B93EE1">
        <w:t>NZCS</w:t>
      </w:r>
      <w:proofErr w:type="spellEnd"/>
      <w:r w:rsidRPr="00B93EE1">
        <w:t xml:space="preserve"> does not maintain an Authorized Economic Operator (</w:t>
      </w:r>
      <w:proofErr w:type="spellStart"/>
      <w:r w:rsidRPr="00B93EE1">
        <w:t>AEO</w:t>
      </w:r>
      <w:proofErr w:type="spellEnd"/>
      <w:r w:rsidRPr="00B93EE1">
        <w:t>) system, as the authorities seek to give simplified process to all importers.</w:t>
      </w:r>
    </w:p>
    <w:p w14:paraId="1C6F73E3" w14:textId="77777777" w:rsidR="00120717" w:rsidRPr="00F64A35" w:rsidRDefault="00120717" w:rsidP="00185006">
      <w:pPr>
        <w:pStyle w:val="BodyText"/>
      </w:pPr>
      <w:r w:rsidRPr="00B93EE1">
        <w:t xml:space="preserve">New Zealand does not maintain any </w:t>
      </w:r>
      <w:proofErr w:type="spellStart"/>
      <w:r w:rsidRPr="00B93EE1">
        <w:t>preshipment</w:t>
      </w:r>
      <w:proofErr w:type="spellEnd"/>
      <w:r w:rsidRPr="00B93EE1">
        <w:t xml:space="preserve"> inspection regime.</w:t>
      </w:r>
    </w:p>
    <w:p w14:paraId="7ABD836F" w14:textId="77777777" w:rsidR="00120717" w:rsidRPr="00F64A35" w:rsidRDefault="00120717" w:rsidP="00185006">
      <w:pPr>
        <w:pStyle w:val="BodyText"/>
      </w:pPr>
      <w:r w:rsidRPr="00B93EE1">
        <w:t>Customs valuation is based on the WTO Customs Valuation Agreement. Valuation is according to the free on board (f.o.b.) value of imported goods.</w:t>
      </w:r>
      <w:r w:rsidRPr="00B93EE1">
        <w:rPr>
          <w:bCs/>
        </w:rPr>
        <w:t xml:space="preserve"> </w:t>
      </w:r>
      <w:r w:rsidRPr="00B93EE1">
        <w:t>New Zealand uses the transaction value, or the price paid or payable for the goods when sold for export to New Zealand, for calculating the value of imported goods. Where the transaction value is unavailable, identical or similar goods value, deductive value, computed value, or residual value may be used.</w:t>
      </w:r>
    </w:p>
    <w:p w14:paraId="53682D76" w14:textId="72A7C59C" w:rsidR="00120717" w:rsidRPr="00F64A35" w:rsidRDefault="00120717" w:rsidP="00185006">
      <w:pPr>
        <w:pStyle w:val="BodyText"/>
      </w:pPr>
      <w:r w:rsidRPr="00B93EE1">
        <w:t xml:space="preserve">The Customs and Excise Act 2018 introduced, </w:t>
      </w:r>
      <w:r w:rsidRPr="00B93EE1">
        <w:rPr>
          <w:i/>
          <w:iCs/>
        </w:rPr>
        <w:t>inter alia</w:t>
      </w:r>
      <w:r w:rsidRPr="00B93EE1">
        <w:t>, a provision on advanced rulings in respect of a particular set of facts or circumstances concerning the valuation of goods for the purposes of the tariff.</w:t>
      </w:r>
      <w:r w:rsidRPr="00B93EE1">
        <w:rPr>
          <w:vertAlign w:val="superscript"/>
        </w:rPr>
        <w:footnoteReference w:id="134"/>
      </w:r>
      <w:r w:rsidRPr="00B93EE1">
        <w:t xml:space="preserve"> The 2018 Act also allows for the entry of provisional value for imported goods. This measure aims to facilitate the declaration of a value for goods at the time of importation in situations where this value is subject to change post-entry, as a result of royalty payments or transfer pricing. The final customs value must be provided within a time</w:t>
      </w:r>
      <w:r w:rsidR="00A56655">
        <w:t>-</w:t>
      </w:r>
      <w:r w:rsidRPr="00B93EE1">
        <w:t xml:space="preserve">frame prescribed by </w:t>
      </w:r>
      <w:r w:rsidRPr="00B93EE1">
        <w:lastRenderedPageBreak/>
        <w:t xml:space="preserve">regulations. Duty can be refunded where the final customs value is lower than the provisional value. If the amount of duty assessed as payable is not paid by the </w:t>
      </w:r>
      <w:hyperlink r:id="rId27" w:anchor="DLM7245108" w:history="1">
        <w:r w:rsidRPr="00B93EE1">
          <w:t>due date</w:t>
        </w:r>
      </w:hyperlink>
      <w:r w:rsidRPr="00B93EE1">
        <w:t>, interest will be charged. A guide to applying for a customs valuation ruling on imported goods is available online.</w:t>
      </w:r>
      <w:r w:rsidRPr="00B93EE1">
        <w:rPr>
          <w:vertAlign w:val="superscript"/>
        </w:rPr>
        <w:footnoteReference w:id="135"/>
      </w:r>
    </w:p>
    <w:p w14:paraId="5EA4F6AF" w14:textId="77777777" w:rsidR="00120717" w:rsidRPr="00F64A35" w:rsidRDefault="00120717" w:rsidP="00185006">
      <w:pPr>
        <w:pStyle w:val="BodyText"/>
      </w:pPr>
      <w:r w:rsidRPr="00B93EE1">
        <w:t>Aggrieved importers or any other authorized person may appeal to the Customs Appeal Authority (CAA), an independent judicial body administered by the Ministry of Justice. In general, the Notice of Appeal must be filed within 20 working days from notification of a decision, and a fee of NZD 410 is applicable. With respect to goods that have been seized as forfeit, the Customs and Excise Act 1996 allows an aggrieved person to appeal to the Chief Executive of Customs in the first instance, with a right of appeal to the CAA if not satisfied with the Chief Executive's decision. If dissatisfied with the decision of the CAA, a person may appeal to the High Court. During the review period, of the 73 customs appeals (Table 3.2), 3 were taken to the High Court.</w:t>
      </w:r>
    </w:p>
    <w:p w14:paraId="79988A36" w14:textId="4C2225F6" w:rsidR="00120717" w:rsidRPr="00B93EE1" w:rsidRDefault="00BB55A0" w:rsidP="00BB55A0">
      <w:pPr>
        <w:pStyle w:val="Caption"/>
      </w:pPr>
      <w:bookmarkStart w:id="75" w:name="_Toc97793388"/>
      <w:bookmarkStart w:id="76" w:name="_Toc418783237"/>
      <w:r>
        <w:t xml:space="preserve">Table </w:t>
      </w:r>
      <w:r w:rsidR="0012793B">
        <w:fldChar w:fldCharType="begin"/>
      </w:r>
      <w:r w:rsidR="0012793B">
        <w:instrText xml:space="preserve"> STYLEREF 1 \s </w:instrText>
      </w:r>
      <w:r w:rsidR="0012793B">
        <w:fldChar w:fldCharType="separate"/>
      </w:r>
      <w:r w:rsidR="00D37A97">
        <w:rPr>
          <w:noProof/>
        </w:rPr>
        <w:t>3</w:t>
      </w:r>
      <w:r w:rsidR="0012793B">
        <w:rPr>
          <w:noProof/>
        </w:rPr>
        <w:fldChar w:fldCharType="end"/>
      </w:r>
      <w:r w:rsidR="00D37A97">
        <w:t>.</w:t>
      </w:r>
      <w:r w:rsidR="0012793B">
        <w:fldChar w:fldCharType="begin"/>
      </w:r>
      <w:r w:rsidR="0012793B">
        <w:instrText xml:space="preserve"> SEQ Table \* ARABIC \s 1 </w:instrText>
      </w:r>
      <w:r w:rsidR="0012793B">
        <w:fldChar w:fldCharType="separate"/>
      </w:r>
      <w:r w:rsidR="00D37A97">
        <w:rPr>
          <w:noProof/>
        </w:rPr>
        <w:t>2</w:t>
      </w:r>
      <w:r w:rsidR="0012793B">
        <w:rPr>
          <w:noProof/>
        </w:rPr>
        <w:fldChar w:fldCharType="end"/>
      </w:r>
      <w:r w:rsidR="00120717" w:rsidRPr="00B93EE1">
        <w:t xml:space="preserve"> Customs Appeal Authority statistics, 2015-20</w:t>
      </w:r>
      <w:bookmarkEnd w:id="75"/>
    </w:p>
    <w:bookmarkEnd w:id="76"/>
    <w:tbl>
      <w:tblPr>
        <w:tblStyle w:val="WTOTable1"/>
        <w:tblW w:w="5000" w:type="pct"/>
        <w:tblLook w:val="04A0" w:firstRow="1" w:lastRow="0" w:firstColumn="1" w:lastColumn="0" w:noHBand="0" w:noVBand="1"/>
      </w:tblPr>
      <w:tblGrid>
        <w:gridCol w:w="2142"/>
        <w:gridCol w:w="1145"/>
        <w:gridCol w:w="1147"/>
        <w:gridCol w:w="1147"/>
        <w:gridCol w:w="1145"/>
        <w:gridCol w:w="1147"/>
        <w:gridCol w:w="1143"/>
      </w:tblGrid>
      <w:tr w:rsidR="00120717" w:rsidRPr="00B93EE1" w14:paraId="0E136A0D" w14:textId="77777777" w:rsidTr="006A25C8">
        <w:trPr>
          <w:cnfStyle w:val="100000000000" w:firstRow="1" w:lastRow="0" w:firstColumn="0" w:lastColumn="0" w:oddVBand="0" w:evenVBand="0" w:oddHBand="0" w:evenHBand="0" w:firstRowFirstColumn="0" w:firstRowLastColumn="0" w:lastRowFirstColumn="0" w:lastRowLastColumn="0"/>
        </w:trPr>
        <w:tc>
          <w:tcPr>
            <w:tcW w:w="1188" w:type="pct"/>
          </w:tcPr>
          <w:p w14:paraId="6BFB365F" w14:textId="77777777" w:rsidR="00120717" w:rsidRPr="00B93EE1" w:rsidRDefault="00120717" w:rsidP="006E56F2">
            <w:pPr>
              <w:keepNext/>
              <w:keepLines/>
              <w:rPr>
                <w:b w:val="0"/>
                <w:sz w:val="16"/>
                <w:szCs w:val="16"/>
              </w:rPr>
            </w:pPr>
          </w:p>
        </w:tc>
        <w:tc>
          <w:tcPr>
            <w:tcW w:w="635" w:type="pct"/>
          </w:tcPr>
          <w:p w14:paraId="1F61C4FD" w14:textId="77777777" w:rsidR="00120717" w:rsidRPr="00B93EE1" w:rsidRDefault="00120717" w:rsidP="001662B9">
            <w:pPr>
              <w:keepNext/>
              <w:keepLines/>
              <w:jc w:val="center"/>
              <w:rPr>
                <w:b w:val="0"/>
                <w:sz w:val="16"/>
                <w:szCs w:val="16"/>
              </w:rPr>
            </w:pPr>
            <w:r w:rsidRPr="00B93EE1">
              <w:rPr>
                <w:sz w:val="16"/>
                <w:szCs w:val="16"/>
              </w:rPr>
              <w:t>2015</w:t>
            </w:r>
          </w:p>
        </w:tc>
        <w:tc>
          <w:tcPr>
            <w:tcW w:w="636" w:type="pct"/>
          </w:tcPr>
          <w:p w14:paraId="04CED5BC" w14:textId="77777777" w:rsidR="00120717" w:rsidRPr="00B93EE1" w:rsidRDefault="00120717" w:rsidP="001662B9">
            <w:pPr>
              <w:keepNext/>
              <w:keepLines/>
              <w:jc w:val="center"/>
              <w:rPr>
                <w:b w:val="0"/>
                <w:sz w:val="16"/>
                <w:szCs w:val="16"/>
              </w:rPr>
            </w:pPr>
            <w:r w:rsidRPr="00B93EE1">
              <w:rPr>
                <w:sz w:val="16"/>
                <w:szCs w:val="16"/>
              </w:rPr>
              <w:t>2016</w:t>
            </w:r>
          </w:p>
        </w:tc>
        <w:tc>
          <w:tcPr>
            <w:tcW w:w="636" w:type="pct"/>
          </w:tcPr>
          <w:p w14:paraId="0DEA4D24" w14:textId="77777777" w:rsidR="00120717" w:rsidRPr="00B93EE1" w:rsidRDefault="00120717" w:rsidP="001662B9">
            <w:pPr>
              <w:keepNext/>
              <w:keepLines/>
              <w:jc w:val="center"/>
              <w:rPr>
                <w:b w:val="0"/>
                <w:sz w:val="16"/>
                <w:szCs w:val="16"/>
              </w:rPr>
            </w:pPr>
            <w:r w:rsidRPr="00B93EE1">
              <w:rPr>
                <w:sz w:val="16"/>
                <w:szCs w:val="16"/>
              </w:rPr>
              <w:t>2017</w:t>
            </w:r>
          </w:p>
        </w:tc>
        <w:tc>
          <w:tcPr>
            <w:tcW w:w="635" w:type="pct"/>
          </w:tcPr>
          <w:p w14:paraId="709E0843" w14:textId="77777777" w:rsidR="00120717" w:rsidRPr="00B93EE1" w:rsidRDefault="00120717" w:rsidP="001662B9">
            <w:pPr>
              <w:keepNext/>
              <w:keepLines/>
              <w:jc w:val="center"/>
              <w:rPr>
                <w:b w:val="0"/>
                <w:sz w:val="16"/>
                <w:szCs w:val="16"/>
              </w:rPr>
            </w:pPr>
            <w:r w:rsidRPr="00B93EE1">
              <w:rPr>
                <w:sz w:val="16"/>
                <w:szCs w:val="16"/>
              </w:rPr>
              <w:t>2018</w:t>
            </w:r>
          </w:p>
        </w:tc>
        <w:tc>
          <w:tcPr>
            <w:tcW w:w="636" w:type="pct"/>
          </w:tcPr>
          <w:p w14:paraId="79AFD64A" w14:textId="77777777" w:rsidR="00120717" w:rsidRPr="00B93EE1" w:rsidRDefault="00120717" w:rsidP="001662B9">
            <w:pPr>
              <w:keepNext/>
              <w:keepLines/>
              <w:jc w:val="center"/>
              <w:rPr>
                <w:b w:val="0"/>
                <w:sz w:val="16"/>
                <w:szCs w:val="16"/>
              </w:rPr>
            </w:pPr>
            <w:r w:rsidRPr="00B93EE1">
              <w:rPr>
                <w:sz w:val="16"/>
                <w:szCs w:val="16"/>
              </w:rPr>
              <w:t>2019</w:t>
            </w:r>
          </w:p>
        </w:tc>
        <w:tc>
          <w:tcPr>
            <w:tcW w:w="636" w:type="pct"/>
          </w:tcPr>
          <w:p w14:paraId="69BCE112" w14:textId="77777777" w:rsidR="00120717" w:rsidRPr="00B93EE1" w:rsidRDefault="00120717" w:rsidP="001662B9">
            <w:pPr>
              <w:keepNext/>
              <w:keepLines/>
              <w:jc w:val="center"/>
              <w:rPr>
                <w:b w:val="0"/>
                <w:sz w:val="16"/>
                <w:szCs w:val="16"/>
              </w:rPr>
            </w:pPr>
            <w:r w:rsidRPr="00B93EE1">
              <w:rPr>
                <w:sz w:val="16"/>
                <w:szCs w:val="16"/>
              </w:rPr>
              <w:t>2020</w:t>
            </w:r>
          </w:p>
        </w:tc>
      </w:tr>
      <w:tr w:rsidR="00120717" w:rsidRPr="00B93EE1" w14:paraId="4E062248" w14:textId="77777777" w:rsidTr="006A25C8">
        <w:tc>
          <w:tcPr>
            <w:tcW w:w="1188" w:type="pct"/>
          </w:tcPr>
          <w:p w14:paraId="19D82787" w14:textId="77777777" w:rsidR="00120717" w:rsidRPr="00B93EE1" w:rsidRDefault="00120717" w:rsidP="006E56F2">
            <w:pPr>
              <w:keepNext/>
              <w:keepLines/>
              <w:jc w:val="left"/>
              <w:rPr>
                <w:sz w:val="16"/>
                <w:szCs w:val="16"/>
              </w:rPr>
            </w:pPr>
            <w:r w:rsidRPr="00B93EE1">
              <w:rPr>
                <w:sz w:val="16"/>
                <w:szCs w:val="16"/>
              </w:rPr>
              <w:t>Number of appeals</w:t>
            </w:r>
          </w:p>
        </w:tc>
        <w:tc>
          <w:tcPr>
            <w:tcW w:w="635" w:type="pct"/>
          </w:tcPr>
          <w:p w14:paraId="14711F5E" w14:textId="77777777" w:rsidR="00120717" w:rsidRPr="00B93EE1" w:rsidRDefault="00120717" w:rsidP="001662B9">
            <w:pPr>
              <w:keepNext/>
              <w:keepLines/>
              <w:ind w:right="340"/>
              <w:jc w:val="right"/>
              <w:rPr>
                <w:sz w:val="16"/>
                <w:szCs w:val="16"/>
              </w:rPr>
            </w:pPr>
            <w:r w:rsidRPr="00B93EE1">
              <w:rPr>
                <w:sz w:val="16"/>
                <w:szCs w:val="16"/>
              </w:rPr>
              <w:t>18</w:t>
            </w:r>
          </w:p>
        </w:tc>
        <w:tc>
          <w:tcPr>
            <w:tcW w:w="636" w:type="pct"/>
          </w:tcPr>
          <w:p w14:paraId="52CD0AE6" w14:textId="77777777" w:rsidR="00120717" w:rsidRPr="00B93EE1" w:rsidRDefault="00120717" w:rsidP="001662B9">
            <w:pPr>
              <w:keepNext/>
              <w:keepLines/>
              <w:ind w:right="340"/>
              <w:jc w:val="right"/>
              <w:rPr>
                <w:sz w:val="16"/>
                <w:szCs w:val="16"/>
              </w:rPr>
            </w:pPr>
            <w:r w:rsidRPr="00B93EE1">
              <w:rPr>
                <w:sz w:val="16"/>
                <w:szCs w:val="16"/>
              </w:rPr>
              <w:t>7</w:t>
            </w:r>
          </w:p>
        </w:tc>
        <w:tc>
          <w:tcPr>
            <w:tcW w:w="636" w:type="pct"/>
          </w:tcPr>
          <w:p w14:paraId="1F280AC6" w14:textId="77777777" w:rsidR="00120717" w:rsidRPr="00B93EE1" w:rsidRDefault="00120717" w:rsidP="001662B9">
            <w:pPr>
              <w:keepNext/>
              <w:keepLines/>
              <w:ind w:right="340"/>
              <w:jc w:val="right"/>
              <w:rPr>
                <w:sz w:val="16"/>
                <w:szCs w:val="16"/>
              </w:rPr>
            </w:pPr>
            <w:r w:rsidRPr="00B93EE1">
              <w:rPr>
                <w:sz w:val="16"/>
                <w:szCs w:val="16"/>
              </w:rPr>
              <w:t>19</w:t>
            </w:r>
          </w:p>
        </w:tc>
        <w:tc>
          <w:tcPr>
            <w:tcW w:w="635" w:type="pct"/>
          </w:tcPr>
          <w:p w14:paraId="5E321303" w14:textId="77777777" w:rsidR="00120717" w:rsidRPr="00B93EE1" w:rsidRDefault="00120717" w:rsidP="001662B9">
            <w:pPr>
              <w:keepNext/>
              <w:keepLines/>
              <w:ind w:right="340"/>
              <w:jc w:val="right"/>
              <w:rPr>
                <w:sz w:val="16"/>
                <w:szCs w:val="16"/>
              </w:rPr>
            </w:pPr>
            <w:r w:rsidRPr="00B93EE1">
              <w:rPr>
                <w:sz w:val="16"/>
                <w:szCs w:val="16"/>
              </w:rPr>
              <w:t>12</w:t>
            </w:r>
          </w:p>
        </w:tc>
        <w:tc>
          <w:tcPr>
            <w:tcW w:w="636" w:type="pct"/>
          </w:tcPr>
          <w:p w14:paraId="42104610" w14:textId="77777777" w:rsidR="00120717" w:rsidRPr="00B93EE1" w:rsidRDefault="00120717" w:rsidP="001662B9">
            <w:pPr>
              <w:keepNext/>
              <w:keepLines/>
              <w:ind w:right="340"/>
              <w:jc w:val="right"/>
              <w:rPr>
                <w:sz w:val="16"/>
                <w:szCs w:val="16"/>
              </w:rPr>
            </w:pPr>
            <w:r w:rsidRPr="00B93EE1">
              <w:rPr>
                <w:sz w:val="16"/>
                <w:szCs w:val="16"/>
              </w:rPr>
              <w:t>10</w:t>
            </w:r>
          </w:p>
        </w:tc>
        <w:tc>
          <w:tcPr>
            <w:tcW w:w="636" w:type="pct"/>
          </w:tcPr>
          <w:p w14:paraId="055CA3D7" w14:textId="77777777" w:rsidR="00120717" w:rsidRPr="00B93EE1" w:rsidRDefault="00120717" w:rsidP="001662B9">
            <w:pPr>
              <w:keepNext/>
              <w:keepLines/>
              <w:ind w:right="340"/>
              <w:jc w:val="right"/>
              <w:rPr>
                <w:sz w:val="16"/>
                <w:szCs w:val="16"/>
              </w:rPr>
            </w:pPr>
            <w:r w:rsidRPr="00B93EE1">
              <w:rPr>
                <w:sz w:val="16"/>
                <w:szCs w:val="16"/>
              </w:rPr>
              <w:t>7</w:t>
            </w:r>
          </w:p>
        </w:tc>
      </w:tr>
      <w:tr w:rsidR="00120717" w:rsidRPr="00B93EE1" w14:paraId="5C6DA4F0" w14:textId="77777777" w:rsidTr="006A25C8">
        <w:trPr>
          <w:cnfStyle w:val="000000010000" w:firstRow="0" w:lastRow="0" w:firstColumn="0" w:lastColumn="0" w:oddVBand="0" w:evenVBand="0" w:oddHBand="0" w:evenHBand="1" w:firstRowFirstColumn="0" w:firstRowLastColumn="0" w:lastRowFirstColumn="0" w:lastRowLastColumn="0"/>
        </w:trPr>
        <w:tc>
          <w:tcPr>
            <w:tcW w:w="1188" w:type="pct"/>
          </w:tcPr>
          <w:p w14:paraId="5C5E0051" w14:textId="77777777" w:rsidR="00120717" w:rsidRPr="00B93EE1" w:rsidRDefault="00120717" w:rsidP="006E56F2">
            <w:pPr>
              <w:keepNext/>
              <w:keepLines/>
              <w:jc w:val="left"/>
              <w:rPr>
                <w:sz w:val="16"/>
                <w:szCs w:val="16"/>
              </w:rPr>
            </w:pPr>
            <w:r w:rsidRPr="00B93EE1">
              <w:rPr>
                <w:sz w:val="16"/>
                <w:szCs w:val="16"/>
              </w:rPr>
              <w:t>Appeals heard</w:t>
            </w:r>
          </w:p>
        </w:tc>
        <w:tc>
          <w:tcPr>
            <w:tcW w:w="635" w:type="pct"/>
          </w:tcPr>
          <w:p w14:paraId="1D3F0D4D" w14:textId="77777777" w:rsidR="00120717" w:rsidRPr="00B93EE1" w:rsidRDefault="00120717" w:rsidP="001662B9">
            <w:pPr>
              <w:keepNext/>
              <w:keepLines/>
              <w:ind w:right="340"/>
              <w:jc w:val="right"/>
              <w:rPr>
                <w:sz w:val="16"/>
                <w:szCs w:val="16"/>
              </w:rPr>
            </w:pPr>
            <w:r w:rsidRPr="00B93EE1">
              <w:rPr>
                <w:sz w:val="16"/>
                <w:szCs w:val="16"/>
              </w:rPr>
              <w:t>1</w:t>
            </w:r>
          </w:p>
        </w:tc>
        <w:tc>
          <w:tcPr>
            <w:tcW w:w="636" w:type="pct"/>
          </w:tcPr>
          <w:p w14:paraId="16EE0FB4" w14:textId="77777777" w:rsidR="00120717" w:rsidRPr="00B93EE1" w:rsidRDefault="00120717" w:rsidP="001662B9">
            <w:pPr>
              <w:keepNext/>
              <w:keepLines/>
              <w:ind w:right="340"/>
              <w:jc w:val="right"/>
              <w:rPr>
                <w:sz w:val="16"/>
                <w:szCs w:val="16"/>
              </w:rPr>
            </w:pPr>
            <w:r w:rsidRPr="00B93EE1">
              <w:rPr>
                <w:sz w:val="16"/>
                <w:szCs w:val="16"/>
              </w:rPr>
              <w:t>4</w:t>
            </w:r>
          </w:p>
        </w:tc>
        <w:tc>
          <w:tcPr>
            <w:tcW w:w="636" w:type="pct"/>
          </w:tcPr>
          <w:p w14:paraId="45DD1FDE" w14:textId="77777777" w:rsidR="00120717" w:rsidRPr="00B93EE1" w:rsidRDefault="00120717" w:rsidP="001662B9">
            <w:pPr>
              <w:keepNext/>
              <w:keepLines/>
              <w:ind w:right="340"/>
              <w:jc w:val="right"/>
              <w:rPr>
                <w:sz w:val="16"/>
                <w:szCs w:val="16"/>
              </w:rPr>
            </w:pPr>
            <w:r w:rsidRPr="00B93EE1">
              <w:rPr>
                <w:sz w:val="16"/>
                <w:szCs w:val="16"/>
              </w:rPr>
              <w:t>7</w:t>
            </w:r>
          </w:p>
        </w:tc>
        <w:tc>
          <w:tcPr>
            <w:tcW w:w="635" w:type="pct"/>
          </w:tcPr>
          <w:p w14:paraId="4F1C5952" w14:textId="77777777" w:rsidR="00120717" w:rsidRPr="00B93EE1" w:rsidRDefault="00120717" w:rsidP="001662B9">
            <w:pPr>
              <w:keepNext/>
              <w:keepLines/>
              <w:ind w:right="340"/>
              <w:jc w:val="right"/>
              <w:rPr>
                <w:sz w:val="16"/>
                <w:szCs w:val="16"/>
              </w:rPr>
            </w:pPr>
            <w:r w:rsidRPr="00B93EE1">
              <w:rPr>
                <w:sz w:val="16"/>
                <w:szCs w:val="16"/>
              </w:rPr>
              <w:t>3</w:t>
            </w:r>
          </w:p>
        </w:tc>
        <w:tc>
          <w:tcPr>
            <w:tcW w:w="636" w:type="pct"/>
          </w:tcPr>
          <w:p w14:paraId="0D9B782F" w14:textId="77777777" w:rsidR="00120717" w:rsidRPr="00B93EE1" w:rsidRDefault="00120717" w:rsidP="001662B9">
            <w:pPr>
              <w:keepNext/>
              <w:keepLines/>
              <w:ind w:right="340"/>
              <w:jc w:val="right"/>
              <w:rPr>
                <w:sz w:val="16"/>
                <w:szCs w:val="16"/>
              </w:rPr>
            </w:pPr>
            <w:r w:rsidRPr="00B93EE1">
              <w:rPr>
                <w:sz w:val="16"/>
                <w:szCs w:val="16"/>
              </w:rPr>
              <w:t>3</w:t>
            </w:r>
          </w:p>
        </w:tc>
        <w:tc>
          <w:tcPr>
            <w:tcW w:w="636" w:type="pct"/>
          </w:tcPr>
          <w:p w14:paraId="205E4AF0" w14:textId="77777777" w:rsidR="00120717" w:rsidRPr="00B93EE1" w:rsidRDefault="00120717" w:rsidP="001662B9">
            <w:pPr>
              <w:keepNext/>
              <w:keepLines/>
              <w:ind w:right="340"/>
              <w:jc w:val="right"/>
              <w:rPr>
                <w:sz w:val="16"/>
                <w:szCs w:val="16"/>
              </w:rPr>
            </w:pPr>
            <w:r w:rsidRPr="00B93EE1">
              <w:rPr>
                <w:sz w:val="16"/>
                <w:szCs w:val="16"/>
              </w:rPr>
              <w:t>0</w:t>
            </w:r>
          </w:p>
        </w:tc>
      </w:tr>
      <w:tr w:rsidR="00120717" w:rsidRPr="00B93EE1" w14:paraId="18B2C4BE" w14:textId="77777777" w:rsidTr="006A25C8">
        <w:tc>
          <w:tcPr>
            <w:tcW w:w="1188" w:type="pct"/>
          </w:tcPr>
          <w:p w14:paraId="755D7D86" w14:textId="77777777" w:rsidR="00120717" w:rsidRPr="00B93EE1" w:rsidRDefault="00120717" w:rsidP="006E56F2">
            <w:pPr>
              <w:keepNext/>
              <w:keepLines/>
              <w:jc w:val="left"/>
              <w:rPr>
                <w:sz w:val="16"/>
                <w:szCs w:val="16"/>
              </w:rPr>
            </w:pPr>
            <w:r w:rsidRPr="00B93EE1">
              <w:rPr>
                <w:sz w:val="16"/>
                <w:szCs w:val="16"/>
              </w:rPr>
              <w:t>Appeals withdrawn</w:t>
            </w:r>
          </w:p>
        </w:tc>
        <w:tc>
          <w:tcPr>
            <w:tcW w:w="635" w:type="pct"/>
          </w:tcPr>
          <w:p w14:paraId="1EA584ED" w14:textId="77777777" w:rsidR="00120717" w:rsidRPr="00B93EE1" w:rsidRDefault="00120717" w:rsidP="001662B9">
            <w:pPr>
              <w:keepNext/>
              <w:keepLines/>
              <w:ind w:right="340"/>
              <w:jc w:val="right"/>
              <w:rPr>
                <w:sz w:val="16"/>
                <w:szCs w:val="16"/>
              </w:rPr>
            </w:pPr>
            <w:r w:rsidRPr="00B93EE1">
              <w:rPr>
                <w:sz w:val="16"/>
                <w:szCs w:val="16"/>
              </w:rPr>
              <w:t>17</w:t>
            </w:r>
          </w:p>
        </w:tc>
        <w:tc>
          <w:tcPr>
            <w:tcW w:w="636" w:type="pct"/>
          </w:tcPr>
          <w:p w14:paraId="4EE94CB1" w14:textId="77777777" w:rsidR="00120717" w:rsidRPr="00B93EE1" w:rsidRDefault="00120717" w:rsidP="001662B9">
            <w:pPr>
              <w:keepNext/>
              <w:keepLines/>
              <w:ind w:right="340"/>
              <w:jc w:val="right"/>
              <w:rPr>
                <w:sz w:val="16"/>
                <w:szCs w:val="16"/>
              </w:rPr>
            </w:pPr>
            <w:r w:rsidRPr="00B93EE1">
              <w:rPr>
                <w:sz w:val="16"/>
                <w:szCs w:val="16"/>
              </w:rPr>
              <w:t>3</w:t>
            </w:r>
          </w:p>
        </w:tc>
        <w:tc>
          <w:tcPr>
            <w:tcW w:w="636" w:type="pct"/>
          </w:tcPr>
          <w:p w14:paraId="672FFEE9" w14:textId="77777777" w:rsidR="00120717" w:rsidRPr="00B93EE1" w:rsidRDefault="00120717" w:rsidP="001662B9">
            <w:pPr>
              <w:keepNext/>
              <w:keepLines/>
              <w:ind w:right="340"/>
              <w:jc w:val="right"/>
              <w:rPr>
                <w:sz w:val="16"/>
                <w:szCs w:val="16"/>
              </w:rPr>
            </w:pPr>
            <w:r w:rsidRPr="00B93EE1">
              <w:rPr>
                <w:sz w:val="16"/>
                <w:szCs w:val="16"/>
              </w:rPr>
              <w:t>12</w:t>
            </w:r>
          </w:p>
        </w:tc>
        <w:tc>
          <w:tcPr>
            <w:tcW w:w="635" w:type="pct"/>
          </w:tcPr>
          <w:p w14:paraId="37531DF7" w14:textId="77777777" w:rsidR="00120717" w:rsidRPr="00B93EE1" w:rsidRDefault="00120717" w:rsidP="001662B9">
            <w:pPr>
              <w:keepNext/>
              <w:keepLines/>
              <w:ind w:right="340"/>
              <w:jc w:val="right"/>
              <w:rPr>
                <w:sz w:val="16"/>
                <w:szCs w:val="16"/>
              </w:rPr>
            </w:pPr>
            <w:r w:rsidRPr="00B93EE1">
              <w:rPr>
                <w:sz w:val="16"/>
                <w:szCs w:val="16"/>
              </w:rPr>
              <w:t>8</w:t>
            </w:r>
          </w:p>
        </w:tc>
        <w:tc>
          <w:tcPr>
            <w:tcW w:w="636" w:type="pct"/>
          </w:tcPr>
          <w:p w14:paraId="0AB16719" w14:textId="77777777" w:rsidR="00120717" w:rsidRPr="00B93EE1" w:rsidRDefault="00120717" w:rsidP="001662B9">
            <w:pPr>
              <w:keepNext/>
              <w:keepLines/>
              <w:ind w:right="340"/>
              <w:jc w:val="right"/>
              <w:rPr>
                <w:sz w:val="16"/>
                <w:szCs w:val="16"/>
              </w:rPr>
            </w:pPr>
            <w:r w:rsidRPr="00B93EE1">
              <w:rPr>
                <w:sz w:val="16"/>
                <w:szCs w:val="16"/>
              </w:rPr>
              <w:t>6</w:t>
            </w:r>
          </w:p>
        </w:tc>
        <w:tc>
          <w:tcPr>
            <w:tcW w:w="636" w:type="pct"/>
          </w:tcPr>
          <w:p w14:paraId="52CCDFCE" w14:textId="77777777" w:rsidR="00120717" w:rsidRPr="00B93EE1" w:rsidRDefault="00120717" w:rsidP="001662B9">
            <w:pPr>
              <w:keepNext/>
              <w:keepLines/>
              <w:ind w:right="340"/>
              <w:jc w:val="right"/>
              <w:rPr>
                <w:sz w:val="16"/>
                <w:szCs w:val="16"/>
              </w:rPr>
            </w:pPr>
            <w:r w:rsidRPr="00B93EE1">
              <w:rPr>
                <w:sz w:val="16"/>
                <w:szCs w:val="16"/>
              </w:rPr>
              <w:t>2</w:t>
            </w:r>
          </w:p>
        </w:tc>
      </w:tr>
      <w:tr w:rsidR="00120717" w:rsidRPr="00B93EE1" w14:paraId="7ADA61C2" w14:textId="77777777" w:rsidTr="006A25C8">
        <w:trPr>
          <w:cnfStyle w:val="000000010000" w:firstRow="0" w:lastRow="0" w:firstColumn="0" w:lastColumn="0" w:oddVBand="0" w:evenVBand="0" w:oddHBand="0" w:evenHBand="1" w:firstRowFirstColumn="0" w:firstRowLastColumn="0" w:lastRowFirstColumn="0" w:lastRowLastColumn="0"/>
        </w:trPr>
        <w:tc>
          <w:tcPr>
            <w:tcW w:w="1188" w:type="pct"/>
          </w:tcPr>
          <w:p w14:paraId="1D327DE0" w14:textId="77777777" w:rsidR="00120717" w:rsidRPr="00B93EE1" w:rsidRDefault="00120717" w:rsidP="006E56F2">
            <w:pPr>
              <w:keepNext/>
              <w:keepLines/>
              <w:jc w:val="left"/>
              <w:rPr>
                <w:sz w:val="16"/>
                <w:szCs w:val="16"/>
              </w:rPr>
            </w:pPr>
            <w:r w:rsidRPr="00B93EE1">
              <w:rPr>
                <w:sz w:val="16"/>
                <w:szCs w:val="16"/>
              </w:rPr>
              <w:t>Appealed to High Court</w:t>
            </w:r>
          </w:p>
        </w:tc>
        <w:tc>
          <w:tcPr>
            <w:tcW w:w="635" w:type="pct"/>
          </w:tcPr>
          <w:p w14:paraId="3513AD7A" w14:textId="77777777" w:rsidR="00120717" w:rsidRPr="00B93EE1" w:rsidRDefault="00120717" w:rsidP="001662B9">
            <w:pPr>
              <w:keepNext/>
              <w:keepLines/>
              <w:ind w:right="340"/>
              <w:jc w:val="right"/>
              <w:rPr>
                <w:sz w:val="16"/>
                <w:szCs w:val="16"/>
              </w:rPr>
            </w:pPr>
            <w:r w:rsidRPr="00B93EE1">
              <w:rPr>
                <w:sz w:val="16"/>
                <w:szCs w:val="16"/>
              </w:rPr>
              <w:t>1</w:t>
            </w:r>
          </w:p>
        </w:tc>
        <w:tc>
          <w:tcPr>
            <w:tcW w:w="636" w:type="pct"/>
          </w:tcPr>
          <w:p w14:paraId="4EF2F683" w14:textId="77777777" w:rsidR="00120717" w:rsidRPr="00B93EE1" w:rsidRDefault="00120717" w:rsidP="001662B9">
            <w:pPr>
              <w:keepNext/>
              <w:keepLines/>
              <w:ind w:right="340"/>
              <w:jc w:val="right"/>
              <w:rPr>
                <w:sz w:val="16"/>
                <w:szCs w:val="16"/>
              </w:rPr>
            </w:pPr>
            <w:r w:rsidRPr="00B93EE1">
              <w:rPr>
                <w:sz w:val="16"/>
                <w:szCs w:val="16"/>
              </w:rPr>
              <w:t>0</w:t>
            </w:r>
          </w:p>
        </w:tc>
        <w:tc>
          <w:tcPr>
            <w:tcW w:w="636" w:type="pct"/>
          </w:tcPr>
          <w:p w14:paraId="59E7ED95" w14:textId="77777777" w:rsidR="00120717" w:rsidRPr="00B93EE1" w:rsidRDefault="00120717" w:rsidP="001662B9">
            <w:pPr>
              <w:keepNext/>
              <w:keepLines/>
              <w:ind w:right="340"/>
              <w:jc w:val="right"/>
              <w:rPr>
                <w:sz w:val="16"/>
                <w:szCs w:val="16"/>
              </w:rPr>
            </w:pPr>
            <w:r w:rsidRPr="00B93EE1">
              <w:rPr>
                <w:sz w:val="16"/>
                <w:szCs w:val="16"/>
              </w:rPr>
              <w:t>0</w:t>
            </w:r>
          </w:p>
        </w:tc>
        <w:tc>
          <w:tcPr>
            <w:tcW w:w="635" w:type="pct"/>
          </w:tcPr>
          <w:p w14:paraId="31925FD8" w14:textId="77777777" w:rsidR="00120717" w:rsidRPr="00B93EE1" w:rsidRDefault="00120717" w:rsidP="001662B9">
            <w:pPr>
              <w:keepNext/>
              <w:keepLines/>
              <w:ind w:right="340"/>
              <w:jc w:val="right"/>
              <w:rPr>
                <w:sz w:val="16"/>
                <w:szCs w:val="16"/>
              </w:rPr>
            </w:pPr>
            <w:r w:rsidRPr="00B93EE1">
              <w:rPr>
                <w:sz w:val="16"/>
                <w:szCs w:val="16"/>
              </w:rPr>
              <w:t>2</w:t>
            </w:r>
          </w:p>
        </w:tc>
        <w:tc>
          <w:tcPr>
            <w:tcW w:w="636" w:type="pct"/>
          </w:tcPr>
          <w:p w14:paraId="5773BED4" w14:textId="77777777" w:rsidR="00120717" w:rsidRPr="00B93EE1" w:rsidRDefault="00120717" w:rsidP="001662B9">
            <w:pPr>
              <w:keepNext/>
              <w:keepLines/>
              <w:ind w:right="340"/>
              <w:jc w:val="right"/>
              <w:rPr>
                <w:sz w:val="16"/>
                <w:szCs w:val="16"/>
              </w:rPr>
            </w:pPr>
            <w:r w:rsidRPr="00B93EE1">
              <w:rPr>
                <w:sz w:val="16"/>
                <w:szCs w:val="16"/>
              </w:rPr>
              <w:t>0</w:t>
            </w:r>
          </w:p>
        </w:tc>
        <w:tc>
          <w:tcPr>
            <w:tcW w:w="636" w:type="pct"/>
          </w:tcPr>
          <w:p w14:paraId="0E6CB14C" w14:textId="77777777" w:rsidR="00120717" w:rsidRPr="00B93EE1" w:rsidRDefault="00120717" w:rsidP="001662B9">
            <w:pPr>
              <w:keepNext/>
              <w:keepLines/>
              <w:ind w:right="340"/>
              <w:jc w:val="right"/>
              <w:rPr>
                <w:sz w:val="16"/>
                <w:szCs w:val="16"/>
              </w:rPr>
            </w:pPr>
            <w:r w:rsidRPr="00B93EE1">
              <w:rPr>
                <w:sz w:val="16"/>
                <w:szCs w:val="16"/>
              </w:rPr>
              <w:t>0</w:t>
            </w:r>
          </w:p>
        </w:tc>
      </w:tr>
    </w:tbl>
    <w:p w14:paraId="26E555AD" w14:textId="77777777" w:rsidR="00120717" w:rsidRPr="00B93EE1" w:rsidRDefault="00120717" w:rsidP="00062AA5">
      <w:pPr>
        <w:pStyle w:val="NoteText"/>
        <w:spacing w:before="120"/>
      </w:pPr>
      <w:r w:rsidRPr="00B93EE1">
        <w:t>Note:</w:t>
      </w:r>
      <w:r w:rsidRPr="00B93EE1">
        <w:tab/>
        <w:t>"Withdrawn" covers appeals that were withdrawn, struck out, or invalid.</w:t>
      </w:r>
    </w:p>
    <w:p w14:paraId="47148D9D" w14:textId="77777777" w:rsidR="00120717" w:rsidRPr="00B93EE1" w:rsidRDefault="00120717" w:rsidP="00062AA5">
      <w:pPr>
        <w:pStyle w:val="NoteText"/>
        <w:spacing w:before="120" w:after="240"/>
      </w:pPr>
      <w:r w:rsidRPr="00B93EE1">
        <w:t>Source:</w:t>
      </w:r>
      <w:r w:rsidRPr="00B93EE1">
        <w:tab/>
        <w:t>WTO Secretariat, based on data provided by the authorities.</w:t>
      </w:r>
    </w:p>
    <w:p w14:paraId="7A89899D" w14:textId="58C10B16" w:rsidR="00120717" w:rsidRPr="00F64A35" w:rsidRDefault="00120717" w:rsidP="00185006">
      <w:pPr>
        <w:pStyle w:val="BodyText"/>
      </w:pPr>
      <w:r w:rsidRPr="00B93EE1">
        <w:t>Examples of improvements for business under the 2018 Customs and Excise Act include the ability for importers to obtain a binding valuation ruling. Importers can also declare a customs value at the time of import with the exact value to be disclosed within a time</w:t>
      </w:r>
      <w:r w:rsidR="00A56655">
        <w:t>-</w:t>
      </w:r>
      <w:r w:rsidRPr="00B93EE1">
        <w:t>frame. Business records can be stored in the cloud and offshore, and users of trade single windows are required to maintain a level of competency to obtain and retain registration.</w:t>
      </w:r>
    </w:p>
    <w:p w14:paraId="0971341D" w14:textId="77777777" w:rsidR="00120717" w:rsidRPr="00F64A35" w:rsidRDefault="00120717" w:rsidP="00185006">
      <w:pPr>
        <w:pStyle w:val="BodyText"/>
      </w:pPr>
      <w:r w:rsidRPr="00B93EE1">
        <w:t>The 2018 Customs and Excise Act also provides clarity of sanctions and penalties. For example, a more proportionate compensatory interest and penalty regime for late and shortfall payments of duty replaced the additional duties regime, clarification of the level of penalties, and the circumstance when a penalty will apply (administrative penalties). An infringement notice scheme replaced the petty offences regime. Where a business is dissatisfied with an assessment of duty or the issuing of a penalty, they have the right to use an internal review process before making an appeal to the Customs Appeal Authority.</w:t>
      </w:r>
    </w:p>
    <w:p w14:paraId="56E8FB8C" w14:textId="77777777" w:rsidR="00120717" w:rsidRPr="00F64A35" w:rsidRDefault="00120717" w:rsidP="00185006">
      <w:pPr>
        <w:pStyle w:val="BodyText"/>
      </w:pPr>
      <w:r w:rsidRPr="00B93EE1">
        <w:t>On 29 September 2015, New Zealand ratified the Protocol concerning the Agreement on Trade Facilitation (</w:t>
      </w:r>
      <w:proofErr w:type="spellStart"/>
      <w:r w:rsidRPr="00B93EE1">
        <w:t>TFA</w:t>
      </w:r>
      <w:proofErr w:type="spellEnd"/>
      <w:r w:rsidRPr="00B93EE1">
        <w:t xml:space="preserve">). According to the </w:t>
      </w:r>
      <w:proofErr w:type="spellStart"/>
      <w:r w:rsidRPr="00B93EE1">
        <w:t>TFA</w:t>
      </w:r>
      <w:proofErr w:type="spellEnd"/>
      <w:r w:rsidRPr="00B93EE1">
        <w:t xml:space="preserve"> database, New Zealand fully implemented the Agreement ahead of the original date of 22 February 2020.</w:t>
      </w:r>
      <w:r w:rsidRPr="00B93EE1">
        <w:rPr>
          <w:vertAlign w:val="superscript"/>
        </w:rPr>
        <w:footnoteReference w:id="136"/>
      </w:r>
    </w:p>
    <w:p w14:paraId="430720D8" w14:textId="77777777" w:rsidR="00120717" w:rsidRPr="00F64A35" w:rsidRDefault="00120717" w:rsidP="00185006">
      <w:pPr>
        <w:pStyle w:val="BodyText"/>
      </w:pPr>
      <w:r w:rsidRPr="00B93EE1">
        <w:t xml:space="preserve">On 29 May 2020, the </w:t>
      </w:r>
      <w:hyperlink r:id="rId28" w:history="1">
        <w:r w:rsidRPr="00B93EE1">
          <w:t>Customs and Excise (Refunds and Remissions) Amendment Regulations 2020</w:t>
        </w:r>
      </w:hyperlink>
      <w:r w:rsidRPr="00B93EE1">
        <w:t xml:space="preserve"> came into force to </w:t>
      </w:r>
      <w:hyperlink r:id="rId29" w:history="1">
        <w:r w:rsidRPr="00B93EE1">
          <w:t>assist duty payers</w:t>
        </w:r>
      </w:hyperlink>
      <w:r w:rsidRPr="00B93EE1">
        <w:t xml:space="preserve"> who could not pay duty on time because of the COVID</w:t>
      </w:r>
      <w:r w:rsidRPr="00B93EE1">
        <w:noBreakHyphen/>
        <w:t>19 pandemic.</w:t>
      </w:r>
      <w:r w:rsidRPr="00B93EE1">
        <w:rPr>
          <w:vertAlign w:val="superscript"/>
        </w:rPr>
        <w:footnoteReference w:id="137"/>
      </w:r>
    </w:p>
    <w:p w14:paraId="0383E965" w14:textId="77777777" w:rsidR="00120717" w:rsidRPr="00F64A35" w:rsidRDefault="00120717" w:rsidP="00185006">
      <w:pPr>
        <w:pStyle w:val="Heading3"/>
      </w:pPr>
      <w:bookmarkStart w:id="77" w:name="_Toc97800136"/>
      <w:r w:rsidRPr="00B93EE1">
        <w:t>Rules of origin</w:t>
      </w:r>
      <w:bookmarkEnd w:id="77"/>
    </w:p>
    <w:p w14:paraId="769D82E2" w14:textId="77777777" w:rsidR="00120717" w:rsidRPr="00F64A35" w:rsidRDefault="00120717" w:rsidP="00185006">
      <w:pPr>
        <w:pStyle w:val="BodyText"/>
      </w:pPr>
      <w:r w:rsidRPr="00B93EE1">
        <w:t xml:space="preserve">New Zealand applies MFN tariff rates to all goods that do not otherwise qualify for preferences under the rules of origin established under a preferential arrangement. Under Section 407 of the Customs and Excise Act 2018, regulations for both preferential and non-preferential rules of origin may be made to </w:t>
      </w:r>
      <w:r w:rsidRPr="00B93EE1">
        <w:rPr>
          <w:color w:val="000000"/>
        </w:rPr>
        <w:t>prescribe the goods or any type or class of goods that are treated as being the produce or manufacture of any country or group of countries. Determination of non-preferential origin, in general terms, would include an assessment of as to where the last substantial transformation has been carried out.</w:t>
      </w:r>
    </w:p>
    <w:p w14:paraId="13B304FA" w14:textId="77777777" w:rsidR="00120717" w:rsidRPr="00F64A35" w:rsidRDefault="00120717" w:rsidP="00185006">
      <w:pPr>
        <w:pStyle w:val="BodyText"/>
      </w:pPr>
      <w:r w:rsidRPr="00B93EE1">
        <w:lastRenderedPageBreak/>
        <w:t>New Zealand's preferential rules of origin and other relevant requirements in respect of the Generalised System of Preferences (</w:t>
      </w:r>
      <w:proofErr w:type="spellStart"/>
      <w:r w:rsidRPr="00B93EE1">
        <w:t>GSP</w:t>
      </w:r>
      <w:proofErr w:type="spellEnd"/>
      <w:r w:rsidRPr="00B93EE1">
        <w:t>) are set out in Part 6 of the Customs and Excise Regulations 1996, as well as in New Zealand legislation by reference. New Zealand's current scheme already contains provisions embodied in the 2015 WTO Ministerial Decision "Preferential Rules of Origin for Least Developed Countries".</w:t>
      </w:r>
      <w:r w:rsidRPr="00B93EE1">
        <w:rPr>
          <w:vertAlign w:val="superscript"/>
        </w:rPr>
        <w:footnoteReference w:id="138"/>
      </w:r>
      <w:r w:rsidRPr="00B93EE1">
        <w:t xml:space="preserve"> Therefore, during the review period, there was no need to make changes to New Zealand's </w:t>
      </w:r>
      <w:proofErr w:type="spellStart"/>
      <w:r w:rsidRPr="00B93EE1">
        <w:t>GSP</w:t>
      </w:r>
      <w:proofErr w:type="spellEnd"/>
      <w:r w:rsidRPr="00B93EE1">
        <w:t xml:space="preserve"> regime to implement these requirements.</w:t>
      </w:r>
    </w:p>
    <w:p w14:paraId="55D29B73" w14:textId="77777777" w:rsidR="00120717" w:rsidRPr="00F64A35" w:rsidRDefault="00120717" w:rsidP="00185006">
      <w:pPr>
        <w:pStyle w:val="BodyText"/>
      </w:pPr>
      <w:r w:rsidRPr="00B93EE1">
        <w:t>Various origin categories apply in determining whether particular goods qualify as the produce or manufacture of a particular preferential country or countries group. "Goods wholly obtained or produced in a preferential country" are those based on natural resources obtained in the preferential country, and final products made from such goods without incorporating any other material (e.g. plants, animals, or substances extracted from the country's soil or seabed). This origin category is common to all of New Zealand's trade agreements.</w:t>
      </w:r>
    </w:p>
    <w:p w14:paraId="0BA26033" w14:textId="77777777" w:rsidR="00120717" w:rsidRPr="00F64A35" w:rsidRDefault="00120717" w:rsidP="00185006">
      <w:pPr>
        <w:pStyle w:val="BodyText"/>
      </w:pPr>
      <w:r w:rsidRPr="00B93EE1">
        <w:t xml:space="preserve">Goods produced in a preferential country (or in the territory of one or more countries in the case of a regional trade agreement (RTA)) entirely from materials that would themselves qualify as originating goods may be conferred origin for preferential treatment purposes. For the </w:t>
      </w:r>
      <w:proofErr w:type="spellStart"/>
      <w:r w:rsidRPr="00B93EE1">
        <w:t>GSP</w:t>
      </w:r>
      <w:proofErr w:type="spellEnd"/>
      <w:r w:rsidRPr="00B93EE1">
        <w:t xml:space="preserve"> and for goods imported from Canada, the United Kingdom, and Pacific Islands Forum countries (New Zealand's older agreements), the criteria are a specified value content threshold.</w:t>
      </w:r>
    </w:p>
    <w:p w14:paraId="6F513AB3" w14:textId="510002C3" w:rsidR="00120717" w:rsidRPr="00F64A35" w:rsidRDefault="00120717" w:rsidP="00185006">
      <w:pPr>
        <w:pStyle w:val="BodyText"/>
      </w:pPr>
      <w:r w:rsidRPr="00B93EE1">
        <w:t>For the following free trade agreements, which were concluded after 2015, rules of origin are based on a combination of change in tariff classification, regional value content, and process criteria: Korea-New Zealand Free Trade Agreement (2015); Comprehensive and Progressive Agreement for Trans-Pacific Partnership (</w:t>
      </w:r>
      <w:proofErr w:type="spellStart"/>
      <w:r w:rsidRPr="00B93EE1">
        <w:t>CPTPP</w:t>
      </w:r>
      <w:proofErr w:type="spellEnd"/>
      <w:r w:rsidRPr="00B93EE1">
        <w:t>) (2018); New Zealand-Singapore Closer Economic Partnership (2020)</w:t>
      </w:r>
      <w:r w:rsidRPr="00B93EE1">
        <w:rPr>
          <w:vertAlign w:val="superscript"/>
        </w:rPr>
        <w:footnoteReference w:id="139"/>
      </w:r>
      <w:r w:rsidRPr="00B93EE1">
        <w:t>; Pacific Agreement on Closer Economic Relations (PACER) Plus (2020); and the Regional Comprehensive Economic Partnership (RCEP), which enter</w:t>
      </w:r>
      <w:r w:rsidR="00E8495C">
        <w:t>ed</w:t>
      </w:r>
      <w:r w:rsidRPr="00B93EE1">
        <w:t xml:space="preserve"> into force in early 2022.</w:t>
      </w:r>
    </w:p>
    <w:p w14:paraId="1A45CB62" w14:textId="77777777" w:rsidR="00120717" w:rsidRPr="00F64A35" w:rsidRDefault="00120717" w:rsidP="00185006">
      <w:pPr>
        <w:pStyle w:val="Heading3"/>
      </w:pPr>
      <w:bookmarkStart w:id="78" w:name="_Toc415735862"/>
      <w:bookmarkStart w:id="79" w:name="_Toc97800137"/>
      <w:r w:rsidRPr="00B93EE1">
        <w:t>Tariffs</w:t>
      </w:r>
      <w:bookmarkEnd w:id="78"/>
      <w:bookmarkEnd w:id="79"/>
    </w:p>
    <w:p w14:paraId="029826E0" w14:textId="77777777" w:rsidR="00120717" w:rsidRPr="00F64A35" w:rsidRDefault="00120717" w:rsidP="001662B9">
      <w:pPr>
        <w:pStyle w:val="BodyText"/>
        <w:spacing w:after="200"/>
      </w:pPr>
      <w:r w:rsidRPr="00B93EE1">
        <w:t>New Zealand's tariff implementation rules and procedures are contained in a consolidation of two legislative pieces, namely the Tariff Act 1988 as amended and the Customs and Excise Act 2018. The Tariff of New Zealand is divided into two parts. Part I relates to the Standard Tariff and it sets out the classification of all international trade and import duty rates. Part II relates to concessions; it outlines the concession categories to reduce or waive a duty that would usually be applied under Part I.</w:t>
      </w:r>
    </w:p>
    <w:p w14:paraId="221822AA" w14:textId="669A3FD7" w:rsidR="00120717" w:rsidRPr="00F64A35" w:rsidRDefault="00120717" w:rsidP="001662B9">
      <w:pPr>
        <w:pStyle w:val="BodyText"/>
        <w:spacing w:after="200"/>
      </w:pPr>
      <w:r w:rsidRPr="00B93EE1">
        <w:t>In December 2021, the Tariff (Harmonized System) Amendment Order 2021 aligned New Zealand's tariff nomenclature on HS22, effective 1 January 2022.</w:t>
      </w:r>
      <w:r w:rsidRPr="00B93EE1">
        <w:rPr>
          <w:szCs w:val="20"/>
          <w:vertAlign w:val="superscript"/>
        </w:rPr>
        <w:footnoteReference w:id="140"/>
      </w:r>
      <w:r w:rsidRPr="00B93EE1">
        <w:t xml:space="preserve"> The schedules of product-specific rules of origin for all of New Zealand's existing FTAs have been likewise transposed to reflect HS22 nomenclature under the </w:t>
      </w:r>
      <w:r w:rsidR="003E6027" w:rsidRPr="003E6027">
        <w:t>Custom and Excise</w:t>
      </w:r>
      <w:r w:rsidR="003E6027" w:rsidRPr="00A9033B">
        <w:rPr>
          <w:rStyle w:val="normaltextrun"/>
          <w:color w:val="000000"/>
          <w:szCs w:val="18"/>
          <w:shd w:val="clear" w:color="auto" w:fill="FFFFFF"/>
        </w:rPr>
        <w:t xml:space="preserve"> </w:t>
      </w:r>
      <w:r w:rsidRPr="00B93EE1">
        <w:t>(Rules of Origin – Harmonised System and Other Matters) Amendment Regulations 2021, with the exception of RCEP rules of origin product-specific rules, which still reference the HS12 nomenclature.</w:t>
      </w:r>
    </w:p>
    <w:p w14:paraId="12F68B96" w14:textId="77777777" w:rsidR="00120717" w:rsidRPr="00F64A35" w:rsidRDefault="00120717" w:rsidP="001662B9">
      <w:pPr>
        <w:pStyle w:val="BodyText"/>
        <w:spacing w:after="200"/>
      </w:pPr>
      <w:r w:rsidRPr="00B93EE1">
        <w:t>In 2017, New Zealand issued a Government decision that tariff levels would remain unchanged from their current levels, except where they were reduced through trade agreements.</w:t>
      </w:r>
      <w:r w:rsidRPr="00B93EE1">
        <w:rPr>
          <w:szCs w:val="20"/>
          <w:vertAlign w:val="superscript"/>
        </w:rPr>
        <w:footnoteReference w:id="141"/>
      </w:r>
    </w:p>
    <w:p w14:paraId="1755A9F9" w14:textId="64EB9A47" w:rsidR="00120717" w:rsidRPr="00F64A35" w:rsidRDefault="00120717" w:rsidP="001662B9">
      <w:pPr>
        <w:pStyle w:val="BodyText"/>
        <w:spacing w:after="200"/>
      </w:pPr>
      <w:r w:rsidRPr="00B93EE1">
        <w:t>New Zealand also issued some tariff decisions in the context of the COVID</w:t>
      </w:r>
      <w:r w:rsidRPr="00B93EE1">
        <w:noBreakHyphen/>
        <w:t>19 pandemic, such as tariff concessions to help ensure the unimpeded supply of critical products to New Zealand during COVID</w:t>
      </w:r>
      <w:r w:rsidRPr="00B93EE1">
        <w:noBreakHyphen/>
        <w:t>19</w:t>
      </w:r>
      <w:r w:rsidRPr="00B93EE1">
        <w:rPr>
          <w:szCs w:val="20"/>
          <w:vertAlign w:val="superscript"/>
        </w:rPr>
        <w:footnoteReference w:id="142"/>
      </w:r>
      <w:r w:rsidRPr="00B93EE1">
        <w:t>, and removal of tariffs on COVID</w:t>
      </w:r>
      <w:r w:rsidRPr="00B93EE1">
        <w:noBreakHyphen/>
        <w:t>19-related products as listed under the New Zealand and Singapore Declaration on Trade in Essential Goods for Combating the COVID</w:t>
      </w:r>
      <w:r w:rsidRPr="00B93EE1">
        <w:noBreakHyphen/>
        <w:t xml:space="preserve">19 </w:t>
      </w:r>
      <w:r w:rsidR="003E6027">
        <w:t>Pandemic</w:t>
      </w:r>
      <w:r w:rsidRPr="00B93EE1">
        <w:t>.</w:t>
      </w:r>
      <w:r w:rsidRPr="00B93EE1">
        <w:rPr>
          <w:szCs w:val="20"/>
          <w:vertAlign w:val="superscript"/>
        </w:rPr>
        <w:footnoteReference w:id="143"/>
      </w:r>
    </w:p>
    <w:p w14:paraId="4C667CF0" w14:textId="77777777" w:rsidR="00120717" w:rsidRPr="00F64A35" w:rsidRDefault="00120717" w:rsidP="00E962FF">
      <w:pPr>
        <w:pStyle w:val="Heading4"/>
        <w:numPr>
          <w:ilvl w:val="3"/>
          <w:numId w:val="26"/>
        </w:numPr>
      </w:pPr>
      <w:bookmarkStart w:id="80" w:name="_Toc415735863"/>
      <w:bookmarkStart w:id="81" w:name="_Toc97800138"/>
      <w:r w:rsidRPr="00B93EE1">
        <w:lastRenderedPageBreak/>
        <w:t>Applied MFN tariff</w:t>
      </w:r>
      <w:bookmarkEnd w:id="80"/>
      <w:bookmarkEnd w:id="81"/>
    </w:p>
    <w:p w14:paraId="12D3E7F8" w14:textId="77777777" w:rsidR="00120717" w:rsidRPr="00F64A35" w:rsidRDefault="00120717" w:rsidP="00185006">
      <w:pPr>
        <w:pStyle w:val="BodyText"/>
      </w:pPr>
      <w:r w:rsidRPr="00B93EE1">
        <w:t xml:space="preserve">The 2021 applied MFN tariff contains 7,927 lines at the HS 8-digit level (Table 3.3), of which 99.9% carry </w:t>
      </w:r>
      <w:r w:rsidRPr="00B93EE1">
        <w:rPr>
          <w:i/>
        </w:rPr>
        <w:t>ad valorem</w:t>
      </w:r>
      <w:r w:rsidRPr="00B93EE1">
        <w:t xml:space="preserve"> duties. Six tariff lines bear specific rates: four on alcoholic beverages (HS Chapter 22), and two on clothing and footwear (Chapter 63).</w:t>
      </w:r>
      <w:r w:rsidRPr="00B93EE1">
        <w:rPr>
          <w:vertAlign w:val="superscript"/>
        </w:rPr>
        <w:footnoteReference w:id="144"/>
      </w:r>
      <w:r w:rsidRPr="00B93EE1">
        <w:t xml:space="preserve"> There are 37 "other" lines (32 in 2014) applied to parts and components for which the tariff varies subject to the machinery, appliance, or equipment they are assigned to. As in the previous Review, there are three different </w:t>
      </w:r>
      <w:r w:rsidRPr="00B93EE1">
        <w:rPr>
          <w:i/>
          <w:iCs/>
        </w:rPr>
        <w:t>ad valorem</w:t>
      </w:r>
      <w:r w:rsidRPr="00B93EE1">
        <w:t xml:space="preserve"> rates: 0%, 5%, and 10% (only applied to non-agricultural products). Some 61.1% of tariff lines are duty-free, compared with 53.8% in 2014 (Chart 3.1).</w:t>
      </w:r>
    </w:p>
    <w:p w14:paraId="6676D455" w14:textId="77777777" w:rsidR="00120717" w:rsidRPr="00F64A35" w:rsidRDefault="00120717" w:rsidP="00185006">
      <w:pPr>
        <w:pStyle w:val="BodyText"/>
      </w:pPr>
      <w:r w:rsidRPr="00B93EE1">
        <w:t>New Zealand does not maintain tariff quotas.</w:t>
      </w:r>
    </w:p>
    <w:p w14:paraId="77BCA667" w14:textId="30BCA506" w:rsidR="00120717" w:rsidRPr="00B93EE1" w:rsidRDefault="00BB55A0" w:rsidP="00BB55A0">
      <w:pPr>
        <w:pStyle w:val="Caption"/>
      </w:pPr>
      <w:bookmarkStart w:id="82" w:name="_Toc97793389"/>
      <w:bookmarkStart w:id="83" w:name="_Toc418783238"/>
      <w:r>
        <w:t xml:space="preserve">Table </w:t>
      </w:r>
      <w:r w:rsidR="0012793B">
        <w:fldChar w:fldCharType="begin"/>
      </w:r>
      <w:r w:rsidR="0012793B">
        <w:instrText xml:space="preserve"> STYLEREF 1 \s </w:instrText>
      </w:r>
      <w:r w:rsidR="0012793B">
        <w:fldChar w:fldCharType="separate"/>
      </w:r>
      <w:r w:rsidR="00D37A97">
        <w:rPr>
          <w:noProof/>
        </w:rPr>
        <w:t>3</w:t>
      </w:r>
      <w:r w:rsidR="0012793B">
        <w:rPr>
          <w:noProof/>
        </w:rPr>
        <w:fldChar w:fldCharType="end"/>
      </w:r>
      <w:r w:rsidR="00D37A97">
        <w:t>.</w:t>
      </w:r>
      <w:r w:rsidR="0012793B">
        <w:fldChar w:fldCharType="begin"/>
      </w:r>
      <w:r w:rsidR="0012793B">
        <w:instrText xml:space="preserve"> SEQ Table \* ARABIC \s 1 </w:instrText>
      </w:r>
      <w:r w:rsidR="0012793B">
        <w:fldChar w:fldCharType="separate"/>
      </w:r>
      <w:r w:rsidR="00D37A97">
        <w:rPr>
          <w:noProof/>
        </w:rPr>
        <w:t>3</w:t>
      </w:r>
      <w:r w:rsidR="0012793B">
        <w:rPr>
          <w:noProof/>
        </w:rPr>
        <w:fldChar w:fldCharType="end"/>
      </w:r>
      <w:r>
        <w:t xml:space="preserve"> </w:t>
      </w:r>
      <w:r w:rsidR="00120717" w:rsidRPr="00B93EE1">
        <w:t>Tariff structure of New Zealand, 2014 and 2021</w:t>
      </w:r>
      <w:bookmarkEnd w:id="82"/>
    </w:p>
    <w:bookmarkEnd w:id="83"/>
    <w:p w14:paraId="1B48C258" w14:textId="77777777" w:rsidR="00120717" w:rsidRPr="00B93EE1" w:rsidRDefault="00120717" w:rsidP="00F64A35">
      <w:pPr>
        <w:pStyle w:val="NoteText"/>
      </w:pPr>
      <w:r w:rsidRPr="00B93EE1">
        <w:t>(%, unless otherwise indicated)</w:t>
      </w:r>
    </w:p>
    <w:tbl>
      <w:tblPr>
        <w:tblStyle w:val="WTOTable1"/>
        <w:tblW w:w="5000" w:type="pct"/>
        <w:tblLook w:val="04A0" w:firstRow="1" w:lastRow="0" w:firstColumn="1" w:lastColumn="0" w:noHBand="0" w:noVBand="1"/>
      </w:tblPr>
      <w:tblGrid>
        <w:gridCol w:w="4872"/>
        <w:gridCol w:w="1282"/>
        <w:gridCol w:w="1284"/>
        <w:gridCol w:w="1578"/>
      </w:tblGrid>
      <w:tr w:rsidR="00120717" w:rsidRPr="00B93EE1" w14:paraId="3E8FB729" w14:textId="77777777" w:rsidTr="00F84559">
        <w:trPr>
          <w:cnfStyle w:val="100000000000" w:firstRow="1" w:lastRow="0" w:firstColumn="0" w:lastColumn="0" w:oddVBand="0" w:evenVBand="0" w:oddHBand="0" w:evenHBand="0" w:firstRowFirstColumn="0" w:firstRowLastColumn="0" w:lastRowFirstColumn="0" w:lastRowLastColumn="0"/>
        </w:trPr>
        <w:tc>
          <w:tcPr>
            <w:tcW w:w="2702" w:type="pct"/>
            <w:vMerge w:val="restart"/>
            <w:noWrap/>
            <w:hideMark/>
          </w:tcPr>
          <w:p w14:paraId="5154666F" w14:textId="77777777" w:rsidR="00120717" w:rsidRPr="00B93EE1" w:rsidRDefault="00120717" w:rsidP="004428E3">
            <w:pPr>
              <w:keepNext/>
              <w:jc w:val="left"/>
              <w:rPr>
                <w:sz w:val="16"/>
                <w:szCs w:val="16"/>
              </w:rPr>
            </w:pPr>
            <w:r w:rsidRPr="00B93EE1">
              <w:rPr>
                <w:b w:val="0"/>
                <w:bCs/>
                <w:color w:val="FFFFFF" w:themeColor="background1"/>
                <w:sz w:val="16"/>
                <w:szCs w:val="16"/>
              </w:rPr>
              <w:t> </w:t>
            </w:r>
          </w:p>
        </w:tc>
        <w:tc>
          <w:tcPr>
            <w:tcW w:w="1423" w:type="pct"/>
            <w:gridSpan w:val="2"/>
            <w:tcBorders>
              <w:top w:val="single" w:sz="4" w:space="0" w:color="auto"/>
              <w:bottom w:val="single" w:sz="4" w:space="0" w:color="auto"/>
            </w:tcBorders>
            <w:noWrap/>
            <w:hideMark/>
          </w:tcPr>
          <w:p w14:paraId="2DEAA091" w14:textId="77777777" w:rsidR="00120717" w:rsidRPr="00B93EE1" w:rsidRDefault="00120717" w:rsidP="004428E3">
            <w:pPr>
              <w:keepNext/>
              <w:jc w:val="center"/>
              <w:rPr>
                <w:sz w:val="16"/>
                <w:szCs w:val="16"/>
              </w:rPr>
            </w:pPr>
            <w:r w:rsidRPr="00B93EE1">
              <w:rPr>
                <w:sz w:val="16"/>
                <w:szCs w:val="16"/>
              </w:rPr>
              <w:t>MFN applied</w:t>
            </w:r>
          </w:p>
        </w:tc>
        <w:tc>
          <w:tcPr>
            <w:tcW w:w="875" w:type="pct"/>
            <w:vMerge w:val="restart"/>
            <w:noWrap/>
            <w:vAlign w:val="center"/>
            <w:hideMark/>
          </w:tcPr>
          <w:p w14:paraId="1D1EB844" w14:textId="77777777" w:rsidR="00120717" w:rsidRPr="00B93EE1" w:rsidRDefault="00120717" w:rsidP="004428E3">
            <w:pPr>
              <w:keepNext/>
              <w:jc w:val="center"/>
              <w:rPr>
                <w:sz w:val="16"/>
                <w:szCs w:val="16"/>
              </w:rPr>
            </w:pPr>
            <w:r w:rsidRPr="00B93EE1">
              <w:rPr>
                <w:sz w:val="16"/>
                <w:szCs w:val="16"/>
              </w:rPr>
              <w:t xml:space="preserve">Final </w:t>
            </w:r>
            <w:proofErr w:type="spellStart"/>
            <w:r w:rsidRPr="00B93EE1">
              <w:rPr>
                <w:sz w:val="16"/>
                <w:szCs w:val="16"/>
              </w:rPr>
              <w:t>bound</w:t>
            </w:r>
            <w:r w:rsidRPr="00B93EE1">
              <w:rPr>
                <w:sz w:val="16"/>
                <w:szCs w:val="16"/>
                <w:vertAlign w:val="superscript"/>
              </w:rPr>
              <w:t>a</w:t>
            </w:r>
            <w:proofErr w:type="spellEnd"/>
          </w:p>
        </w:tc>
      </w:tr>
      <w:tr w:rsidR="00120717" w:rsidRPr="00B93EE1" w14:paraId="791F87DC" w14:textId="77777777" w:rsidTr="00F84559">
        <w:tc>
          <w:tcPr>
            <w:tcW w:w="2702" w:type="pct"/>
            <w:vMerge/>
            <w:tcBorders>
              <w:bottom w:val="nil"/>
            </w:tcBorders>
            <w:shd w:val="clear" w:color="auto" w:fill="006283"/>
            <w:noWrap/>
            <w:hideMark/>
          </w:tcPr>
          <w:p w14:paraId="2A726B0D" w14:textId="77777777" w:rsidR="00120717" w:rsidRPr="00B93EE1" w:rsidRDefault="00120717" w:rsidP="004428E3">
            <w:pPr>
              <w:keepNext/>
              <w:jc w:val="left"/>
              <w:rPr>
                <w:b/>
                <w:bCs/>
                <w:color w:val="FFFFFF" w:themeColor="background1"/>
                <w:sz w:val="16"/>
                <w:szCs w:val="16"/>
              </w:rPr>
            </w:pPr>
          </w:p>
        </w:tc>
        <w:tc>
          <w:tcPr>
            <w:tcW w:w="711" w:type="pct"/>
            <w:tcBorders>
              <w:top w:val="single" w:sz="4" w:space="0" w:color="auto"/>
              <w:bottom w:val="nil"/>
            </w:tcBorders>
            <w:shd w:val="clear" w:color="auto" w:fill="006283"/>
            <w:hideMark/>
          </w:tcPr>
          <w:p w14:paraId="02818C52" w14:textId="77777777" w:rsidR="00120717" w:rsidRPr="00B93EE1" w:rsidRDefault="00120717" w:rsidP="004428E3">
            <w:pPr>
              <w:keepNext/>
              <w:jc w:val="center"/>
              <w:rPr>
                <w:b/>
                <w:bCs/>
                <w:color w:val="FFFFFF" w:themeColor="background1"/>
                <w:sz w:val="16"/>
                <w:szCs w:val="16"/>
              </w:rPr>
            </w:pPr>
            <w:r w:rsidRPr="00B93EE1">
              <w:rPr>
                <w:b/>
                <w:bCs/>
                <w:color w:val="FFFFFF" w:themeColor="background1"/>
                <w:sz w:val="16"/>
                <w:szCs w:val="16"/>
              </w:rPr>
              <w:t>2014</w:t>
            </w:r>
          </w:p>
        </w:tc>
        <w:tc>
          <w:tcPr>
            <w:tcW w:w="711" w:type="pct"/>
            <w:tcBorders>
              <w:top w:val="single" w:sz="4" w:space="0" w:color="auto"/>
              <w:bottom w:val="nil"/>
            </w:tcBorders>
            <w:shd w:val="clear" w:color="auto" w:fill="006283"/>
            <w:hideMark/>
          </w:tcPr>
          <w:p w14:paraId="3EF0DAEA" w14:textId="77777777" w:rsidR="00120717" w:rsidRPr="00B93EE1" w:rsidRDefault="00120717" w:rsidP="004428E3">
            <w:pPr>
              <w:keepNext/>
              <w:jc w:val="center"/>
              <w:rPr>
                <w:b/>
                <w:bCs/>
                <w:color w:val="FFFFFF" w:themeColor="background1"/>
                <w:sz w:val="16"/>
                <w:szCs w:val="16"/>
              </w:rPr>
            </w:pPr>
            <w:r w:rsidRPr="00B93EE1">
              <w:rPr>
                <w:b/>
                <w:bCs/>
                <w:color w:val="FFFFFF" w:themeColor="background1"/>
                <w:sz w:val="16"/>
                <w:szCs w:val="16"/>
              </w:rPr>
              <w:t>2021</w:t>
            </w:r>
          </w:p>
        </w:tc>
        <w:tc>
          <w:tcPr>
            <w:tcW w:w="875" w:type="pct"/>
            <w:vMerge/>
            <w:tcBorders>
              <w:bottom w:val="nil"/>
            </w:tcBorders>
            <w:shd w:val="clear" w:color="auto" w:fill="006283"/>
            <w:hideMark/>
          </w:tcPr>
          <w:p w14:paraId="390B1488" w14:textId="77777777" w:rsidR="00120717" w:rsidRPr="00B93EE1" w:rsidRDefault="00120717" w:rsidP="004428E3">
            <w:pPr>
              <w:keepNext/>
              <w:jc w:val="right"/>
              <w:rPr>
                <w:b/>
                <w:bCs/>
                <w:color w:val="FFFFFF" w:themeColor="background1"/>
                <w:sz w:val="16"/>
                <w:szCs w:val="16"/>
              </w:rPr>
            </w:pPr>
          </w:p>
        </w:tc>
      </w:tr>
      <w:tr w:rsidR="00120717" w:rsidRPr="00B93EE1" w14:paraId="260564C6" w14:textId="77777777" w:rsidTr="00F84559">
        <w:trPr>
          <w:cnfStyle w:val="000000010000" w:firstRow="0" w:lastRow="0" w:firstColumn="0" w:lastColumn="0" w:oddVBand="0" w:evenVBand="0" w:oddHBand="0" w:evenHBand="1" w:firstRowFirstColumn="0" w:firstRowLastColumn="0" w:lastRowFirstColumn="0" w:lastRowLastColumn="0"/>
        </w:trPr>
        <w:tc>
          <w:tcPr>
            <w:tcW w:w="2702" w:type="pct"/>
            <w:tcBorders>
              <w:top w:val="nil"/>
            </w:tcBorders>
            <w:noWrap/>
            <w:hideMark/>
          </w:tcPr>
          <w:p w14:paraId="49ABF6B0" w14:textId="77777777" w:rsidR="00120717" w:rsidRPr="00B93EE1" w:rsidRDefault="00120717" w:rsidP="00264CC3">
            <w:pPr>
              <w:jc w:val="left"/>
              <w:rPr>
                <w:sz w:val="16"/>
                <w:szCs w:val="16"/>
              </w:rPr>
            </w:pPr>
            <w:r w:rsidRPr="00B93EE1">
              <w:rPr>
                <w:sz w:val="16"/>
                <w:szCs w:val="16"/>
              </w:rPr>
              <w:t>Bound tariff lines (% of all tariff lines)</w:t>
            </w:r>
          </w:p>
        </w:tc>
        <w:tc>
          <w:tcPr>
            <w:tcW w:w="711" w:type="pct"/>
            <w:tcBorders>
              <w:top w:val="nil"/>
            </w:tcBorders>
            <w:noWrap/>
            <w:hideMark/>
          </w:tcPr>
          <w:p w14:paraId="652389D7" w14:textId="77777777" w:rsidR="00120717" w:rsidRPr="00B93EE1" w:rsidRDefault="00120717" w:rsidP="00B213DD">
            <w:pPr>
              <w:ind w:right="340"/>
              <w:jc w:val="right"/>
              <w:rPr>
                <w:sz w:val="16"/>
                <w:szCs w:val="16"/>
              </w:rPr>
            </w:pPr>
            <w:r w:rsidRPr="00B93EE1">
              <w:rPr>
                <w:sz w:val="16"/>
                <w:szCs w:val="16"/>
              </w:rPr>
              <w:t>100.0</w:t>
            </w:r>
            <w:r w:rsidRPr="00B93EE1">
              <w:rPr>
                <w:sz w:val="16"/>
                <w:szCs w:val="16"/>
                <w:vertAlign w:val="superscript"/>
              </w:rPr>
              <w:t>b</w:t>
            </w:r>
          </w:p>
        </w:tc>
        <w:tc>
          <w:tcPr>
            <w:tcW w:w="711" w:type="pct"/>
            <w:tcBorders>
              <w:top w:val="nil"/>
            </w:tcBorders>
            <w:noWrap/>
            <w:hideMark/>
          </w:tcPr>
          <w:p w14:paraId="1F6BD706" w14:textId="77777777" w:rsidR="00120717" w:rsidRPr="00B93EE1" w:rsidRDefault="00120717" w:rsidP="00B213DD">
            <w:pPr>
              <w:ind w:right="340"/>
              <w:jc w:val="right"/>
              <w:rPr>
                <w:sz w:val="16"/>
                <w:szCs w:val="16"/>
              </w:rPr>
            </w:pPr>
            <w:r w:rsidRPr="00B93EE1">
              <w:rPr>
                <w:sz w:val="16"/>
                <w:szCs w:val="16"/>
              </w:rPr>
              <w:t>100.0</w:t>
            </w:r>
            <w:r w:rsidRPr="00B93EE1">
              <w:rPr>
                <w:sz w:val="16"/>
                <w:szCs w:val="16"/>
                <w:vertAlign w:val="superscript"/>
              </w:rPr>
              <w:t>b</w:t>
            </w:r>
          </w:p>
        </w:tc>
        <w:tc>
          <w:tcPr>
            <w:tcW w:w="875" w:type="pct"/>
            <w:tcBorders>
              <w:top w:val="nil"/>
            </w:tcBorders>
            <w:noWrap/>
            <w:hideMark/>
          </w:tcPr>
          <w:p w14:paraId="0724B376" w14:textId="77777777" w:rsidR="00120717" w:rsidRPr="00B93EE1" w:rsidRDefault="00120717" w:rsidP="00B213DD">
            <w:pPr>
              <w:ind w:right="340"/>
              <w:jc w:val="right"/>
              <w:rPr>
                <w:sz w:val="16"/>
                <w:szCs w:val="16"/>
              </w:rPr>
            </w:pPr>
            <w:r w:rsidRPr="00B93EE1">
              <w:rPr>
                <w:sz w:val="16"/>
                <w:szCs w:val="16"/>
              </w:rPr>
              <w:t>100.0</w:t>
            </w:r>
            <w:r w:rsidRPr="00B93EE1">
              <w:rPr>
                <w:sz w:val="16"/>
                <w:szCs w:val="16"/>
                <w:vertAlign w:val="superscript"/>
              </w:rPr>
              <w:t>b</w:t>
            </w:r>
          </w:p>
        </w:tc>
      </w:tr>
      <w:tr w:rsidR="00120717" w:rsidRPr="00B93EE1" w14:paraId="3B2D2A55" w14:textId="77777777" w:rsidTr="00F84559">
        <w:tc>
          <w:tcPr>
            <w:tcW w:w="2702" w:type="pct"/>
            <w:noWrap/>
            <w:hideMark/>
          </w:tcPr>
          <w:p w14:paraId="37F7CE88" w14:textId="77777777" w:rsidR="00120717" w:rsidRPr="00B93EE1" w:rsidRDefault="00120717" w:rsidP="00264CC3">
            <w:pPr>
              <w:jc w:val="left"/>
              <w:rPr>
                <w:sz w:val="16"/>
                <w:szCs w:val="16"/>
              </w:rPr>
            </w:pPr>
            <w:r w:rsidRPr="00B93EE1">
              <w:rPr>
                <w:sz w:val="16"/>
                <w:szCs w:val="16"/>
              </w:rPr>
              <w:t>Simple average rate</w:t>
            </w:r>
          </w:p>
        </w:tc>
        <w:tc>
          <w:tcPr>
            <w:tcW w:w="711" w:type="pct"/>
            <w:noWrap/>
            <w:hideMark/>
          </w:tcPr>
          <w:p w14:paraId="38BAFFA3" w14:textId="77777777" w:rsidR="00120717" w:rsidRPr="00B93EE1" w:rsidRDefault="00120717" w:rsidP="00B213DD">
            <w:pPr>
              <w:ind w:right="340"/>
              <w:jc w:val="right"/>
              <w:rPr>
                <w:sz w:val="16"/>
                <w:szCs w:val="16"/>
              </w:rPr>
            </w:pPr>
            <w:r w:rsidRPr="00B93EE1">
              <w:rPr>
                <w:sz w:val="16"/>
                <w:szCs w:val="16"/>
              </w:rPr>
              <w:t>2.4</w:t>
            </w:r>
          </w:p>
        </w:tc>
        <w:tc>
          <w:tcPr>
            <w:tcW w:w="711" w:type="pct"/>
            <w:noWrap/>
            <w:hideMark/>
          </w:tcPr>
          <w:p w14:paraId="78EDEDF2" w14:textId="77777777" w:rsidR="00120717" w:rsidRPr="00B93EE1" w:rsidRDefault="00120717" w:rsidP="00B213DD">
            <w:pPr>
              <w:ind w:right="340"/>
              <w:jc w:val="right"/>
              <w:rPr>
                <w:sz w:val="16"/>
                <w:szCs w:val="16"/>
              </w:rPr>
            </w:pPr>
            <w:r w:rsidRPr="00B93EE1">
              <w:rPr>
                <w:sz w:val="16"/>
                <w:szCs w:val="16"/>
              </w:rPr>
              <w:t>2.2</w:t>
            </w:r>
          </w:p>
        </w:tc>
        <w:tc>
          <w:tcPr>
            <w:tcW w:w="875" w:type="pct"/>
            <w:noWrap/>
            <w:hideMark/>
          </w:tcPr>
          <w:p w14:paraId="5ACE6608" w14:textId="77777777" w:rsidR="00120717" w:rsidRPr="00B93EE1" w:rsidRDefault="00120717" w:rsidP="00B213DD">
            <w:pPr>
              <w:ind w:right="340"/>
              <w:jc w:val="right"/>
              <w:rPr>
                <w:sz w:val="16"/>
                <w:szCs w:val="16"/>
              </w:rPr>
            </w:pPr>
            <w:r w:rsidRPr="00B93EE1">
              <w:rPr>
                <w:sz w:val="16"/>
                <w:szCs w:val="16"/>
              </w:rPr>
              <w:t>10.5</w:t>
            </w:r>
          </w:p>
        </w:tc>
      </w:tr>
      <w:tr w:rsidR="00120717" w:rsidRPr="00B93EE1" w14:paraId="45AA585E" w14:textId="77777777" w:rsidTr="00F84559">
        <w:trPr>
          <w:cnfStyle w:val="000000010000" w:firstRow="0" w:lastRow="0" w:firstColumn="0" w:lastColumn="0" w:oddVBand="0" w:evenVBand="0" w:oddHBand="0" w:evenHBand="1" w:firstRowFirstColumn="0" w:firstRowLastColumn="0" w:lastRowFirstColumn="0" w:lastRowLastColumn="0"/>
        </w:trPr>
        <w:tc>
          <w:tcPr>
            <w:tcW w:w="2702" w:type="pct"/>
            <w:noWrap/>
            <w:hideMark/>
          </w:tcPr>
          <w:p w14:paraId="4EBDC829" w14:textId="77777777" w:rsidR="00120717" w:rsidRPr="00B93EE1" w:rsidRDefault="00120717" w:rsidP="00264CC3">
            <w:pPr>
              <w:ind w:left="227"/>
              <w:jc w:val="left"/>
              <w:rPr>
                <w:sz w:val="16"/>
                <w:szCs w:val="16"/>
              </w:rPr>
            </w:pPr>
            <w:r w:rsidRPr="00B93EE1">
              <w:rPr>
                <w:sz w:val="16"/>
                <w:szCs w:val="16"/>
              </w:rPr>
              <w:t>WTO agricultural products</w:t>
            </w:r>
          </w:p>
        </w:tc>
        <w:tc>
          <w:tcPr>
            <w:tcW w:w="711" w:type="pct"/>
            <w:noWrap/>
            <w:hideMark/>
          </w:tcPr>
          <w:p w14:paraId="61B49918" w14:textId="77777777" w:rsidR="00120717" w:rsidRPr="00B93EE1" w:rsidRDefault="00120717" w:rsidP="00B213DD">
            <w:pPr>
              <w:ind w:right="340"/>
              <w:jc w:val="right"/>
              <w:rPr>
                <w:sz w:val="16"/>
                <w:szCs w:val="16"/>
              </w:rPr>
            </w:pPr>
            <w:r w:rsidRPr="00B93EE1">
              <w:rPr>
                <w:sz w:val="16"/>
                <w:szCs w:val="16"/>
              </w:rPr>
              <w:t>1.7</w:t>
            </w:r>
          </w:p>
        </w:tc>
        <w:tc>
          <w:tcPr>
            <w:tcW w:w="711" w:type="pct"/>
            <w:noWrap/>
            <w:hideMark/>
          </w:tcPr>
          <w:p w14:paraId="68622381" w14:textId="77777777" w:rsidR="00120717" w:rsidRPr="00B93EE1" w:rsidRDefault="00120717" w:rsidP="00B213DD">
            <w:pPr>
              <w:ind w:right="340"/>
              <w:jc w:val="right"/>
              <w:rPr>
                <w:sz w:val="16"/>
                <w:szCs w:val="16"/>
              </w:rPr>
            </w:pPr>
            <w:r w:rsidRPr="00B93EE1">
              <w:rPr>
                <w:sz w:val="16"/>
                <w:szCs w:val="16"/>
              </w:rPr>
              <w:t>1.8</w:t>
            </w:r>
          </w:p>
        </w:tc>
        <w:tc>
          <w:tcPr>
            <w:tcW w:w="875" w:type="pct"/>
            <w:noWrap/>
            <w:hideMark/>
          </w:tcPr>
          <w:p w14:paraId="17F8FA63" w14:textId="77777777" w:rsidR="00120717" w:rsidRPr="00B93EE1" w:rsidRDefault="00120717" w:rsidP="00B213DD">
            <w:pPr>
              <w:ind w:right="340"/>
              <w:jc w:val="right"/>
              <w:rPr>
                <w:sz w:val="16"/>
                <w:szCs w:val="16"/>
              </w:rPr>
            </w:pPr>
            <w:r w:rsidRPr="00B93EE1">
              <w:rPr>
                <w:sz w:val="16"/>
                <w:szCs w:val="16"/>
              </w:rPr>
              <w:t>7.4</w:t>
            </w:r>
          </w:p>
        </w:tc>
      </w:tr>
      <w:tr w:rsidR="00120717" w:rsidRPr="00B93EE1" w14:paraId="36A6E19B" w14:textId="77777777" w:rsidTr="00F84559">
        <w:tc>
          <w:tcPr>
            <w:tcW w:w="2702" w:type="pct"/>
            <w:noWrap/>
            <w:hideMark/>
          </w:tcPr>
          <w:p w14:paraId="330CF507" w14:textId="77777777" w:rsidR="00120717" w:rsidRPr="00B93EE1" w:rsidRDefault="00120717" w:rsidP="00264CC3">
            <w:pPr>
              <w:ind w:left="227"/>
              <w:jc w:val="left"/>
              <w:rPr>
                <w:sz w:val="16"/>
                <w:szCs w:val="16"/>
              </w:rPr>
            </w:pPr>
            <w:r w:rsidRPr="00B93EE1">
              <w:rPr>
                <w:sz w:val="16"/>
                <w:szCs w:val="16"/>
              </w:rPr>
              <w:t>WTO non-agricultural products</w:t>
            </w:r>
          </w:p>
        </w:tc>
        <w:tc>
          <w:tcPr>
            <w:tcW w:w="711" w:type="pct"/>
            <w:noWrap/>
            <w:hideMark/>
          </w:tcPr>
          <w:p w14:paraId="1320D015" w14:textId="77777777" w:rsidR="00120717" w:rsidRPr="00B93EE1" w:rsidRDefault="00120717" w:rsidP="00B213DD">
            <w:pPr>
              <w:ind w:right="340"/>
              <w:jc w:val="right"/>
              <w:rPr>
                <w:sz w:val="16"/>
                <w:szCs w:val="16"/>
              </w:rPr>
            </w:pPr>
            <w:r w:rsidRPr="00B93EE1">
              <w:rPr>
                <w:sz w:val="16"/>
                <w:szCs w:val="16"/>
              </w:rPr>
              <w:t>2.5</w:t>
            </w:r>
          </w:p>
        </w:tc>
        <w:tc>
          <w:tcPr>
            <w:tcW w:w="711" w:type="pct"/>
            <w:noWrap/>
            <w:hideMark/>
          </w:tcPr>
          <w:p w14:paraId="6CDB747E" w14:textId="77777777" w:rsidR="00120717" w:rsidRPr="00B93EE1" w:rsidRDefault="00120717" w:rsidP="00B213DD">
            <w:pPr>
              <w:ind w:right="340"/>
              <w:jc w:val="right"/>
              <w:rPr>
                <w:sz w:val="16"/>
                <w:szCs w:val="16"/>
              </w:rPr>
            </w:pPr>
            <w:r w:rsidRPr="00B93EE1">
              <w:rPr>
                <w:sz w:val="16"/>
                <w:szCs w:val="16"/>
              </w:rPr>
              <w:t>2.3</w:t>
            </w:r>
          </w:p>
        </w:tc>
        <w:tc>
          <w:tcPr>
            <w:tcW w:w="875" w:type="pct"/>
            <w:noWrap/>
            <w:hideMark/>
          </w:tcPr>
          <w:p w14:paraId="3A10EED3" w14:textId="77777777" w:rsidR="00120717" w:rsidRPr="00B93EE1" w:rsidRDefault="00120717" w:rsidP="00B213DD">
            <w:pPr>
              <w:ind w:right="340"/>
              <w:jc w:val="right"/>
              <w:rPr>
                <w:sz w:val="16"/>
                <w:szCs w:val="16"/>
              </w:rPr>
            </w:pPr>
            <w:r w:rsidRPr="00B93EE1">
              <w:rPr>
                <w:sz w:val="16"/>
                <w:szCs w:val="16"/>
              </w:rPr>
              <w:t>11.0</w:t>
            </w:r>
          </w:p>
        </w:tc>
      </w:tr>
      <w:tr w:rsidR="00120717" w:rsidRPr="00B93EE1" w14:paraId="7FFA53BE" w14:textId="77777777" w:rsidTr="00F84559">
        <w:trPr>
          <w:cnfStyle w:val="000000010000" w:firstRow="0" w:lastRow="0" w:firstColumn="0" w:lastColumn="0" w:oddVBand="0" w:evenVBand="0" w:oddHBand="0" w:evenHBand="1" w:firstRowFirstColumn="0" w:firstRowLastColumn="0" w:lastRowFirstColumn="0" w:lastRowLastColumn="0"/>
        </w:trPr>
        <w:tc>
          <w:tcPr>
            <w:tcW w:w="2702" w:type="pct"/>
            <w:noWrap/>
            <w:hideMark/>
          </w:tcPr>
          <w:p w14:paraId="3B29BFB1" w14:textId="77777777" w:rsidR="00120717" w:rsidRPr="00B93EE1" w:rsidRDefault="00120717" w:rsidP="00264CC3">
            <w:pPr>
              <w:jc w:val="left"/>
              <w:rPr>
                <w:sz w:val="16"/>
                <w:szCs w:val="16"/>
              </w:rPr>
            </w:pPr>
            <w:r w:rsidRPr="00B93EE1">
              <w:rPr>
                <w:sz w:val="16"/>
                <w:szCs w:val="16"/>
              </w:rPr>
              <w:t>Duty-free tariff lines (% of all tariff lines)</w:t>
            </w:r>
          </w:p>
        </w:tc>
        <w:tc>
          <w:tcPr>
            <w:tcW w:w="711" w:type="pct"/>
            <w:noWrap/>
            <w:hideMark/>
          </w:tcPr>
          <w:p w14:paraId="4BABAE9C" w14:textId="77777777" w:rsidR="00120717" w:rsidRPr="00B93EE1" w:rsidRDefault="00120717" w:rsidP="00B213DD">
            <w:pPr>
              <w:ind w:right="340"/>
              <w:jc w:val="right"/>
              <w:rPr>
                <w:sz w:val="16"/>
                <w:szCs w:val="16"/>
              </w:rPr>
            </w:pPr>
            <w:r w:rsidRPr="00B93EE1">
              <w:rPr>
                <w:sz w:val="16"/>
                <w:szCs w:val="16"/>
              </w:rPr>
              <w:t>58.3</w:t>
            </w:r>
          </w:p>
        </w:tc>
        <w:tc>
          <w:tcPr>
            <w:tcW w:w="711" w:type="pct"/>
            <w:noWrap/>
            <w:hideMark/>
          </w:tcPr>
          <w:p w14:paraId="14567130" w14:textId="77777777" w:rsidR="00120717" w:rsidRPr="00B93EE1" w:rsidRDefault="00120717" w:rsidP="00B213DD">
            <w:pPr>
              <w:ind w:right="340"/>
              <w:jc w:val="right"/>
              <w:rPr>
                <w:sz w:val="16"/>
                <w:szCs w:val="16"/>
              </w:rPr>
            </w:pPr>
            <w:r w:rsidRPr="00B93EE1">
              <w:rPr>
                <w:sz w:val="16"/>
                <w:szCs w:val="16"/>
              </w:rPr>
              <w:t>61.1</w:t>
            </w:r>
          </w:p>
        </w:tc>
        <w:tc>
          <w:tcPr>
            <w:tcW w:w="875" w:type="pct"/>
            <w:noWrap/>
            <w:hideMark/>
          </w:tcPr>
          <w:p w14:paraId="53410219" w14:textId="77777777" w:rsidR="00120717" w:rsidRPr="00B93EE1" w:rsidRDefault="00120717" w:rsidP="00B213DD">
            <w:pPr>
              <w:ind w:right="340"/>
              <w:jc w:val="right"/>
              <w:rPr>
                <w:sz w:val="16"/>
                <w:szCs w:val="16"/>
              </w:rPr>
            </w:pPr>
            <w:r w:rsidRPr="00B93EE1">
              <w:rPr>
                <w:sz w:val="16"/>
                <w:szCs w:val="16"/>
              </w:rPr>
              <w:t>44.2</w:t>
            </w:r>
          </w:p>
        </w:tc>
      </w:tr>
      <w:tr w:rsidR="00120717" w:rsidRPr="00B93EE1" w14:paraId="151939BE" w14:textId="77777777" w:rsidTr="00F84559">
        <w:tc>
          <w:tcPr>
            <w:tcW w:w="2702" w:type="pct"/>
            <w:noWrap/>
            <w:hideMark/>
          </w:tcPr>
          <w:p w14:paraId="416B97FC" w14:textId="77777777" w:rsidR="00120717" w:rsidRPr="00B93EE1" w:rsidRDefault="00120717" w:rsidP="00264CC3">
            <w:pPr>
              <w:jc w:val="left"/>
              <w:rPr>
                <w:sz w:val="16"/>
                <w:szCs w:val="16"/>
              </w:rPr>
            </w:pPr>
            <w:r w:rsidRPr="00B93EE1">
              <w:rPr>
                <w:sz w:val="16"/>
                <w:szCs w:val="16"/>
              </w:rPr>
              <w:t>Simple average of dutiable lines only</w:t>
            </w:r>
          </w:p>
        </w:tc>
        <w:tc>
          <w:tcPr>
            <w:tcW w:w="711" w:type="pct"/>
            <w:noWrap/>
            <w:hideMark/>
          </w:tcPr>
          <w:p w14:paraId="57B2710B" w14:textId="77777777" w:rsidR="00120717" w:rsidRPr="00B93EE1" w:rsidRDefault="00120717" w:rsidP="00B213DD">
            <w:pPr>
              <w:ind w:right="340"/>
              <w:jc w:val="right"/>
              <w:rPr>
                <w:sz w:val="16"/>
                <w:szCs w:val="16"/>
              </w:rPr>
            </w:pPr>
            <w:r w:rsidRPr="00B93EE1">
              <w:rPr>
                <w:sz w:val="16"/>
                <w:szCs w:val="16"/>
              </w:rPr>
              <w:t>5.7</w:t>
            </w:r>
          </w:p>
        </w:tc>
        <w:tc>
          <w:tcPr>
            <w:tcW w:w="711" w:type="pct"/>
            <w:noWrap/>
            <w:hideMark/>
          </w:tcPr>
          <w:p w14:paraId="73A78C4F" w14:textId="77777777" w:rsidR="00120717" w:rsidRPr="00B93EE1" w:rsidRDefault="00120717" w:rsidP="00B213DD">
            <w:pPr>
              <w:ind w:right="340"/>
              <w:jc w:val="right"/>
              <w:rPr>
                <w:sz w:val="16"/>
                <w:szCs w:val="16"/>
              </w:rPr>
            </w:pPr>
            <w:r w:rsidRPr="00B93EE1">
              <w:rPr>
                <w:sz w:val="16"/>
                <w:szCs w:val="16"/>
              </w:rPr>
              <w:t>5.7</w:t>
            </w:r>
          </w:p>
        </w:tc>
        <w:tc>
          <w:tcPr>
            <w:tcW w:w="875" w:type="pct"/>
            <w:noWrap/>
            <w:hideMark/>
          </w:tcPr>
          <w:p w14:paraId="7DBEA051" w14:textId="77777777" w:rsidR="00120717" w:rsidRPr="00B93EE1" w:rsidRDefault="00120717" w:rsidP="00B213DD">
            <w:pPr>
              <w:ind w:right="340"/>
              <w:jc w:val="right"/>
              <w:rPr>
                <w:sz w:val="16"/>
                <w:szCs w:val="16"/>
              </w:rPr>
            </w:pPr>
            <w:r w:rsidRPr="00B93EE1">
              <w:rPr>
                <w:sz w:val="16"/>
                <w:szCs w:val="16"/>
              </w:rPr>
              <w:t>18.9</w:t>
            </w:r>
          </w:p>
        </w:tc>
      </w:tr>
      <w:tr w:rsidR="00120717" w:rsidRPr="00B93EE1" w14:paraId="7DBE24C6" w14:textId="77777777" w:rsidTr="00F84559">
        <w:trPr>
          <w:cnfStyle w:val="000000010000" w:firstRow="0" w:lastRow="0" w:firstColumn="0" w:lastColumn="0" w:oddVBand="0" w:evenVBand="0" w:oddHBand="0" w:evenHBand="1" w:firstRowFirstColumn="0" w:firstRowLastColumn="0" w:lastRowFirstColumn="0" w:lastRowLastColumn="0"/>
        </w:trPr>
        <w:tc>
          <w:tcPr>
            <w:tcW w:w="2702" w:type="pct"/>
            <w:noWrap/>
            <w:hideMark/>
          </w:tcPr>
          <w:p w14:paraId="03C8DA4F" w14:textId="77777777" w:rsidR="00120717" w:rsidRPr="00B93EE1" w:rsidRDefault="00120717" w:rsidP="00264CC3">
            <w:pPr>
              <w:jc w:val="left"/>
              <w:rPr>
                <w:sz w:val="16"/>
                <w:szCs w:val="16"/>
              </w:rPr>
            </w:pPr>
            <w:r w:rsidRPr="00B93EE1">
              <w:rPr>
                <w:sz w:val="16"/>
                <w:szCs w:val="16"/>
              </w:rPr>
              <w:t>Tariff quotas (% of all tariff lines)</w:t>
            </w:r>
          </w:p>
        </w:tc>
        <w:tc>
          <w:tcPr>
            <w:tcW w:w="711" w:type="pct"/>
            <w:noWrap/>
            <w:hideMark/>
          </w:tcPr>
          <w:p w14:paraId="4B6BC996" w14:textId="77777777" w:rsidR="00120717" w:rsidRPr="00B93EE1" w:rsidRDefault="00120717" w:rsidP="00B213DD">
            <w:pPr>
              <w:ind w:right="340"/>
              <w:jc w:val="right"/>
              <w:rPr>
                <w:sz w:val="16"/>
                <w:szCs w:val="16"/>
              </w:rPr>
            </w:pPr>
            <w:r w:rsidRPr="00B93EE1">
              <w:rPr>
                <w:sz w:val="16"/>
                <w:szCs w:val="16"/>
              </w:rPr>
              <w:t>0.0</w:t>
            </w:r>
          </w:p>
        </w:tc>
        <w:tc>
          <w:tcPr>
            <w:tcW w:w="711" w:type="pct"/>
            <w:noWrap/>
            <w:hideMark/>
          </w:tcPr>
          <w:p w14:paraId="012164E0" w14:textId="77777777" w:rsidR="00120717" w:rsidRPr="00B93EE1" w:rsidRDefault="00120717" w:rsidP="00B213DD">
            <w:pPr>
              <w:ind w:right="340"/>
              <w:jc w:val="right"/>
              <w:rPr>
                <w:sz w:val="16"/>
                <w:szCs w:val="16"/>
              </w:rPr>
            </w:pPr>
            <w:r w:rsidRPr="00B93EE1">
              <w:rPr>
                <w:sz w:val="16"/>
                <w:szCs w:val="16"/>
              </w:rPr>
              <w:t>0.0</w:t>
            </w:r>
          </w:p>
        </w:tc>
        <w:tc>
          <w:tcPr>
            <w:tcW w:w="875" w:type="pct"/>
            <w:noWrap/>
            <w:hideMark/>
          </w:tcPr>
          <w:p w14:paraId="79278FA2" w14:textId="77777777" w:rsidR="00120717" w:rsidRPr="00B93EE1" w:rsidRDefault="00120717" w:rsidP="00B213DD">
            <w:pPr>
              <w:ind w:right="340"/>
              <w:jc w:val="right"/>
              <w:rPr>
                <w:sz w:val="16"/>
                <w:szCs w:val="16"/>
              </w:rPr>
            </w:pPr>
            <w:r w:rsidRPr="00B93EE1">
              <w:rPr>
                <w:sz w:val="16"/>
                <w:szCs w:val="16"/>
              </w:rPr>
              <w:t>0.0</w:t>
            </w:r>
          </w:p>
        </w:tc>
      </w:tr>
      <w:tr w:rsidR="00120717" w:rsidRPr="00B93EE1" w14:paraId="354CF13B" w14:textId="77777777" w:rsidTr="00F84559">
        <w:tc>
          <w:tcPr>
            <w:tcW w:w="2702" w:type="pct"/>
            <w:noWrap/>
            <w:hideMark/>
          </w:tcPr>
          <w:p w14:paraId="0295AD1B" w14:textId="77777777" w:rsidR="00120717" w:rsidRPr="00B93EE1" w:rsidRDefault="00120717" w:rsidP="00264CC3">
            <w:pPr>
              <w:jc w:val="left"/>
              <w:rPr>
                <w:sz w:val="16"/>
                <w:szCs w:val="16"/>
              </w:rPr>
            </w:pPr>
            <w:r w:rsidRPr="00B93EE1">
              <w:rPr>
                <w:sz w:val="16"/>
                <w:szCs w:val="16"/>
              </w:rPr>
              <w:t>Non-</w:t>
            </w:r>
            <w:r w:rsidRPr="00B93EE1">
              <w:rPr>
                <w:i/>
                <w:sz w:val="16"/>
                <w:szCs w:val="16"/>
              </w:rPr>
              <w:t>ad valorem</w:t>
            </w:r>
            <w:r w:rsidRPr="00B93EE1">
              <w:rPr>
                <w:sz w:val="16"/>
                <w:szCs w:val="16"/>
              </w:rPr>
              <w:t xml:space="preserve"> tariffs (% of all tariff lines)</w:t>
            </w:r>
          </w:p>
        </w:tc>
        <w:tc>
          <w:tcPr>
            <w:tcW w:w="711" w:type="pct"/>
            <w:noWrap/>
            <w:hideMark/>
          </w:tcPr>
          <w:p w14:paraId="431E8AF2" w14:textId="77777777" w:rsidR="00120717" w:rsidRPr="00B93EE1" w:rsidRDefault="00120717" w:rsidP="00B213DD">
            <w:pPr>
              <w:ind w:right="340"/>
              <w:jc w:val="right"/>
              <w:rPr>
                <w:sz w:val="16"/>
                <w:szCs w:val="16"/>
              </w:rPr>
            </w:pPr>
            <w:r w:rsidRPr="00B93EE1">
              <w:rPr>
                <w:sz w:val="16"/>
                <w:szCs w:val="16"/>
              </w:rPr>
              <w:t>0.1</w:t>
            </w:r>
          </w:p>
        </w:tc>
        <w:tc>
          <w:tcPr>
            <w:tcW w:w="711" w:type="pct"/>
            <w:noWrap/>
            <w:hideMark/>
          </w:tcPr>
          <w:p w14:paraId="05C55138" w14:textId="77777777" w:rsidR="00120717" w:rsidRPr="00B93EE1" w:rsidRDefault="00120717" w:rsidP="00B213DD">
            <w:pPr>
              <w:ind w:right="340"/>
              <w:jc w:val="right"/>
              <w:rPr>
                <w:sz w:val="16"/>
                <w:szCs w:val="16"/>
              </w:rPr>
            </w:pPr>
            <w:r w:rsidRPr="00B93EE1">
              <w:rPr>
                <w:sz w:val="16"/>
                <w:szCs w:val="16"/>
              </w:rPr>
              <w:t>0.1</w:t>
            </w:r>
          </w:p>
        </w:tc>
        <w:tc>
          <w:tcPr>
            <w:tcW w:w="875" w:type="pct"/>
            <w:noWrap/>
            <w:hideMark/>
          </w:tcPr>
          <w:p w14:paraId="7DC979A7" w14:textId="77777777" w:rsidR="00120717" w:rsidRPr="00B93EE1" w:rsidRDefault="00120717" w:rsidP="00B213DD">
            <w:pPr>
              <w:ind w:right="340"/>
              <w:jc w:val="right"/>
              <w:rPr>
                <w:sz w:val="16"/>
                <w:szCs w:val="16"/>
              </w:rPr>
            </w:pPr>
            <w:r w:rsidRPr="00B93EE1">
              <w:rPr>
                <w:sz w:val="16"/>
                <w:szCs w:val="16"/>
              </w:rPr>
              <w:t>3.1</w:t>
            </w:r>
          </w:p>
        </w:tc>
      </w:tr>
      <w:tr w:rsidR="00120717" w:rsidRPr="00B93EE1" w14:paraId="6D12A11B" w14:textId="77777777" w:rsidTr="00F84559">
        <w:trPr>
          <w:cnfStyle w:val="000000010000" w:firstRow="0" w:lastRow="0" w:firstColumn="0" w:lastColumn="0" w:oddVBand="0" w:evenVBand="0" w:oddHBand="0" w:evenHBand="1" w:firstRowFirstColumn="0" w:firstRowLastColumn="0" w:lastRowFirstColumn="0" w:lastRowLastColumn="0"/>
        </w:trPr>
        <w:tc>
          <w:tcPr>
            <w:tcW w:w="2702" w:type="pct"/>
            <w:noWrap/>
            <w:hideMark/>
          </w:tcPr>
          <w:p w14:paraId="63CF3E1F" w14:textId="77777777" w:rsidR="00120717" w:rsidRPr="00B93EE1" w:rsidRDefault="00120717" w:rsidP="00264CC3">
            <w:pPr>
              <w:jc w:val="left"/>
              <w:rPr>
                <w:sz w:val="16"/>
                <w:szCs w:val="16"/>
              </w:rPr>
            </w:pPr>
            <w:r w:rsidRPr="00B93EE1">
              <w:rPr>
                <w:sz w:val="16"/>
                <w:szCs w:val="16"/>
              </w:rPr>
              <w:t>Domestic tariff "peaks" (% of all tariff lines)</w:t>
            </w:r>
            <w:r w:rsidRPr="00B93EE1">
              <w:rPr>
                <w:sz w:val="16"/>
                <w:szCs w:val="16"/>
                <w:vertAlign w:val="superscript"/>
              </w:rPr>
              <w:t xml:space="preserve"> c</w:t>
            </w:r>
          </w:p>
        </w:tc>
        <w:tc>
          <w:tcPr>
            <w:tcW w:w="711" w:type="pct"/>
            <w:noWrap/>
            <w:hideMark/>
          </w:tcPr>
          <w:p w14:paraId="208F155D" w14:textId="77777777" w:rsidR="00120717" w:rsidRPr="00B93EE1" w:rsidRDefault="00120717" w:rsidP="00B213DD">
            <w:pPr>
              <w:ind w:right="340"/>
              <w:jc w:val="right"/>
              <w:rPr>
                <w:sz w:val="16"/>
                <w:szCs w:val="16"/>
              </w:rPr>
            </w:pPr>
            <w:r w:rsidRPr="00B93EE1">
              <w:rPr>
                <w:sz w:val="16"/>
                <w:szCs w:val="16"/>
              </w:rPr>
              <w:t>5.6</w:t>
            </w:r>
          </w:p>
        </w:tc>
        <w:tc>
          <w:tcPr>
            <w:tcW w:w="711" w:type="pct"/>
            <w:noWrap/>
            <w:hideMark/>
          </w:tcPr>
          <w:p w14:paraId="2C334C0E" w14:textId="77777777" w:rsidR="00120717" w:rsidRPr="00B93EE1" w:rsidRDefault="00120717" w:rsidP="00B213DD">
            <w:pPr>
              <w:ind w:right="340"/>
              <w:jc w:val="right"/>
              <w:rPr>
                <w:sz w:val="16"/>
                <w:szCs w:val="16"/>
              </w:rPr>
            </w:pPr>
            <w:r w:rsidRPr="00B93EE1">
              <w:rPr>
                <w:sz w:val="16"/>
                <w:szCs w:val="16"/>
              </w:rPr>
              <w:t>5.6</w:t>
            </w:r>
          </w:p>
        </w:tc>
        <w:tc>
          <w:tcPr>
            <w:tcW w:w="875" w:type="pct"/>
            <w:noWrap/>
            <w:hideMark/>
          </w:tcPr>
          <w:p w14:paraId="46F98290" w14:textId="77777777" w:rsidR="00120717" w:rsidRPr="00B93EE1" w:rsidRDefault="00120717" w:rsidP="00B213DD">
            <w:pPr>
              <w:ind w:right="340"/>
              <w:jc w:val="right"/>
              <w:rPr>
                <w:sz w:val="16"/>
                <w:szCs w:val="16"/>
              </w:rPr>
            </w:pPr>
            <w:r w:rsidRPr="00B93EE1">
              <w:rPr>
                <w:sz w:val="16"/>
                <w:szCs w:val="16"/>
              </w:rPr>
              <w:t>5.5</w:t>
            </w:r>
          </w:p>
        </w:tc>
      </w:tr>
      <w:tr w:rsidR="00120717" w:rsidRPr="00B93EE1" w14:paraId="155CFDAB" w14:textId="77777777" w:rsidTr="00F84559">
        <w:tc>
          <w:tcPr>
            <w:tcW w:w="2702" w:type="pct"/>
            <w:noWrap/>
            <w:hideMark/>
          </w:tcPr>
          <w:p w14:paraId="7EBB7DFE" w14:textId="77777777" w:rsidR="00120717" w:rsidRPr="00B93EE1" w:rsidRDefault="00120717" w:rsidP="00264CC3">
            <w:pPr>
              <w:jc w:val="left"/>
              <w:rPr>
                <w:sz w:val="16"/>
                <w:szCs w:val="16"/>
              </w:rPr>
            </w:pPr>
            <w:r w:rsidRPr="00B93EE1">
              <w:rPr>
                <w:sz w:val="16"/>
                <w:szCs w:val="16"/>
              </w:rPr>
              <w:t>International tariff "peaks" (% of all tariff lines)</w:t>
            </w:r>
            <w:r w:rsidRPr="00B93EE1">
              <w:rPr>
                <w:sz w:val="16"/>
                <w:szCs w:val="16"/>
                <w:vertAlign w:val="superscript"/>
              </w:rPr>
              <w:t>d</w:t>
            </w:r>
          </w:p>
        </w:tc>
        <w:tc>
          <w:tcPr>
            <w:tcW w:w="711" w:type="pct"/>
            <w:noWrap/>
            <w:hideMark/>
          </w:tcPr>
          <w:p w14:paraId="79DD7CC5" w14:textId="77777777" w:rsidR="00120717" w:rsidRPr="00B93EE1" w:rsidRDefault="00120717" w:rsidP="00B213DD">
            <w:pPr>
              <w:ind w:right="340"/>
              <w:jc w:val="right"/>
              <w:rPr>
                <w:sz w:val="16"/>
                <w:szCs w:val="16"/>
              </w:rPr>
            </w:pPr>
            <w:r w:rsidRPr="00B93EE1">
              <w:rPr>
                <w:sz w:val="16"/>
                <w:szCs w:val="16"/>
              </w:rPr>
              <w:t>0.03</w:t>
            </w:r>
          </w:p>
        </w:tc>
        <w:tc>
          <w:tcPr>
            <w:tcW w:w="711" w:type="pct"/>
            <w:noWrap/>
            <w:hideMark/>
          </w:tcPr>
          <w:p w14:paraId="41088961" w14:textId="77777777" w:rsidR="00120717" w:rsidRPr="00B93EE1" w:rsidRDefault="00120717" w:rsidP="00B213DD">
            <w:pPr>
              <w:ind w:right="340"/>
              <w:jc w:val="right"/>
              <w:rPr>
                <w:sz w:val="16"/>
                <w:szCs w:val="16"/>
              </w:rPr>
            </w:pPr>
            <w:r w:rsidRPr="00B93EE1">
              <w:rPr>
                <w:sz w:val="16"/>
                <w:szCs w:val="16"/>
              </w:rPr>
              <w:t>0.0</w:t>
            </w:r>
          </w:p>
        </w:tc>
        <w:tc>
          <w:tcPr>
            <w:tcW w:w="875" w:type="pct"/>
            <w:noWrap/>
            <w:hideMark/>
          </w:tcPr>
          <w:p w14:paraId="7F8B12CB" w14:textId="77777777" w:rsidR="00120717" w:rsidRPr="00B93EE1" w:rsidRDefault="00120717" w:rsidP="00B213DD">
            <w:pPr>
              <w:ind w:right="340"/>
              <w:jc w:val="right"/>
              <w:rPr>
                <w:sz w:val="16"/>
                <w:szCs w:val="16"/>
              </w:rPr>
            </w:pPr>
            <w:r w:rsidRPr="00B93EE1">
              <w:rPr>
                <w:sz w:val="16"/>
                <w:szCs w:val="16"/>
              </w:rPr>
              <w:t>33.4</w:t>
            </w:r>
          </w:p>
        </w:tc>
      </w:tr>
      <w:tr w:rsidR="00120717" w:rsidRPr="00B93EE1" w14:paraId="759AB511" w14:textId="77777777" w:rsidTr="00F84559">
        <w:trPr>
          <w:cnfStyle w:val="000000010000" w:firstRow="0" w:lastRow="0" w:firstColumn="0" w:lastColumn="0" w:oddVBand="0" w:evenVBand="0" w:oddHBand="0" w:evenHBand="1" w:firstRowFirstColumn="0" w:firstRowLastColumn="0" w:lastRowFirstColumn="0" w:lastRowLastColumn="0"/>
        </w:trPr>
        <w:tc>
          <w:tcPr>
            <w:tcW w:w="2702" w:type="pct"/>
            <w:noWrap/>
            <w:hideMark/>
          </w:tcPr>
          <w:p w14:paraId="2B7C4FC8" w14:textId="77777777" w:rsidR="00120717" w:rsidRPr="00B93EE1" w:rsidRDefault="00120717" w:rsidP="00264CC3">
            <w:pPr>
              <w:jc w:val="left"/>
              <w:rPr>
                <w:sz w:val="16"/>
                <w:szCs w:val="16"/>
              </w:rPr>
            </w:pPr>
            <w:r w:rsidRPr="00B93EE1">
              <w:rPr>
                <w:sz w:val="16"/>
                <w:szCs w:val="16"/>
              </w:rPr>
              <w:t>Coefficient of variation</w:t>
            </w:r>
          </w:p>
        </w:tc>
        <w:tc>
          <w:tcPr>
            <w:tcW w:w="711" w:type="pct"/>
            <w:noWrap/>
            <w:hideMark/>
          </w:tcPr>
          <w:p w14:paraId="5B0D6A25" w14:textId="77777777" w:rsidR="00120717" w:rsidRPr="00B93EE1" w:rsidRDefault="00120717" w:rsidP="00B213DD">
            <w:pPr>
              <w:ind w:right="340"/>
              <w:jc w:val="right"/>
              <w:rPr>
                <w:sz w:val="16"/>
                <w:szCs w:val="16"/>
              </w:rPr>
            </w:pPr>
            <w:r w:rsidRPr="00B93EE1">
              <w:rPr>
                <w:sz w:val="16"/>
                <w:szCs w:val="16"/>
              </w:rPr>
              <w:t>1.3</w:t>
            </w:r>
          </w:p>
        </w:tc>
        <w:tc>
          <w:tcPr>
            <w:tcW w:w="711" w:type="pct"/>
            <w:noWrap/>
            <w:hideMark/>
          </w:tcPr>
          <w:p w14:paraId="2CADFA04" w14:textId="77777777" w:rsidR="00120717" w:rsidRPr="00B93EE1" w:rsidRDefault="00120717" w:rsidP="00B213DD">
            <w:pPr>
              <w:ind w:right="340"/>
              <w:jc w:val="right"/>
              <w:rPr>
                <w:sz w:val="16"/>
                <w:szCs w:val="16"/>
              </w:rPr>
            </w:pPr>
            <w:r w:rsidRPr="00B93EE1">
              <w:rPr>
                <w:sz w:val="16"/>
                <w:szCs w:val="16"/>
              </w:rPr>
              <w:t>1.4</w:t>
            </w:r>
          </w:p>
        </w:tc>
        <w:tc>
          <w:tcPr>
            <w:tcW w:w="875" w:type="pct"/>
            <w:noWrap/>
            <w:hideMark/>
          </w:tcPr>
          <w:p w14:paraId="295D2680" w14:textId="77777777" w:rsidR="00120717" w:rsidRPr="00B93EE1" w:rsidRDefault="00120717" w:rsidP="00B213DD">
            <w:pPr>
              <w:ind w:right="340"/>
              <w:jc w:val="right"/>
              <w:rPr>
                <w:sz w:val="16"/>
                <w:szCs w:val="16"/>
              </w:rPr>
            </w:pPr>
            <w:r w:rsidRPr="00B93EE1">
              <w:rPr>
                <w:sz w:val="16"/>
                <w:szCs w:val="16"/>
              </w:rPr>
              <w:t>1.1</w:t>
            </w:r>
          </w:p>
        </w:tc>
      </w:tr>
      <w:tr w:rsidR="00120717" w:rsidRPr="00B93EE1" w14:paraId="2E7ADD7F" w14:textId="77777777" w:rsidTr="00F84559">
        <w:tc>
          <w:tcPr>
            <w:tcW w:w="2702" w:type="pct"/>
            <w:noWrap/>
            <w:hideMark/>
          </w:tcPr>
          <w:p w14:paraId="4B2152B3" w14:textId="77777777" w:rsidR="00120717" w:rsidRPr="00B93EE1" w:rsidRDefault="00120717" w:rsidP="00264CC3">
            <w:pPr>
              <w:jc w:val="left"/>
              <w:rPr>
                <w:sz w:val="16"/>
                <w:szCs w:val="16"/>
              </w:rPr>
            </w:pPr>
            <w:r w:rsidRPr="00B93EE1">
              <w:rPr>
                <w:sz w:val="16"/>
                <w:szCs w:val="16"/>
              </w:rPr>
              <w:t>Nuisance applied rates (% of all tariff lines)</w:t>
            </w:r>
            <w:r w:rsidRPr="00B93EE1">
              <w:rPr>
                <w:sz w:val="16"/>
                <w:szCs w:val="16"/>
                <w:vertAlign w:val="superscript"/>
              </w:rPr>
              <w:t>e</w:t>
            </w:r>
          </w:p>
        </w:tc>
        <w:tc>
          <w:tcPr>
            <w:tcW w:w="711" w:type="pct"/>
            <w:noWrap/>
            <w:hideMark/>
          </w:tcPr>
          <w:p w14:paraId="586E6AE0" w14:textId="77777777" w:rsidR="00120717" w:rsidRPr="00B93EE1" w:rsidRDefault="00120717" w:rsidP="00B213DD">
            <w:pPr>
              <w:ind w:right="340"/>
              <w:jc w:val="right"/>
              <w:rPr>
                <w:sz w:val="16"/>
                <w:szCs w:val="16"/>
              </w:rPr>
            </w:pPr>
            <w:r w:rsidRPr="00B93EE1">
              <w:rPr>
                <w:sz w:val="16"/>
                <w:szCs w:val="16"/>
              </w:rPr>
              <w:t>0.03</w:t>
            </w:r>
          </w:p>
        </w:tc>
        <w:tc>
          <w:tcPr>
            <w:tcW w:w="711" w:type="pct"/>
            <w:noWrap/>
            <w:hideMark/>
          </w:tcPr>
          <w:p w14:paraId="1F070904" w14:textId="77777777" w:rsidR="00120717" w:rsidRPr="00B93EE1" w:rsidRDefault="00120717" w:rsidP="00B213DD">
            <w:pPr>
              <w:ind w:right="340"/>
              <w:jc w:val="right"/>
              <w:rPr>
                <w:sz w:val="16"/>
                <w:szCs w:val="16"/>
              </w:rPr>
            </w:pPr>
            <w:r w:rsidRPr="00B93EE1">
              <w:rPr>
                <w:sz w:val="16"/>
                <w:szCs w:val="16"/>
              </w:rPr>
              <w:t>0.05</w:t>
            </w:r>
          </w:p>
        </w:tc>
        <w:tc>
          <w:tcPr>
            <w:tcW w:w="875" w:type="pct"/>
            <w:noWrap/>
            <w:hideMark/>
          </w:tcPr>
          <w:p w14:paraId="6BF198AC" w14:textId="77777777" w:rsidR="00120717" w:rsidRPr="00B93EE1" w:rsidRDefault="00120717" w:rsidP="00B213DD">
            <w:pPr>
              <w:ind w:right="340"/>
              <w:jc w:val="right"/>
              <w:rPr>
                <w:sz w:val="16"/>
                <w:szCs w:val="16"/>
              </w:rPr>
            </w:pPr>
            <w:r w:rsidRPr="00B93EE1">
              <w:rPr>
                <w:sz w:val="16"/>
                <w:szCs w:val="16"/>
              </w:rPr>
              <w:t>0.1</w:t>
            </w:r>
          </w:p>
        </w:tc>
      </w:tr>
      <w:tr w:rsidR="00120717" w:rsidRPr="00B93EE1" w14:paraId="3AED3664" w14:textId="77777777" w:rsidTr="00F84559">
        <w:trPr>
          <w:cnfStyle w:val="000000010000" w:firstRow="0" w:lastRow="0" w:firstColumn="0" w:lastColumn="0" w:oddVBand="0" w:evenVBand="0" w:oddHBand="0" w:evenHBand="1" w:firstRowFirstColumn="0" w:firstRowLastColumn="0" w:lastRowFirstColumn="0" w:lastRowLastColumn="0"/>
        </w:trPr>
        <w:tc>
          <w:tcPr>
            <w:tcW w:w="2702" w:type="pct"/>
            <w:noWrap/>
            <w:hideMark/>
          </w:tcPr>
          <w:p w14:paraId="3A9010E7" w14:textId="77777777" w:rsidR="00120717" w:rsidRPr="00B93EE1" w:rsidRDefault="00120717" w:rsidP="00264CC3">
            <w:pPr>
              <w:jc w:val="left"/>
              <w:rPr>
                <w:sz w:val="16"/>
                <w:szCs w:val="16"/>
              </w:rPr>
            </w:pPr>
            <w:r w:rsidRPr="00B93EE1">
              <w:rPr>
                <w:sz w:val="16"/>
                <w:szCs w:val="16"/>
              </w:rPr>
              <w:t>Total number of tariff lines</w:t>
            </w:r>
          </w:p>
        </w:tc>
        <w:tc>
          <w:tcPr>
            <w:tcW w:w="711" w:type="pct"/>
            <w:noWrap/>
            <w:hideMark/>
          </w:tcPr>
          <w:p w14:paraId="43E5377F" w14:textId="77777777" w:rsidR="00120717" w:rsidRPr="00B93EE1" w:rsidRDefault="00120717" w:rsidP="00B213DD">
            <w:pPr>
              <w:ind w:right="340"/>
              <w:jc w:val="right"/>
              <w:rPr>
                <w:sz w:val="16"/>
                <w:szCs w:val="16"/>
              </w:rPr>
            </w:pPr>
            <w:r w:rsidRPr="00B93EE1">
              <w:rPr>
                <w:sz w:val="16"/>
                <w:szCs w:val="16"/>
              </w:rPr>
              <w:t>7,510</w:t>
            </w:r>
          </w:p>
        </w:tc>
        <w:tc>
          <w:tcPr>
            <w:tcW w:w="711" w:type="pct"/>
            <w:noWrap/>
            <w:hideMark/>
          </w:tcPr>
          <w:p w14:paraId="4B8EEB36" w14:textId="77777777" w:rsidR="00120717" w:rsidRPr="00B93EE1" w:rsidRDefault="00120717" w:rsidP="00B213DD">
            <w:pPr>
              <w:ind w:right="340"/>
              <w:jc w:val="right"/>
              <w:rPr>
                <w:sz w:val="16"/>
                <w:szCs w:val="16"/>
              </w:rPr>
            </w:pPr>
            <w:r w:rsidRPr="00B93EE1">
              <w:rPr>
                <w:sz w:val="16"/>
                <w:szCs w:val="16"/>
              </w:rPr>
              <w:t>7,927</w:t>
            </w:r>
          </w:p>
        </w:tc>
        <w:tc>
          <w:tcPr>
            <w:tcW w:w="875" w:type="pct"/>
            <w:noWrap/>
            <w:hideMark/>
          </w:tcPr>
          <w:p w14:paraId="44E25BEC" w14:textId="77777777" w:rsidR="00120717" w:rsidRPr="00B93EE1" w:rsidRDefault="00120717" w:rsidP="00B213DD">
            <w:pPr>
              <w:ind w:right="340"/>
              <w:jc w:val="right"/>
              <w:rPr>
                <w:sz w:val="16"/>
                <w:szCs w:val="16"/>
              </w:rPr>
            </w:pPr>
            <w:r w:rsidRPr="00B93EE1">
              <w:rPr>
                <w:sz w:val="16"/>
                <w:szCs w:val="16"/>
              </w:rPr>
              <w:t>7,927</w:t>
            </w:r>
          </w:p>
        </w:tc>
      </w:tr>
      <w:tr w:rsidR="00120717" w:rsidRPr="00B93EE1" w14:paraId="5F7BCB4D" w14:textId="77777777" w:rsidTr="00F84559">
        <w:tc>
          <w:tcPr>
            <w:tcW w:w="2702" w:type="pct"/>
            <w:noWrap/>
            <w:hideMark/>
          </w:tcPr>
          <w:p w14:paraId="394C6302" w14:textId="77777777" w:rsidR="00120717" w:rsidRPr="00B93EE1" w:rsidRDefault="00120717" w:rsidP="00264CC3">
            <w:pPr>
              <w:ind w:left="227"/>
              <w:jc w:val="left"/>
              <w:rPr>
                <w:sz w:val="16"/>
                <w:szCs w:val="16"/>
              </w:rPr>
            </w:pPr>
            <w:r w:rsidRPr="00B93EE1">
              <w:rPr>
                <w:sz w:val="16"/>
                <w:szCs w:val="16"/>
              </w:rPr>
              <w:t>Duty-free rates</w:t>
            </w:r>
          </w:p>
        </w:tc>
        <w:tc>
          <w:tcPr>
            <w:tcW w:w="711" w:type="pct"/>
            <w:noWrap/>
            <w:hideMark/>
          </w:tcPr>
          <w:p w14:paraId="427F24E9" w14:textId="77777777" w:rsidR="00120717" w:rsidRPr="00B93EE1" w:rsidRDefault="00120717" w:rsidP="00B213DD">
            <w:pPr>
              <w:ind w:right="340"/>
              <w:jc w:val="right"/>
              <w:rPr>
                <w:sz w:val="16"/>
                <w:szCs w:val="16"/>
              </w:rPr>
            </w:pPr>
            <w:r w:rsidRPr="00B93EE1">
              <w:rPr>
                <w:sz w:val="16"/>
                <w:szCs w:val="16"/>
              </w:rPr>
              <w:t>4,381</w:t>
            </w:r>
          </w:p>
        </w:tc>
        <w:tc>
          <w:tcPr>
            <w:tcW w:w="711" w:type="pct"/>
            <w:noWrap/>
            <w:hideMark/>
          </w:tcPr>
          <w:p w14:paraId="22B7C8AD" w14:textId="77777777" w:rsidR="00120717" w:rsidRPr="00B93EE1" w:rsidRDefault="00120717" w:rsidP="00B213DD">
            <w:pPr>
              <w:ind w:right="340"/>
              <w:jc w:val="right"/>
              <w:rPr>
                <w:sz w:val="16"/>
                <w:szCs w:val="16"/>
              </w:rPr>
            </w:pPr>
            <w:r w:rsidRPr="00B93EE1">
              <w:rPr>
                <w:sz w:val="16"/>
                <w:szCs w:val="16"/>
              </w:rPr>
              <w:t>4,845</w:t>
            </w:r>
          </w:p>
        </w:tc>
        <w:tc>
          <w:tcPr>
            <w:tcW w:w="875" w:type="pct"/>
            <w:noWrap/>
            <w:hideMark/>
          </w:tcPr>
          <w:p w14:paraId="7F9A5A01" w14:textId="77777777" w:rsidR="00120717" w:rsidRPr="00B93EE1" w:rsidRDefault="00120717" w:rsidP="00B213DD">
            <w:pPr>
              <w:ind w:right="340"/>
              <w:jc w:val="right"/>
              <w:rPr>
                <w:sz w:val="16"/>
                <w:szCs w:val="16"/>
              </w:rPr>
            </w:pPr>
            <w:r w:rsidRPr="00B93EE1">
              <w:rPr>
                <w:sz w:val="16"/>
                <w:szCs w:val="16"/>
              </w:rPr>
              <w:t>3,507</w:t>
            </w:r>
          </w:p>
        </w:tc>
      </w:tr>
      <w:tr w:rsidR="00120717" w:rsidRPr="00B93EE1" w14:paraId="38295B8B" w14:textId="77777777" w:rsidTr="00F84559">
        <w:trPr>
          <w:cnfStyle w:val="000000010000" w:firstRow="0" w:lastRow="0" w:firstColumn="0" w:lastColumn="0" w:oddVBand="0" w:evenVBand="0" w:oddHBand="0" w:evenHBand="1" w:firstRowFirstColumn="0" w:firstRowLastColumn="0" w:lastRowFirstColumn="0" w:lastRowLastColumn="0"/>
        </w:trPr>
        <w:tc>
          <w:tcPr>
            <w:tcW w:w="2702" w:type="pct"/>
            <w:noWrap/>
            <w:hideMark/>
          </w:tcPr>
          <w:p w14:paraId="2B333B64" w14:textId="77777777" w:rsidR="00120717" w:rsidRPr="00B93EE1" w:rsidRDefault="00120717" w:rsidP="00264CC3">
            <w:pPr>
              <w:ind w:left="227"/>
              <w:jc w:val="left"/>
              <w:rPr>
                <w:sz w:val="16"/>
                <w:szCs w:val="16"/>
              </w:rPr>
            </w:pPr>
            <w:r w:rsidRPr="00B93EE1">
              <w:rPr>
                <w:i/>
                <w:iCs/>
                <w:sz w:val="16"/>
                <w:szCs w:val="16"/>
              </w:rPr>
              <w:t>Ad valorem</w:t>
            </w:r>
            <w:r w:rsidRPr="00B93EE1">
              <w:rPr>
                <w:sz w:val="16"/>
                <w:szCs w:val="16"/>
              </w:rPr>
              <w:t xml:space="preserve"> rates (&gt;0%)</w:t>
            </w:r>
          </w:p>
        </w:tc>
        <w:tc>
          <w:tcPr>
            <w:tcW w:w="711" w:type="pct"/>
            <w:noWrap/>
            <w:hideMark/>
          </w:tcPr>
          <w:p w14:paraId="677A2CD0" w14:textId="77777777" w:rsidR="00120717" w:rsidRPr="00B93EE1" w:rsidRDefault="00120717" w:rsidP="00B213DD">
            <w:pPr>
              <w:ind w:right="340"/>
              <w:jc w:val="right"/>
              <w:rPr>
                <w:sz w:val="16"/>
                <w:szCs w:val="16"/>
              </w:rPr>
            </w:pPr>
            <w:r w:rsidRPr="00B93EE1">
              <w:rPr>
                <w:sz w:val="16"/>
                <w:szCs w:val="16"/>
              </w:rPr>
              <w:t>3,091</w:t>
            </w:r>
          </w:p>
        </w:tc>
        <w:tc>
          <w:tcPr>
            <w:tcW w:w="711" w:type="pct"/>
            <w:noWrap/>
            <w:hideMark/>
          </w:tcPr>
          <w:p w14:paraId="55161E53" w14:textId="77777777" w:rsidR="00120717" w:rsidRPr="00B93EE1" w:rsidRDefault="00120717" w:rsidP="00B213DD">
            <w:pPr>
              <w:ind w:right="340"/>
              <w:jc w:val="right"/>
              <w:rPr>
                <w:sz w:val="16"/>
                <w:szCs w:val="16"/>
              </w:rPr>
            </w:pPr>
            <w:r w:rsidRPr="00B93EE1">
              <w:rPr>
                <w:sz w:val="16"/>
                <w:szCs w:val="16"/>
              </w:rPr>
              <w:t>3,039</w:t>
            </w:r>
          </w:p>
        </w:tc>
        <w:tc>
          <w:tcPr>
            <w:tcW w:w="875" w:type="pct"/>
            <w:noWrap/>
            <w:hideMark/>
          </w:tcPr>
          <w:p w14:paraId="4C962C2B" w14:textId="77777777" w:rsidR="00120717" w:rsidRPr="00B93EE1" w:rsidRDefault="00120717" w:rsidP="00B213DD">
            <w:pPr>
              <w:ind w:right="340"/>
              <w:jc w:val="right"/>
              <w:rPr>
                <w:sz w:val="16"/>
                <w:szCs w:val="16"/>
              </w:rPr>
            </w:pPr>
            <w:r w:rsidRPr="00B93EE1">
              <w:rPr>
                <w:sz w:val="16"/>
                <w:szCs w:val="16"/>
              </w:rPr>
              <w:t>4,170</w:t>
            </w:r>
          </w:p>
        </w:tc>
      </w:tr>
      <w:tr w:rsidR="00120717" w:rsidRPr="00B93EE1" w14:paraId="7F4FD02B" w14:textId="77777777" w:rsidTr="00F84559">
        <w:tc>
          <w:tcPr>
            <w:tcW w:w="2702" w:type="pct"/>
            <w:noWrap/>
            <w:hideMark/>
          </w:tcPr>
          <w:p w14:paraId="25A9A8E2" w14:textId="77777777" w:rsidR="00120717" w:rsidRPr="00B93EE1" w:rsidRDefault="00120717" w:rsidP="00264CC3">
            <w:pPr>
              <w:ind w:left="227"/>
              <w:jc w:val="left"/>
              <w:rPr>
                <w:sz w:val="16"/>
                <w:szCs w:val="16"/>
              </w:rPr>
            </w:pPr>
            <w:r w:rsidRPr="00B93EE1">
              <w:rPr>
                <w:sz w:val="16"/>
                <w:szCs w:val="16"/>
              </w:rPr>
              <w:t>Specific rates</w:t>
            </w:r>
          </w:p>
        </w:tc>
        <w:tc>
          <w:tcPr>
            <w:tcW w:w="711" w:type="pct"/>
            <w:noWrap/>
            <w:hideMark/>
          </w:tcPr>
          <w:p w14:paraId="78C0A138" w14:textId="77777777" w:rsidR="00120717" w:rsidRPr="00B93EE1" w:rsidRDefault="00120717" w:rsidP="00B213DD">
            <w:pPr>
              <w:ind w:right="340"/>
              <w:jc w:val="right"/>
              <w:rPr>
                <w:sz w:val="16"/>
                <w:szCs w:val="16"/>
              </w:rPr>
            </w:pPr>
            <w:r w:rsidRPr="00B93EE1">
              <w:rPr>
                <w:sz w:val="16"/>
                <w:szCs w:val="16"/>
              </w:rPr>
              <w:t>6</w:t>
            </w:r>
          </w:p>
        </w:tc>
        <w:tc>
          <w:tcPr>
            <w:tcW w:w="711" w:type="pct"/>
            <w:noWrap/>
            <w:hideMark/>
          </w:tcPr>
          <w:p w14:paraId="10F5C740" w14:textId="77777777" w:rsidR="00120717" w:rsidRPr="00B93EE1" w:rsidRDefault="00120717" w:rsidP="00B213DD">
            <w:pPr>
              <w:ind w:right="340"/>
              <w:jc w:val="right"/>
              <w:rPr>
                <w:sz w:val="16"/>
                <w:szCs w:val="16"/>
              </w:rPr>
            </w:pPr>
            <w:r w:rsidRPr="00B93EE1">
              <w:rPr>
                <w:sz w:val="16"/>
                <w:szCs w:val="16"/>
              </w:rPr>
              <w:t>6</w:t>
            </w:r>
          </w:p>
        </w:tc>
        <w:tc>
          <w:tcPr>
            <w:tcW w:w="875" w:type="pct"/>
            <w:noWrap/>
            <w:hideMark/>
          </w:tcPr>
          <w:p w14:paraId="3FE996ED" w14:textId="77777777" w:rsidR="00120717" w:rsidRPr="00B93EE1" w:rsidRDefault="00120717" w:rsidP="00B213DD">
            <w:pPr>
              <w:ind w:right="340"/>
              <w:jc w:val="right"/>
              <w:rPr>
                <w:sz w:val="16"/>
                <w:szCs w:val="16"/>
              </w:rPr>
            </w:pPr>
            <w:r w:rsidRPr="00B93EE1">
              <w:rPr>
                <w:sz w:val="16"/>
                <w:szCs w:val="16"/>
              </w:rPr>
              <w:t>10</w:t>
            </w:r>
          </w:p>
        </w:tc>
      </w:tr>
      <w:tr w:rsidR="00120717" w:rsidRPr="00B93EE1" w14:paraId="69841A15" w14:textId="77777777" w:rsidTr="00F84559">
        <w:trPr>
          <w:cnfStyle w:val="000000010000" w:firstRow="0" w:lastRow="0" w:firstColumn="0" w:lastColumn="0" w:oddVBand="0" w:evenVBand="0" w:oddHBand="0" w:evenHBand="1" w:firstRowFirstColumn="0" w:firstRowLastColumn="0" w:lastRowFirstColumn="0" w:lastRowLastColumn="0"/>
        </w:trPr>
        <w:tc>
          <w:tcPr>
            <w:tcW w:w="2702" w:type="pct"/>
            <w:noWrap/>
            <w:hideMark/>
          </w:tcPr>
          <w:p w14:paraId="33F20C2A" w14:textId="77777777" w:rsidR="00120717" w:rsidRPr="00B93EE1" w:rsidRDefault="00120717" w:rsidP="00264CC3">
            <w:pPr>
              <w:ind w:left="227"/>
              <w:jc w:val="left"/>
              <w:rPr>
                <w:sz w:val="16"/>
                <w:szCs w:val="16"/>
              </w:rPr>
            </w:pPr>
            <w:r w:rsidRPr="00B93EE1">
              <w:rPr>
                <w:sz w:val="16"/>
                <w:szCs w:val="16"/>
              </w:rPr>
              <w:t>Alternate rates</w:t>
            </w:r>
          </w:p>
        </w:tc>
        <w:tc>
          <w:tcPr>
            <w:tcW w:w="711" w:type="pct"/>
            <w:noWrap/>
            <w:hideMark/>
          </w:tcPr>
          <w:p w14:paraId="67C97B8D" w14:textId="77777777" w:rsidR="00120717" w:rsidRPr="00B93EE1" w:rsidRDefault="00120717" w:rsidP="00B213DD">
            <w:pPr>
              <w:ind w:right="340"/>
              <w:jc w:val="right"/>
              <w:rPr>
                <w:sz w:val="16"/>
                <w:szCs w:val="16"/>
              </w:rPr>
            </w:pPr>
            <w:r w:rsidRPr="00B93EE1">
              <w:rPr>
                <w:sz w:val="16"/>
                <w:szCs w:val="16"/>
              </w:rPr>
              <w:t>0</w:t>
            </w:r>
          </w:p>
        </w:tc>
        <w:tc>
          <w:tcPr>
            <w:tcW w:w="711" w:type="pct"/>
            <w:noWrap/>
            <w:hideMark/>
          </w:tcPr>
          <w:p w14:paraId="3795B753" w14:textId="77777777" w:rsidR="00120717" w:rsidRPr="00B93EE1" w:rsidRDefault="00120717" w:rsidP="00B213DD">
            <w:pPr>
              <w:ind w:right="340"/>
              <w:jc w:val="right"/>
              <w:rPr>
                <w:sz w:val="16"/>
                <w:szCs w:val="16"/>
              </w:rPr>
            </w:pPr>
            <w:r w:rsidRPr="00B93EE1">
              <w:rPr>
                <w:sz w:val="16"/>
                <w:szCs w:val="16"/>
              </w:rPr>
              <w:t>0</w:t>
            </w:r>
          </w:p>
        </w:tc>
        <w:tc>
          <w:tcPr>
            <w:tcW w:w="875" w:type="pct"/>
            <w:noWrap/>
            <w:hideMark/>
          </w:tcPr>
          <w:p w14:paraId="05A6C299" w14:textId="77777777" w:rsidR="00120717" w:rsidRPr="00B93EE1" w:rsidRDefault="00120717" w:rsidP="00B213DD">
            <w:pPr>
              <w:ind w:right="340"/>
              <w:jc w:val="right"/>
              <w:rPr>
                <w:sz w:val="16"/>
                <w:szCs w:val="16"/>
              </w:rPr>
            </w:pPr>
            <w:r w:rsidRPr="00B93EE1">
              <w:rPr>
                <w:sz w:val="16"/>
                <w:szCs w:val="16"/>
              </w:rPr>
              <w:t>200</w:t>
            </w:r>
          </w:p>
        </w:tc>
      </w:tr>
      <w:tr w:rsidR="00120717" w:rsidRPr="00B93EE1" w14:paraId="1688A043" w14:textId="77777777" w:rsidTr="00F84559">
        <w:tc>
          <w:tcPr>
            <w:tcW w:w="2702" w:type="pct"/>
            <w:noWrap/>
            <w:hideMark/>
          </w:tcPr>
          <w:p w14:paraId="0BE981CE" w14:textId="77777777" w:rsidR="00120717" w:rsidRPr="00B93EE1" w:rsidRDefault="00120717" w:rsidP="00264CC3">
            <w:pPr>
              <w:ind w:left="227"/>
              <w:jc w:val="left"/>
              <w:rPr>
                <w:sz w:val="16"/>
                <w:szCs w:val="16"/>
              </w:rPr>
            </w:pPr>
            <w:proofErr w:type="spellStart"/>
            <w:r w:rsidRPr="00B93EE1">
              <w:rPr>
                <w:sz w:val="16"/>
                <w:szCs w:val="16"/>
              </w:rPr>
              <w:t>Other</w:t>
            </w:r>
            <w:r w:rsidRPr="00B93EE1">
              <w:rPr>
                <w:sz w:val="16"/>
                <w:szCs w:val="16"/>
                <w:vertAlign w:val="superscript"/>
              </w:rPr>
              <w:t>f</w:t>
            </w:r>
            <w:proofErr w:type="spellEnd"/>
          </w:p>
        </w:tc>
        <w:tc>
          <w:tcPr>
            <w:tcW w:w="711" w:type="pct"/>
            <w:noWrap/>
            <w:hideMark/>
          </w:tcPr>
          <w:p w14:paraId="18257E13" w14:textId="77777777" w:rsidR="00120717" w:rsidRPr="00B93EE1" w:rsidRDefault="00120717" w:rsidP="00B213DD">
            <w:pPr>
              <w:ind w:right="340"/>
              <w:jc w:val="right"/>
              <w:rPr>
                <w:sz w:val="16"/>
                <w:szCs w:val="16"/>
              </w:rPr>
            </w:pPr>
            <w:r w:rsidRPr="00B93EE1">
              <w:rPr>
                <w:sz w:val="16"/>
                <w:szCs w:val="16"/>
              </w:rPr>
              <w:t>32</w:t>
            </w:r>
          </w:p>
        </w:tc>
        <w:tc>
          <w:tcPr>
            <w:tcW w:w="711" w:type="pct"/>
            <w:noWrap/>
            <w:hideMark/>
          </w:tcPr>
          <w:p w14:paraId="71626841" w14:textId="77777777" w:rsidR="00120717" w:rsidRPr="00B93EE1" w:rsidRDefault="00120717" w:rsidP="00B213DD">
            <w:pPr>
              <w:ind w:right="340"/>
              <w:jc w:val="right"/>
              <w:rPr>
                <w:sz w:val="16"/>
                <w:szCs w:val="16"/>
              </w:rPr>
            </w:pPr>
            <w:r w:rsidRPr="00B93EE1">
              <w:rPr>
                <w:sz w:val="16"/>
                <w:szCs w:val="16"/>
              </w:rPr>
              <w:t>37</w:t>
            </w:r>
          </w:p>
        </w:tc>
        <w:tc>
          <w:tcPr>
            <w:tcW w:w="875" w:type="pct"/>
            <w:noWrap/>
            <w:hideMark/>
          </w:tcPr>
          <w:p w14:paraId="67467F25" w14:textId="77777777" w:rsidR="00120717" w:rsidRPr="00B93EE1" w:rsidRDefault="00120717" w:rsidP="00B213DD">
            <w:pPr>
              <w:ind w:right="340"/>
              <w:jc w:val="right"/>
              <w:rPr>
                <w:sz w:val="16"/>
                <w:szCs w:val="16"/>
              </w:rPr>
            </w:pPr>
            <w:r w:rsidRPr="00B93EE1">
              <w:rPr>
                <w:sz w:val="16"/>
                <w:szCs w:val="16"/>
              </w:rPr>
              <w:t>38</w:t>
            </w:r>
          </w:p>
        </w:tc>
      </w:tr>
      <w:tr w:rsidR="00120717" w:rsidRPr="00B93EE1" w14:paraId="669AA1B8" w14:textId="77777777" w:rsidTr="00F84559">
        <w:trPr>
          <w:cnfStyle w:val="000000010000" w:firstRow="0" w:lastRow="0" w:firstColumn="0" w:lastColumn="0" w:oddVBand="0" w:evenVBand="0" w:oddHBand="0" w:evenHBand="1" w:firstRowFirstColumn="0" w:firstRowLastColumn="0" w:lastRowFirstColumn="0" w:lastRowLastColumn="0"/>
        </w:trPr>
        <w:tc>
          <w:tcPr>
            <w:tcW w:w="2702" w:type="pct"/>
            <w:noWrap/>
            <w:hideMark/>
          </w:tcPr>
          <w:p w14:paraId="1278DA72" w14:textId="77777777" w:rsidR="00120717" w:rsidRPr="00B93EE1" w:rsidRDefault="00120717" w:rsidP="00264CC3">
            <w:pPr>
              <w:ind w:left="227"/>
              <w:jc w:val="left"/>
              <w:rPr>
                <w:sz w:val="16"/>
                <w:szCs w:val="16"/>
              </w:rPr>
            </w:pPr>
            <w:r w:rsidRPr="00B93EE1">
              <w:rPr>
                <w:sz w:val="16"/>
                <w:szCs w:val="16"/>
              </w:rPr>
              <w:t>Unbound</w:t>
            </w:r>
          </w:p>
        </w:tc>
        <w:tc>
          <w:tcPr>
            <w:tcW w:w="711" w:type="pct"/>
            <w:noWrap/>
            <w:hideMark/>
          </w:tcPr>
          <w:p w14:paraId="4161126B" w14:textId="77777777" w:rsidR="00120717" w:rsidRPr="00B93EE1" w:rsidRDefault="00120717" w:rsidP="00B213DD">
            <w:pPr>
              <w:ind w:right="340"/>
              <w:jc w:val="right"/>
              <w:rPr>
                <w:sz w:val="16"/>
                <w:szCs w:val="16"/>
              </w:rPr>
            </w:pPr>
            <w:proofErr w:type="spellStart"/>
            <w:r w:rsidRPr="00B93EE1">
              <w:rPr>
                <w:sz w:val="16"/>
                <w:szCs w:val="16"/>
              </w:rPr>
              <w:t>n.a.</w:t>
            </w:r>
            <w:proofErr w:type="spellEnd"/>
          </w:p>
        </w:tc>
        <w:tc>
          <w:tcPr>
            <w:tcW w:w="711" w:type="pct"/>
            <w:noWrap/>
            <w:hideMark/>
          </w:tcPr>
          <w:p w14:paraId="440C65E4" w14:textId="77777777" w:rsidR="00120717" w:rsidRPr="00B93EE1" w:rsidRDefault="00120717" w:rsidP="00B213DD">
            <w:pPr>
              <w:ind w:right="340"/>
              <w:jc w:val="right"/>
              <w:rPr>
                <w:sz w:val="16"/>
                <w:szCs w:val="16"/>
              </w:rPr>
            </w:pPr>
            <w:proofErr w:type="spellStart"/>
            <w:r w:rsidRPr="00B93EE1">
              <w:rPr>
                <w:sz w:val="16"/>
                <w:szCs w:val="16"/>
              </w:rPr>
              <w:t>n.a.</w:t>
            </w:r>
            <w:proofErr w:type="spellEnd"/>
          </w:p>
        </w:tc>
        <w:tc>
          <w:tcPr>
            <w:tcW w:w="875" w:type="pct"/>
            <w:noWrap/>
            <w:hideMark/>
          </w:tcPr>
          <w:p w14:paraId="2AADBF8F" w14:textId="77777777" w:rsidR="00120717" w:rsidRPr="00B93EE1" w:rsidRDefault="00120717" w:rsidP="00B213DD">
            <w:pPr>
              <w:ind w:right="340"/>
              <w:jc w:val="right"/>
              <w:rPr>
                <w:sz w:val="16"/>
                <w:szCs w:val="16"/>
              </w:rPr>
            </w:pPr>
            <w:r w:rsidRPr="00B93EE1">
              <w:rPr>
                <w:sz w:val="16"/>
                <w:szCs w:val="16"/>
              </w:rPr>
              <w:t>2</w:t>
            </w:r>
          </w:p>
        </w:tc>
      </w:tr>
    </w:tbl>
    <w:p w14:paraId="279A7CD4" w14:textId="64B3CB22" w:rsidR="00BB58BE" w:rsidRDefault="00120717" w:rsidP="00062AA5">
      <w:pPr>
        <w:pStyle w:val="NoteText"/>
        <w:spacing w:before="120"/>
      </w:pPr>
      <w:proofErr w:type="spellStart"/>
      <w:r w:rsidRPr="00B93EE1">
        <w:t>n.a.</w:t>
      </w:r>
      <w:proofErr w:type="spellEnd"/>
      <w:r w:rsidRPr="00B93EE1">
        <w:tab/>
        <w:t>Not applicable.</w:t>
      </w:r>
    </w:p>
    <w:p w14:paraId="54C9BAB4" w14:textId="77777777" w:rsidR="00120717" w:rsidRPr="00B93EE1" w:rsidRDefault="00120717" w:rsidP="00062AA5">
      <w:pPr>
        <w:pStyle w:val="NoteText"/>
        <w:spacing w:before="120"/>
      </w:pPr>
      <w:r w:rsidRPr="00B93EE1">
        <w:t>a</w:t>
      </w:r>
      <w:r w:rsidRPr="00B93EE1">
        <w:tab/>
        <w:t>Bound rates are based on the 2021 tariff schedule. A comparison to the 2021 tariff schedule is done to the best possible extent.</w:t>
      </w:r>
    </w:p>
    <w:p w14:paraId="5A0C7902" w14:textId="77777777" w:rsidR="00120717" w:rsidRPr="00B93EE1" w:rsidRDefault="00120717" w:rsidP="00062AA5">
      <w:pPr>
        <w:pStyle w:val="NoteText"/>
      </w:pPr>
      <w:r w:rsidRPr="00B93EE1">
        <w:t>b</w:t>
      </w:r>
      <w:r w:rsidRPr="00B93EE1">
        <w:tab/>
        <w:t xml:space="preserve">In </w:t>
      </w:r>
      <w:r w:rsidRPr="00B93EE1">
        <w:rPr>
          <w:color w:val="000000"/>
          <w:szCs w:val="16"/>
          <w:lang w:eastAsia="en-GB"/>
        </w:rPr>
        <w:t>2014 and 2021, two tariff lines are fully unbound (worn clothing). In 2014 and 2021, 24 and 69 tariff lines, respectively, were only partially bound (motor vehicles). Partially bound rates are included in the tariff calculations.</w:t>
      </w:r>
    </w:p>
    <w:p w14:paraId="2B8B37F7" w14:textId="77777777" w:rsidR="00120717" w:rsidRPr="00B93EE1" w:rsidRDefault="00120717" w:rsidP="00062AA5">
      <w:pPr>
        <w:pStyle w:val="NoteText"/>
        <w:ind w:right="-46"/>
      </w:pPr>
      <w:r w:rsidRPr="00B93EE1">
        <w:t>c</w:t>
      </w:r>
      <w:r w:rsidRPr="00B93EE1">
        <w:tab/>
        <w:t>Domestic tariff peaks are defined as those exceeding three times the overall simple average applied rate.</w:t>
      </w:r>
    </w:p>
    <w:p w14:paraId="16EECA56" w14:textId="77777777" w:rsidR="00120717" w:rsidRPr="00B93EE1" w:rsidRDefault="00120717" w:rsidP="00062AA5">
      <w:pPr>
        <w:pStyle w:val="NoteText"/>
      </w:pPr>
      <w:r w:rsidRPr="00B93EE1">
        <w:t>d</w:t>
      </w:r>
      <w:r w:rsidRPr="00B93EE1">
        <w:tab/>
        <w:t>International tariff peaks are defined as those exceeding 15%.</w:t>
      </w:r>
    </w:p>
    <w:p w14:paraId="61D50348" w14:textId="77777777" w:rsidR="00120717" w:rsidRPr="00B93EE1" w:rsidRDefault="00120717" w:rsidP="00062AA5">
      <w:pPr>
        <w:pStyle w:val="NoteText"/>
      </w:pPr>
      <w:r w:rsidRPr="00B93EE1">
        <w:t>e</w:t>
      </w:r>
      <w:r w:rsidRPr="00B93EE1">
        <w:tab/>
        <w:t>Nuisance rates are those greater than zero, but less than or equal to 2%.</w:t>
      </w:r>
    </w:p>
    <w:p w14:paraId="43EBCA48" w14:textId="77777777" w:rsidR="00120717" w:rsidRPr="00B93EE1" w:rsidRDefault="00120717" w:rsidP="001662B9">
      <w:pPr>
        <w:pStyle w:val="NoteText"/>
      </w:pPr>
      <w:r w:rsidRPr="00B93EE1">
        <w:t>f</w:t>
      </w:r>
      <w:r w:rsidRPr="00B93EE1">
        <w:tab/>
        <w:t>"Other" rates apply to parts and components, for which the tariff varies subject to the machinery, appliance, or equipment they have been designed to.</w:t>
      </w:r>
    </w:p>
    <w:p w14:paraId="47BBFFED" w14:textId="6BBBC04B" w:rsidR="00120717" w:rsidRPr="00B93EE1" w:rsidRDefault="00120717" w:rsidP="001662B9">
      <w:pPr>
        <w:pStyle w:val="NoteText"/>
        <w:spacing w:before="120"/>
        <w:ind w:right="25"/>
      </w:pPr>
      <w:r w:rsidRPr="00B93EE1">
        <w:t xml:space="preserve">Note: </w:t>
      </w:r>
      <w:r w:rsidRPr="00B93EE1">
        <w:tab/>
        <w:t xml:space="preserve">The 2014 and 2021 tariffs are based on the HS12 and HS17 nomenclature, respectively. Calculations are based on national tariff line level (8-digit), including </w:t>
      </w:r>
      <w:proofErr w:type="spellStart"/>
      <w:r w:rsidRPr="00B93EE1">
        <w:t>AVEs</w:t>
      </w:r>
      <w:proofErr w:type="spellEnd"/>
      <w:r w:rsidRPr="00B93EE1">
        <w:t xml:space="preserve">, as available. In 2014, out of six specific rates, four </w:t>
      </w:r>
      <w:proofErr w:type="spellStart"/>
      <w:r w:rsidRPr="00B93EE1">
        <w:t>AVEs</w:t>
      </w:r>
      <w:proofErr w:type="spellEnd"/>
      <w:r w:rsidRPr="00B93EE1">
        <w:t xml:space="preserve"> were provided by the authorities. In 2021, out of six specific rates, five </w:t>
      </w:r>
      <w:proofErr w:type="spellStart"/>
      <w:r w:rsidRPr="00B93EE1">
        <w:t>AVEs</w:t>
      </w:r>
      <w:proofErr w:type="spellEnd"/>
      <w:r w:rsidRPr="00B93EE1">
        <w:t xml:space="preserve"> were calculated based on 2020 import data. Calculations of average final bound rates include the </w:t>
      </w:r>
      <w:r w:rsidRPr="00B93EE1">
        <w:rPr>
          <w:i/>
          <w:iCs/>
        </w:rPr>
        <w:t>ad</w:t>
      </w:r>
      <w:r w:rsidR="00062AA5">
        <w:rPr>
          <w:i/>
          <w:iCs/>
        </w:rPr>
        <w:t> </w:t>
      </w:r>
      <w:r w:rsidRPr="00B93EE1">
        <w:rPr>
          <w:i/>
          <w:iCs/>
        </w:rPr>
        <w:t>valorem</w:t>
      </w:r>
      <w:r w:rsidRPr="00B93EE1">
        <w:t xml:space="preserve"> component of alternate rates.</w:t>
      </w:r>
    </w:p>
    <w:p w14:paraId="125603C9" w14:textId="77777777" w:rsidR="00120717" w:rsidRPr="00B93EE1" w:rsidRDefault="00120717" w:rsidP="001662B9">
      <w:pPr>
        <w:pStyle w:val="NoteText"/>
        <w:spacing w:before="120" w:after="240"/>
      </w:pPr>
      <w:r w:rsidRPr="00B93EE1">
        <w:t>Source:</w:t>
      </w:r>
      <w:r w:rsidRPr="00B93EE1">
        <w:tab/>
        <w:t>WTO Secretariat calculations, based on data received by the authorities.</w:t>
      </w:r>
    </w:p>
    <w:p w14:paraId="08DC03F3" w14:textId="77777777" w:rsidR="00120717" w:rsidRPr="00F64A35" w:rsidRDefault="00120717" w:rsidP="001662B9">
      <w:pPr>
        <w:pStyle w:val="BodyText"/>
        <w:keepNext/>
        <w:keepLines/>
      </w:pPr>
      <w:r w:rsidRPr="00B93EE1">
        <w:lastRenderedPageBreak/>
        <w:t>Applied MFN tariffs remain relatively low in New Zealand, with a simple average of 2.2% in 2021 (2.4% in 2014). The slight decrease was the result of the reduction in some tariff rates and the conversion to HS17. Based on the WTO definition, the average applied rate for agricultural products was 1.8% in 2021 (1.7% in 2014); this slight increase is explained by the change of nomenclature. For non-agricultural products (WTO definition), the average rate went from 2.5% in 2014 to 2.3% in 2021 mainly due to the expansion of the Information Technology Agreement (ITA), i.e. the rates of several lines were reduced from 5% in 2014 to duty-free.</w:t>
      </w:r>
      <w:r w:rsidRPr="00B93EE1">
        <w:rPr>
          <w:vertAlign w:val="superscript"/>
        </w:rPr>
        <w:footnoteReference w:id="145"/>
      </w:r>
    </w:p>
    <w:p w14:paraId="7B903127" w14:textId="57CF8AE6" w:rsidR="00120717" w:rsidRPr="00B93EE1" w:rsidRDefault="00120717" w:rsidP="00C83C78">
      <w:pPr>
        <w:pStyle w:val="Caption"/>
      </w:pPr>
      <w:bookmarkStart w:id="84" w:name="_Toc415735936"/>
      <w:bookmarkStart w:id="85" w:name="_Toc97792510"/>
      <w:r w:rsidRPr="00B93EE1">
        <w:t xml:space="preserve">Chart </w:t>
      </w:r>
      <w:r w:rsidR="0012793B">
        <w:fldChar w:fldCharType="begin"/>
      </w:r>
      <w:r w:rsidR="0012793B">
        <w:instrText xml:space="preserve"> STYLEREF 1 \s </w:instrText>
      </w:r>
      <w:r w:rsidR="0012793B">
        <w:fldChar w:fldCharType="separate"/>
      </w:r>
      <w:r w:rsidR="00133D67">
        <w:rPr>
          <w:noProof/>
        </w:rPr>
        <w:t>3</w:t>
      </w:r>
      <w:r w:rsidR="0012793B">
        <w:rPr>
          <w:noProof/>
        </w:rPr>
        <w:fldChar w:fldCharType="end"/>
      </w:r>
      <w:r w:rsidR="00133D67">
        <w:t>.</w:t>
      </w:r>
      <w:r w:rsidR="0012793B">
        <w:fldChar w:fldCharType="begin"/>
      </w:r>
      <w:r w:rsidR="0012793B">
        <w:instrText xml:space="preserve"> SEQ Chart \* ARABIC \s 1 </w:instrText>
      </w:r>
      <w:r w:rsidR="0012793B">
        <w:fldChar w:fldCharType="separate"/>
      </w:r>
      <w:r w:rsidR="00133D67">
        <w:rPr>
          <w:noProof/>
        </w:rPr>
        <w:t>1</w:t>
      </w:r>
      <w:r w:rsidR="0012793B">
        <w:rPr>
          <w:noProof/>
        </w:rPr>
        <w:fldChar w:fldCharType="end"/>
      </w:r>
      <w:r w:rsidRPr="00B93EE1">
        <w:t xml:space="preserve"> Distribution of MFN applied tariff rates, 2014 and 2021</w:t>
      </w:r>
      <w:bookmarkEnd w:id="84"/>
      <w:bookmarkEnd w:id="85"/>
    </w:p>
    <w:p w14:paraId="65BAA7FE" w14:textId="77777777" w:rsidR="00120717" w:rsidRPr="00B93EE1" w:rsidRDefault="00120717" w:rsidP="00273CC9">
      <w:r w:rsidRPr="00B93EE1">
        <w:rPr>
          <w:noProof/>
          <w:lang w:eastAsia="en-NZ"/>
        </w:rPr>
        <w:drawing>
          <wp:inline distT="0" distB="0" distL="0" distR="0" wp14:anchorId="235CD6FB" wp14:editId="3BB02F8E">
            <wp:extent cx="5730655" cy="2906835"/>
            <wp:effectExtent l="0" t="0" r="381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8681" b="21876"/>
                    <a:stretch/>
                  </pic:blipFill>
                  <pic:spPr bwMode="auto">
                    <a:xfrm>
                      <a:off x="0" y="0"/>
                      <a:ext cx="5731510" cy="2907269"/>
                    </a:xfrm>
                    <a:prstGeom prst="rect">
                      <a:avLst/>
                    </a:prstGeom>
                    <a:noFill/>
                    <a:ln>
                      <a:noFill/>
                    </a:ln>
                    <a:extLst>
                      <a:ext uri="{53640926-AAD7-44D8-BBD7-CCE9431645EC}">
                        <a14:shadowObscured xmlns:a14="http://schemas.microsoft.com/office/drawing/2010/main"/>
                      </a:ext>
                    </a:extLst>
                  </pic:spPr>
                </pic:pic>
              </a:graphicData>
            </a:graphic>
          </wp:inline>
        </w:drawing>
      </w:r>
    </w:p>
    <w:p w14:paraId="44CB9ACF" w14:textId="77777777" w:rsidR="00120717" w:rsidRPr="00B93EE1" w:rsidRDefault="00120717" w:rsidP="00062AA5">
      <w:pPr>
        <w:pStyle w:val="NoteText"/>
        <w:spacing w:before="120"/>
      </w:pPr>
      <w:r w:rsidRPr="00B93EE1">
        <w:t>Note:</w:t>
      </w:r>
      <w:r w:rsidRPr="00B93EE1">
        <w:tab/>
        <w:t>Figures above the bars refer to the percentage of total lines. Figures do not add up to 100% due to the exclusion of specific and "other" rates (Table 3.3).</w:t>
      </w:r>
    </w:p>
    <w:p w14:paraId="51FEC161" w14:textId="77777777" w:rsidR="00120717" w:rsidRPr="00B93EE1" w:rsidRDefault="00120717" w:rsidP="00062AA5">
      <w:pPr>
        <w:pStyle w:val="NoteText"/>
        <w:spacing w:before="120" w:after="240"/>
      </w:pPr>
      <w:r w:rsidRPr="00B93EE1">
        <w:t>Source:</w:t>
      </w:r>
      <w:r w:rsidRPr="00B93EE1">
        <w:tab/>
        <w:t>WTO Secretariat calculations, based on data provided by the authorities.</w:t>
      </w:r>
    </w:p>
    <w:p w14:paraId="354D7956" w14:textId="0FABBF23" w:rsidR="00120717" w:rsidRDefault="00120717" w:rsidP="001F5A85">
      <w:pPr>
        <w:pStyle w:val="BodyText"/>
      </w:pPr>
      <w:r w:rsidRPr="00B93EE1">
        <w:t>By HS section, footwear, textiles, and textiles articles are the most protected industries (Chart 3.2). By WTO non-agricultural definition, the highest simple average applied MFN rate is clothing with 9.6% (Table A3.1).</w:t>
      </w:r>
    </w:p>
    <w:p w14:paraId="4AD065F9" w14:textId="463BC776" w:rsidR="001662B9" w:rsidRPr="00F64A35" w:rsidRDefault="001662B9" w:rsidP="001662B9">
      <w:pPr>
        <w:pStyle w:val="BodyText"/>
      </w:pPr>
      <w:r w:rsidRPr="00B93EE1">
        <w:t>In aggregate, New Zealand's tariff shows a positive escalation. Further disaggregation at the ISIC 2</w:t>
      </w:r>
      <w:r w:rsidRPr="00B93EE1">
        <w:noBreakHyphen/>
        <w:t>digit level shows positive escalation in all subgroups except for other manufacturing industries (Chart 3.3).</w:t>
      </w:r>
    </w:p>
    <w:p w14:paraId="78349C93" w14:textId="5D509530" w:rsidR="00120717" w:rsidRPr="00B93EE1" w:rsidRDefault="00927DD0" w:rsidP="00927DD0">
      <w:pPr>
        <w:pStyle w:val="Caption"/>
      </w:pPr>
      <w:bookmarkStart w:id="86" w:name="_Toc415735937"/>
      <w:bookmarkStart w:id="87" w:name="_Toc97792511"/>
      <w:r>
        <w:lastRenderedPageBreak/>
        <w:t xml:space="preserve">Chart </w:t>
      </w:r>
      <w:r w:rsidR="0012793B">
        <w:fldChar w:fldCharType="begin"/>
      </w:r>
      <w:r w:rsidR="0012793B">
        <w:instrText xml:space="preserve"> STYLEREF 1 \s </w:instrText>
      </w:r>
      <w:r w:rsidR="0012793B">
        <w:fldChar w:fldCharType="separate"/>
      </w:r>
      <w:r w:rsidR="009327F6">
        <w:rPr>
          <w:noProof/>
        </w:rPr>
        <w:t>3</w:t>
      </w:r>
      <w:r w:rsidR="0012793B">
        <w:rPr>
          <w:noProof/>
        </w:rPr>
        <w:fldChar w:fldCharType="end"/>
      </w:r>
      <w:r w:rsidR="00133D67">
        <w:t>.</w:t>
      </w:r>
      <w:r w:rsidR="0012793B">
        <w:fldChar w:fldCharType="begin"/>
      </w:r>
      <w:r w:rsidR="0012793B">
        <w:instrText xml:space="preserve"> SEQ Chart \* ARABIC \s 1 </w:instrText>
      </w:r>
      <w:r w:rsidR="0012793B">
        <w:fldChar w:fldCharType="separate"/>
      </w:r>
      <w:r w:rsidR="00133D67">
        <w:rPr>
          <w:noProof/>
        </w:rPr>
        <w:t>2</w:t>
      </w:r>
      <w:r w:rsidR="0012793B">
        <w:rPr>
          <w:noProof/>
        </w:rPr>
        <w:fldChar w:fldCharType="end"/>
      </w:r>
      <w:r w:rsidR="00120717" w:rsidRPr="00B93EE1">
        <w:t xml:space="preserve"> Average applied MFN and bound tariff rates, by HS section, 2014 and 2021</w:t>
      </w:r>
      <w:bookmarkEnd w:id="86"/>
      <w:bookmarkEnd w:id="87"/>
    </w:p>
    <w:p w14:paraId="1567A66C" w14:textId="77777777" w:rsidR="00120717" w:rsidRPr="00B93EE1" w:rsidRDefault="00120717" w:rsidP="00BB4DCA">
      <w:r w:rsidRPr="00B93EE1">
        <w:rPr>
          <w:noProof/>
        </w:rPr>
        <w:drawing>
          <wp:inline distT="0" distB="0" distL="0" distR="0" wp14:anchorId="711D224A" wp14:editId="05B96A92">
            <wp:extent cx="5731510" cy="3136900"/>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7750" b="17174"/>
                    <a:stretch/>
                  </pic:blipFill>
                  <pic:spPr bwMode="auto">
                    <a:xfrm>
                      <a:off x="0" y="0"/>
                      <a:ext cx="5731510" cy="3136900"/>
                    </a:xfrm>
                    <a:prstGeom prst="rect">
                      <a:avLst/>
                    </a:prstGeom>
                    <a:noFill/>
                    <a:ln>
                      <a:noFill/>
                    </a:ln>
                    <a:extLst>
                      <a:ext uri="{53640926-AAD7-44D8-BBD7-CCE9431645EC}">
                        <a14:shadowObscured xmlns:a14="http://schemas.microsoft.com/office/drawing/2010/main"/>
                      </a:ext>
                    </a:extLst>
                  </pic:spPr>
                </pic:pic>
              </a:graphicData>
            </a:graphic>
          </wp:inline>
        </w:drawing>
      </w:r>
    </w:p>
    <w:p w14:paraId="446829D1" w14:textId="77777777" w:rsidR="00120717" w:rsidRPr="00B93EE1" w:rsidRDefault="00120717" w:rsidP="00062AA5">
      <w:pPr>
        <w:pStyle w:val="NoteText"/>
        <w:spacing w:before="120"/>
      </w:pPr>
      <w:r w:rsidRPr="00B93EE1">
        <w:t>Note:</w:t>
      </w:r>
      <w:r w:rsidRPr="00B93EE1">
        <w:tab/>
        <w:t xml:space="preserve">Calculations include </w:t>
      </w:r>
      <w:proofErr w:type="spellStart"/>
      <w:r w:rsidRPr="00B93EE1">
        <w:t>AVEs</w:t>
      </w:r>
      <w:proofErr w:type="spellEnd"/>
      <w:r w:rsidRPr="00B93EE1">
        <w:t xml:space="preserve"> for specific rates, as available.</w:t>
      </w:r>
    </w:p>
    <w:p w14:paraId="6B1913AF" w14:textId="77777777" w:rsidR="00120717" w:rsidRPr="00B93EE1" w:rsidRDefault="00120717" w:rsidP="00062AA5">
      <w:pPr>
        <w:pStyle w:val="NoteText"/>
        <w:spacing w:before="120" w:after="240"/>
      </w:pPr>
      <w:r w:rsidRPr="00B93EE1">
        <w:t>Source:</w:t>
      </w:r>
      <w:r w:rsidRPr="00B93EE1">
        <w:tab/>
        <w:t>WTO Secretariat calculations, based on data provided by the authorities.</w:t>
      </w:r>
    </w:p>
    <w:p w14:paraId="10D98C94" w14:textId="58CE8B63" w:rsidR="00120717" w:rsidRPr="00B93EE1" w:rsidRDefault="00120717" w:rsidP="00997DEB">
      <w:pPr>
        <w:pStyle w:val="Caption"/>
      </w:pPr>
      <w:bookmarkStart w:id="88" w:name="_Toc415735938"/>
      <w:bookmarkStart w:id="89" w:name="_Toc97792512"/>
      <w:r w:rsidRPr="00B93EE1">
        <w:t xml:space="preserve">Chart </w:t>
      </w:r>
      <w:r w:rsidR="0012793B">
        <w:fldChar w:fldCharType="begin"/>
      </w:r>
      <w:r w:rsidR="0012793B">
        <w:instrText xml:space="preserve"> STYLEREF 1 \s </w:instrText>
      </w:r>
      <w:r w:rsidR="0012793B">
        <w:fldChar w:fldCharType="separate"/>
      </w:r>
      <w:r w:rsidR="009327F6">
        <w:rPr>
          <w:noProof/>
        </w:rPr>
        <w:t>3</w:t>
      </w:r>
      <w:r w:rsidR="0012793B">
        <w:rPr>
          <w:noProof/>
        </w:rPr>
        <w:fldChar w:fldCharType="end"/>
      </w:r>
      <w:r w:rsidR="00133D67">
        <w:t>.</w:t>
      </w:r>
      <w:r w:rsidR="0012793B">
        <w:fldChar w:fldCharType="begin"/>
      </w:r>
      <w:r w:rsidR="0012793B">
        <w:instrText xml:space="preserve"> SEQ Chart \* ARABIC \s 1 </w:instrText>
      </w:r>
      <w:r w:rsidR="0012793B">
        <w:fldChar w:fldCharType="separate"/>
      </w:r>
      <w:r w:rsidR="00133D67">
        <w:rPr>
          <w:noProof/>
        </w:rPr>
        <w:t>3</w:t>
      </w:r>
      <w:r w:rsidR="0012793B">
        <w:rPr>
          <w:noProof/>
        </w:rPr>
        <w:fldChar w:fldCharType="end"/>
      </w:r>
      <w:r w:rsidRPr="00B93EE1">
        <w:t xml:space="preserve"> Tariff escalation by 2-digit ISIC industry, 2021</w:t>
      </w:r>
      <w:bookmarkEnd w:id="88"/>
      <w:bookmarkEnd w:id="89"/>
    </w:p>
    <w:p w14:paraId="70D113FE" w14:textId="3C4C68DA" w:rsidR="00120717" w:rsidRPr="00B93EE1" w:rsidRDefault="00120717" w:rsidP="001662B9">
      <w:r w:rsidRPr="00B93EE1">
        <w:rPr>
          <w:noProof/>
          <w:lang w:eastAsia="en-NZ"/>
        </w:rPr>
        <w:drawing>
          <wp:inline distT="0" distB="0" distL="0" distR="0" wp14:anchorId="353A15EB" wp14:editId="106798AA">
            <wp:extent cx="5657021" cy="2683899"/>
            <wp:effectExtent l="0" t="0" r="127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763" t="12917" r="1282" b="18288"/>
                    <a:stretch/>
                  </pic:blipFill>
                  <pic:spPr bwMode="auto">
                    <a:xfrm>
                      <a:off x="0" y="0"/>
                      <a:ext cx="5659094" cy="2684882"/>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sidRPr="00B93EE1">
        <w:t>n.a.</w:t>
      </w:r>
      <w:proofErr w:type="spellEnd"/>
      <w:r w:rsidRPr="00B93EE1">
        <w:tab/>
        <w:t>Not applicable.</w:t>
      </w:r>
    </w:p>
    <w:p w14:paraId="1FF8EC04" w14:textId="77777777" w:rsidR="00120717" w:rsidRPr="00B93EE1" w:rsidRDefault="00120717" w:rsidP="00062AA5">
      <w:pPr>
        <w:pStyle w:val="NoteText"/>
        <w:spacing w:before="120" w:after="240"/>
      </w:pPr>
      <w:r w:rsidRPr="00B93EE1">
        <w:t>Source:</w:t>
      </w:r>
      <w:r w:rsidRPr="00B93EE1">
        <w:tab/>
        <w:t>WTO Secretariat calculations, based on data provided by the authorities.</w:t>
      </w:r>
    </w:p>
    <w:p w14:paraId="2B8308EE" w14:textId="77777777" w:rsidR="00120717" w:rsidRPr="00F64A35" w:rsidRDefault="00120717" w:rsidP="00185006">
      <w:pPr>
        <w:pStyle w:val="Heading4"/>
      </w:pPr>
      <w:bookmarkStart w:id="90" w:name="_Toc415735864"/>
      <w:bookmarkStart w:id="91" w:name="_Toc97800139"/>
      <w:r w:rsidRPr="00B93EE1">
        <w:t>Bound tariff</w:t>
      </w:r>
      <w:bookmarkEnd w:id="90"/>
      <w:bookmarkEnd w:id="91"/>
    </w:p>
    <w:p w14:paraId="5CFA6422" w14:textId="77777777" w:rsidR="00120717" w:rsidRPr="00F64A35" w:rsidRDefault="00120717" w:rsidP="001662B9">
      <w:pPr>
        <w:pStyle w:val="BodyText"/>
        <w:spacing w:after="200"/>
      </w:pPr>
      <w:r w:rsidRPr="00B93EE1">
        <w:t>On 21 September 2021, the HS12 transposition file of New Zealand was approved.</w:t>
      </w:r>
      <w:r w:rsidRPr="00B93EE1">
        <w:rPr>
          <w:rStyle w:val="FootnoteReference"/>
        </w:rPr>
        <w:footnoteReference w:id="146"/>
      </w:r>
      <w:r w:rsidRPr="00B93EE1">
        <w:t xml:space="preserve"> If no objection is notified to the Secretariat within three months from the date of circulation of this document, the rectifications and modifications to Schedule XIII – New Zealand will be deemed to be approved and will be formally certified on 24 February 2022. New Zealand's latest certified binding schedule remains in HS07 nomenclature. As of October 2021, New Zealand's latest bound schedule in HS12 and HS17 had yet to be submitted to the WTO for verification. As a result, matching of the </w:t>
      </w:r>
      <w:r w:rsidRPr="00B93EE1">
        <w:lastRenderedPageBreak/>
        <w:t>bound and applied schedules in HS2017 was not available. According to the authorities, work was ongoing in order to complete the process.</w:t>
      </w:r>
    </w:p>
    <w:p w14:paraId="0CE045BF" w14:textId="77777777" w:rsidR="00120717" w:rsidRPr="00F64A35" w:rsidRDefault="00120717" w:rsidP="001662B9">
      <w:pPr>
        <w:pStyle w:val="BodyText"/>
        <w:spacing w:after="200"/>
      </w:pPr>
      <w:bookmarkStart w:id="92" w:name="_Hlk85447018"/>
      <w:bookmarkStart w:id="93" w:name="_Hlk85445012"/>
      <w:r w:rsidRPr="00B93EE1">
        <w:t>For the purpose of this Review, based on WTO Secretariat's transposition to HS17, it appears that for two tariff lines the MFN duties exceed the bound rates in 2021 (Table 3.4).</w:t>
      </w:r>
      <w:bookmarkEnd w:id="92"/>
    </w:p>
    <w:p w14:paraId="12E05840" w14:textId="0DA160A4" w:rsidR="00120717" w:rsidRPr="00B93EE1" w:rsidRDefault="00BB55A0" w:rsidP="00BB55A0">
      <w:pPr>
        <w:pStyle w:val="Caption"/>
      </w:pPr>
      <w:bookmarkStart w:id="94" w:name="_Toc97793390"/>
      <w:r>
        <w:t xml:space="preserve">Table </w:t>
      </w:r>
      <w:r w:rsidR="0012793B">
        <w:fldChar w:fldCharType="begin"/>
      </w:r>
      <w:r w:rsidR="0012793B">
        <w:instrText xml:space="preserve"> STYLEREF 1 \s </w:instrText>
      </w:r>
      <w:r w:rsidR="0012793B">
        <w:fldChar w:fldCharType="separate"/>
      </w:r>
      <w:r w:rsidR="00D37A97">
        <w:rPr>
          <w:noProof/>
        </w:rPr>
        <w:t>3</w:t>
      </w:r>
      <w:r w:rsidR="0012793B">
        <w:rPr>
          <w:noProof/>
        </w:rPr>
        <w:fldChar w:fldCharType="end"/>
      </w:r>
      <w:r w:rsidR="00D37A97">
        <w:t>.</w:t>
      </w:r>
      <w:r w:rsidR="0012793B">
        <w:fldChar w:fldCharType="begin"/>
      </w:r>
      <w:r w:rsidR="0012793B">
        <w:instrText xml:space="preserve"> SEQ Table \* ARABIC \s 1 </w:instrText>
      </w:r>
      <w:r w:rsidR="0012793B">
        <w:fldChar w:fldCharType="separate"/>
      </w:r>
      <w:r w:rsidR="00D37A97">
        <w:rPr>
          <w:noProof/>
        </w:rPr>
        <w:t>4</w:t>
      </w:r>
      <w:r w:rsidR="0012793B">
        <w:rPr>
          <w:noProof/>
        </w:rPr>
        <w:fldChar w:fldCharType="end"/>
      </w:r>
      <w:r>
        <w:t xml:space="preserve"> </w:t>
      </w:r>
      <w:r w:rsidR="00120717" w:rsidRPr="00B93EE1">
        <w:t>Tariff lines where the MFN applied rates exceed bound rates, 2021</w:t>
      </w:r>
      <w:bookmarkEnd w:id="94"/>
    </w:p>
    <w:tbl>
      <w:tblPr>
        <w:tblStyle w:val="WTOTable1"/>
        <w:tblW w:w="9067" w:type="dxa"/>
        <w:tblLayout w:type="fixed"/>
        <w:tblLook w:val="04A0" w:firstRow="1" w:lastRow="0" w:firstColumn="1" w:lastColumn="0" w:noHBand="0" w:noVBand="1"/>
      </w:tblPr>
      <w:tblGrid>
        <w:gridCol w:w="1129"/>
        <w:gridCol w:w="5812"/>
        <w:gridCol w:w="1134"/>
        <w:gridCol w:w="992"/>
      </w:tblGrid>
      <w:tr w:rsidR="00120717" w:rsidRPr="00B93EE1" w14:paraId="47BA321B" w14:textId="77777777" w:rsidTr="00997DEB">
        <w:trPr>
          <w:cnfStyle w:val="100000000000" w:firstRow="1" w:lastRow="0" w:firstColumn="0" w:lastColumn="0" w:oddVBand="0" w:evenVBand="0" w:oddHBand="0" w:evenHBand="0" w:firstRowFirstColumn="0" w:firstRowLastColumn="0" w:lastRowFirstColumn="0" w:lastRowLastColumn="0"/>
        </w:trPr>
        <w:tc>
          <w:tcPr>
            <w:tcW w:w="1129" w:type="dxa"/>
            <w:noWrap/>
            <w:vAlign w:val="center"/>
            <w:hideMark/>
          </w:tcPr>
          <w:p w14:paraId="43A65B01" w14:textId="77777777" w:rsidR="00120717" w:rsidRPr="00B93EE1" w:rsidRDefault="00120717" w:rsidP="00BA59FA">
            <w:pPr>
              <w:jc w:val="left"/>
              <w:rPr>
                <w:rFonts w:cs="Arial"/>
                <w:color w:val="FFFFFF" w:themeColor="background1"/>
                <w:sz w:val="16"/>
                <w:szCs w:val="16"/>
              </w:rPr>
            </w:pPr>
            <w:r w:rsidRPr="00B93EE1">
              <w:rPr>
                <w:rFonts w:cs="Arial"/>
                <w:color w:val="FFFFFF" w:themeColor="background1"/>
                <w:sz w:val="16"/>
                <w:szCs w:val="16"/>
              </w:rPr>
              <w:t>HS code</w:t>
            </w:r>
          </w:p>
        </w:tc>
        <w:tc>
          <w:tcPr>
            <w:tcW w:w="5812" w:type="dxa"/>
            <w:noWrap/>
            <w:vAlign w:val="center"/>
            <w:hideMark/>
          </w:tcPr>
          <w:p w14:paraId="5FFE0157" w14:textId="77777777" w:rsidR="00120717" w:rsidRPr="00B93EE1" w:rsidRDefault="00120717" w:rsidP="00BA59FA">
            <w:pPr>
              <w:jc w:val="left"/>
              <w:rPr>
                <w:rFonts w:cs="Arial"/>
                <w:color w:val="FFFFFF" w:themeColor="background1"/>
                <w:sz w:val="16"/>
                <w:szCs w:val="16"/>
              </w:rPr>
            </w:pPr>
            <w:r w:rsidRPr="00B93EE1">
              <w:rPr>
                <w:rFonts w:cs="Arial"/>
                <w:color w:val="FFFFFF" w:themeColor="background1"/>
                <w:sz w:val="16"/>
                <w:szCs w:val="16"/>
              </w:rPr>
              <w:t>Description</w:t>
            </w:r>
          </w:p>
        </w:tc>
        <w:tc>
          <w:tcPr>
            <w:tcW w:w="1134" w:type="dxa"/>
            <w:noWrap/>
            <w:vAlign w:val="center"/>
            <w:hideMark/>
          </w:tcPr>
          <w:p w14:paraId="2E86477D" w14:textId="77777777" w:rsidR="00120717" w:rsidRPr="00B93EE1" w:rsidRDefault="00120717" w:rsidP="00997DEB">
            <w:pPr>
              <w:ind w:right="113"/>
              <w:jc w:val="right"/>
              <w:rPr>
                <w:rFonts w:cs="Arial"/>
                <w:color w:val="FFFFFF" w:themeColor="background1"/>
                <w:sz w:val="16"/>
                <w:szCs w:val="16"/>
              </w:rPr>
            </w:pPr>
            <w:r w:rsidRPr="00B93EE1">
              <w:rPr>
                <w:rFonts w:cs="Arial"/>
                <w:color w:val="FFFFFF" w:themeColor="background1"/>
                <w:sz w:val="16"/>
                <w:szCs w:val="16"/>
              </w:rPr>
              <w:t>MFN applied</w:t>
            </w:r>
          </w:p>
        </w:tc>
        <w:tc>
          <w:tcPr>
            <w:tcW w:w="992" w:type="dxa"/>
            <w:noWrap/>
            <w:vAlign w:val="center"/>
            <w:hideMark/>
          </w:tcPr>
          <w:p w14:paraId="70715AED" w14:textId="77777777" w:rsidR="00120717" w:rsidRPr="00B93EE1" w:rsidRDefault="00120717" w:rsidP="00997DEB">
            <w:pPr>
              <w:ind w:right="113"/>
              <w:jc w:val="right"/>
              <w:rPr>
                <w:rFonts w:cs="Arial"/>
                <w:color w:val="FFFFFF" w:themeColor="background1"/>
                <w:sz w:val="16"/>
                <w:szCs w:val="16"/>
              </w:rPr>
            </w:pPr>
            <w:r w:rsidRPr="00B93EE1">
              <w:rPr>
                <w:rFonts w:cs="Arial"/>
                <w:color w:val="FFFFFF" w:themeColor="background1"/>
                <w:sz w:val="16"/>
                <w:szCs w:val="16"/>
              </w:rPr>
              <w:t>Bound</w:t>
            </w:r>
          </w:p>
        </w:tc>
      </w:tr>
      <w:tr w:rsidR="00120717" w:rsidRPr="00B93EE1" w14:paraId="2A38FAE6" w14:textId="77777777" w:rsidTr="00997DEB">
        <w:tc>
          <w:tcPr>
            <w:tcW w:w="1129" w:type="dxa"/>
            <w:noWrap/>
            <w:hideMark/>
          </w:tcPr>
          <w:p w14:paraId="4D2100F6" w14:textId="77777777" w:rsidR="00120717" w:rsidRPr="00B93EE1" w:rsidRDefault="00120717" w:rsidP="00BA59FA">
            <w:pPr>
              <w:jc w:val="left"/>
              <w:rPr>
                <w:rFonts w:cs="Arial"/>
                <w:color w:val="000000"/>
                <w:sz w:val="16"/>
                <w:szCs w:val="16"/>
              </w:rPr>
            </w:pPr>
            <w:r w:rsidRPr="00B93EE1">
              <w:rPr>
                <w:rFonts w:cs="Arial"/>
                <w:color w:val="000000"/>
                <w:sz w:val="16"/>
                <w:szCs w:val="16"/>
              </w:rPr>
              <w:t>84797100</w:t>
            </w:r>
          </w:p>
        </w:tc>
        <w:tc>
          <w:tcPr>
            <w:tcW w:w="5812" w:type="dxa"/>
            <w:hideMark/>
          </w:tcPr>
          <w:p w14:paraId="062EBE54" w14:textId="77777777" w:rsidR="00120717" w:rsidRPr="00B93EE1" w:rsidRDefault="00120717" w:rsidP="00BA59FA">
            <w:pPr>
              <w:jc w:val="left"/>
              <w:rPr>
                <w:rFonts w:cs="Arial"/>
                <w:sz w:val="16"/>
                <w:szCs w:val="16"/>
              </w:rPr>
            </w:pPr>
            <w:r w:rsidRPr="00B93EE1">
              <w:rPr>
                <w:rFonts w:cs="Arial"/>
                <w:sz w:val="16"/>
                <w:szCs w:val="16"/>
              </w:rPr>
              <w:t>Passenger boarding bridges of a kind used in airports</w:t>
            </w:r>
          </w:p>
        </w:tc>
        <w:tc>
          <w:tcPr>
            <w:tcW w:w="1134" w:type="dxa"/>
            <w:noWrap/>
            <w:hideMark/>
          </w:tcPr>
          <w:p w14:paraId="4A4851A4" w14:textId="77777777" w:rsidR="00120717" w:rsidRPr="00B93EE1" w:rsidRDefault="00120717" w:rsidP="00997DEB">
            <w:pPr>
              <w:ind w:right="113"/>
              <w:jc w:val="right"/>
              <w:rPr>
                <w:rFonts w:cs="Arial"/>
                <w:color w:val="000000"/>
                <w:sz w:val="16"/>
                <w:szCs w:val="16"/>
              </w:rPr>
            </w:pPr>
            <w:r w:rsidRPr="00B93EE1">
              <w:rPr>
                <w:rFonts w:cs="Arial"/>
                <w:color w:val="000000"/>
                <w:sz w:val="16"/>
                <w:szCs w:val="16"/>
              </w:rPr>
              <w:t>5%</w:t>
            </w:r>
          </w:p>
        </w:tc>
        <w:tc>
          <w:tcPr>
            <w:tcW w:w="992" w:type="dxa"/>
            <w:noWrap/>
            <w:hideMark/>
          </w:tcPr>
          <w:p w14:paraId="5370D219" w14:textId="77777777" w:rsidR="00120717" w:rsidRPr="00B93EE1" w:rsidRDefault="00120717" w:rsidP="00997DEB">
            <w:pPr>
              <w:ind w:right="113"/>
              <w:jc w:val="right"/>
              <w:rPr>
                <w:rFonts w:cs="Arial"/>
                <w:color w:val="000000"/>
                <w:sz w:val="16"/>
                <w:szCs w:val="16"/>
              </w:rPr>
            </w:pPr>
            <w:r w:rsidRPr="00B93EE1">
              <w:rPr>
                <w:rFonts w:cs="Arial"/>
                <w:color w:val="000000"/>
                <w:sz w:val="16"/>
                <w:szCs w:val="16"/>
              </w:rPr>
              <w:t>0%</w:t>
            </w:r>
          </w:p>
        </w:tc>
      </w:tr>
      <w:tr w:rsidR="00120717" w:rsidRPr="00B93EE1" w14:paraId="62E6FB8C" w14:textId="77777777" w:rsidTr="00997DEB">
        <w:trPr>
          <w:cnfStyle w:val="000000010000" w:firstRow="0" w:lastRow="0" w:firstColumn="0" w:lastColumn="0" w:oddVBand="0" w:evenVBand="0" w:oddHBand="0" w:evenHBand="1" w:firstRowFirstColumn="0" w:firstRowLastColumn="0" w:lastRowFirstColumn="0" w:lastRowLastColumn="0"/>
        </w:trPr>
        <w:tc>
          <w:tcPr>
            <w:tcW w:w="1129" w:type="dxa"/>
            <w:noWrap/>
            <w:hideMark/>
          </w:tcPr>
          <w:p w14:paraId="66FE2005" w14:textId="77777777" w:rsidR="00120717" w:rsidRPr="00B93EE1" w:rsidRDefault="00120717" w:rsidP="00BA59FA">
            <w:pPr>
              <w:jc w:val="left"/>
              <w:rPr>
                <w:rFonts w:cs="Arial"/>
                <w:color w:val="000000"/>
                <w:sz w:val="16"/>
                <w:szCs w:val="16"/>
              </w:rPr>
            </w:pPr>
            <w:r w:rsidRPr="00B93EE1">
              <w:rPr>
                <w:rFonts w:cs="Arial"/>
                <w:color w:val="000000"/>
                <w:sz w:val="16"/>
                <w:szCs w:val="16"/>
              </w:rPr>
              <w:t>84797900</w:t>
            </w:r>
          </w:p>
        </w:tc>
        <w:tc>
          <w:tcPr>
            <w:tcW w:w="5812" w:type="dxa"/>
            <w:hideMark/>
          </w:tcPr>
          <w:p w14:paraId="3E1F512F" w14:textId="77777777" w:rsidR="00120717" w:rsidRPr="00B93EE1" w:rsidRDefault="00120717" w:rsidP="00BA59FA">
            <w:pPr>
              <w:jc w:val="left"/>
              <w:rPr>
                <w:rFonts w:cs="Arial"/>
                <w:sz w:val="16"/>
                <w:szCs w:val="16"/>
              </w:rPr>
            </w:pPr>
            <w:r w:rsidRPr="00B93EE1">
              <w:rPr>
                <w:sz w:val="16"/>
                <w:szCs w:val="16"/>
              </w:rPr>
              <w:t>Passenger boarding bridges, other than of a kind used in airports</w:t>
            </w:r>
          </w:p>
        </w:tc>
        <w:tc>
          <w:tcPr>
            <w:tcW w:w="1134" w:type="dxa"/>
            <w:noWrap/>
            <w:hideMark/>
          </w:tcPr>
          <w:p w14:paraId="527A4B18" w14:textId="77777777" w:rsidR="00120717" w:rsidRPr="00B93EE1" w:rsidRDefault="00120717" w:rsidP="00997DEB">
            <w:pPr>
              <w:ind w:right="113"/>
              <w:jc w:val="right"/>
              <w:rPr>
                <w:rFonts w:cs="Arial"/>
                <w:color w:val="000000"/>
                <w:sz w:val="16"/>
                <w:szCs w:val="16"/>
              </w:rPr>
            </w:pPr>
            <w:r w:rsidRPr="00B93EE1">
              <w:rPr>
                <w:rFonts w:cs="Arial"/>
                <w:color w:val="000000"/>
                <w:sz w:val="16"/>
                <w:szCs w:val="16"/>
              </w:rPr>
              <w:t>5%</w:t>
            </w:r>
          </w:p>
        </w:tc>
        <w:tc>
          <w:tcPr>
            <w:tcW w:w="992" w:type="dxa"/>
            <w:noWrap/>
            <w:hideMark/>
          </w:tcPr>
          <w:p w14:paraId="389FBB73" w14:textId="77777777" w:rsidR="00120717" w:rsidRPr="00B93EE1" w:rsidRDefault="00120717" w:rsidP="00997DEB">
            <w:pPr>
              <w:ind w:right="113"/>
              <w:jc w:val="right"/>
              <w:rPr>
                <w:rFonts w:cs="Arial"/>
                <w:color w:val="000000"/>
                <w:sz w:val="16"/>
                <w:szCs w:val="16"/>
              </w:rPr>
            </w:pPr>
            <w:r w:rsidRPr="00B93EE1">
              <w:rPr>
                <w:rFonts w:cs="Arial"/>
                <w:color w:val="000000"/>
                <w:sz w:val="16"/>
                <w:szCs w:val="16"/>
              </w:rPr>
              <w:t>0%</w:t>
            </w:r>
          </w:p>
        </w:tc>
      </w:tr>
    </w:tbl>
    <w:p w14:paraId="524D22B8" w14:textId="77777777" w:rsidR="00120717" w:rsidRPr="00B93EE1" w:rsidRDefault="00120717" w:rsidP="00062AA5">
      <w:pPr>
        <w:pStyle w:val="NoteText"/>
        <w:spacing w:before="120" w:after="240"/>
      </w:pPr>
      <w:r w:rsidRPr="00B93EE1">
        <w:t>Source:</w:t>
      </w:r>
      <w:r w:rsidRPr="00B93EE1">
        <w:tab/>
        <w:t>WTO Secretariat calculations, based on data provided by the authorities.</w:t>
      </w:r>
      <w:bookmarkEnd w:id="93"/>
    </w:p>
    <w:p w14:paraId="7439C628" w14:textId="77777777" w:rsidR="00120717" w:rsidRPr="00F64A35" w:rsidRDefault="00120717" w:rsidP="001662B9">
      <w:pPr>
        <w:pStyle w:val="BodyText"/>
        <w:spacing w:after="200"/>
      </w:pPr>
      <w:r w:rsidRPr="00B93EE1">
        <w:t>The simple average bound tariff rate is 10.5%, considerably higher than the current applied MFN average of 2.2% (Table 3.2). Differences between bound and applied rates may provide the Government with scope to raise applied tariffs, especially in sensitive sectors, although this has not been the case during the period under review.</w:t>
      </w:r>
    </w:p>
    <w:p w14:paraId="6773DA26" w14:textId="77777777" w:rsidR="00120717" w:rsidRPr="00F64A35" w:rsidRDefault="00120717" w:rsidP="00185006">
      <w:pPr>
        <w:pStyle w:val="Heading4"/>
      </w:pPr>
      <w:bookmarkStart w:id="95" w:name="_Toc415735865"/>
      <w:bookmarkStart w:id="96" w:name="_Toc97800140"/>
      <w:r w:rsidRPr="00B93EE1">
        <w:t>Tariff preferences</w:t>
      </w:r>
      <w:bookmarkEnd w:id="95"/>
      <w:bookmarkEnd w:id="96"/>
    </w:p>
    <w:p w14:paraId="6284DA1D" w14:textId="77777777" w:rsidR="00120717" w:rsidRPr="00F64A35" w:rsidRDefault="00120717" w:rsidP="001662B9">
      <w:pPr>
        <w:pStyle w:val="BodyText"/>
        <w:spacing w:after="200"/>
      </w:pPr>
      <w:r w:rsidRPr="00B93EE1">
        <w:t>New Zealand grants preferential treatment to imports originating in the trading partners with which it has closer economic partnerships and free trade agreements. Most imports originating in these preferential schemes enter duty</w:t>
      </w:r>
      <w:r w:rsidRPr="00B93EE1">
        <w:noBreakHyphen/>
        <w:t>free, with few exceptions as indicated in Table 3.3. The average preferential tariffs in the agreements negotiated by New Zealand are all well below the average MFN rate. Average preferential tariffs range from 0.0% to 2.2% (Table 3.5).</w:t>
      </w:r>
    </w:p>
    <w:p w14:paraId="1DB08379" w14:textId="7050B278" w:rsidR="00120717" w:rsidRPr="00B93EE1" w:rsidRDefault="00BB55A0" w:rsidP="00BB55A0">
      <w:pPr>
        <w:pStyle w:val="Caption"/>
      </w:pPr>
      <w:bookmarkStart w:id="97" w:name="_Toc418783239"/>
      <w:bookmarkStart w:id="98" w:name="_Toc97793391"/>
      <w:r>
        <w:t xml:space="preserve">Table </w:t>
      </w:r>
      <w:r w:rsidR="0012793B">
        <w:fldChar w:fldCharType="begin"/>
      </w:r>
      <w:r w:rsidR="0012793B">
        <w:instrText xml:space="preserve"> STYLEREF 1 \s </w:instrText>
      </w:r>
      <w:r w:rsidR="0012793B">
        <w:fldChar w:fldCharType="separate"/>
      </w:r>
      <w:r w:rsidR="00D37A97">
        <w:rPr>
          <w:noProof/>
        </w:rPr>
        <w:t>3</w:t>
      </w:r>
      <w:r w:rsidR="0012793B">
        <w:rPr>
          <w:noProof/>
        </w:rPr>
        <w:fldChar w:fldCharType="end"/>
      </w:r>
      <w:r w:rsidR="00D37A97">
        <w:t>.</w:t>
      </w:r>
      <w:r w:rsidR="0012793B">
        <w:fldChar w:fldCharType="begin"/>
      </w:r>
      <w:r w:rsidR="0012793B">
        <w:instrText xml:space="preserve"> SEQ Table \* ARABIC \s 1 </w:instrText>
      </w:r>
      <w:r w:rsidR="0012793B">
        <w:fldChar w:fldCharType="separate"/>
      </w:r>
      <w:r w:rsidR="00D37A97">
        <w:rPr>
          <w:noProof/>
        </w:rPr>
        <w:t>5</w:t>
      </w:r>
      <w:r w:rsidR="0012793B">
        <w:rPr>
          <w:noProof/>
        </w:rPr>
        <w:fldChar w:fldCharType="end"/>
      </w:r>
      <w:r>
        <w:t xml:space="preserve"> </w:t>
      </w:r>
      <w:r w:rsidR="00120717" w:rsidRPr="00B93EE1">
        <w:t>Summary analysis of New Zealand's preferential tariffs, 2021</w:t>
      </w:r>
      <w:bookmarkEnd w:id="97"/>
      <w:bookmarkEnd w:id="98"/>
    </w:p>
    <w:p w14:paraId="17B072E1" w14:textId="77777777" w:rsidR="00120717" w:rsidRPr="00B93EE1" w:rsidRDefault="00120717" w:rsidP="00D239F1">
      <w:pPr>
        <w:pStyle w:val="NoteText"/>
      </w:pPr>
      <w:r w:rsidRPr="00B93EE1">
        <w:t>(Number and %)</w:t>
      </w:r>
    </w:p>
    <w:tbl>
      <w:tblPr>
        <w:tblStyle w:val="WTOTable1"/>
        <w:tblW w:w="9067" w:type="dxa"/>
        <w:tblLayout w:type="fixed"/>
        <w:tblLook w:val="04A0" w:firstRow="1" w:lastRow="0" w:firstColumn="1" w:lastColumn="0" w:noHBand="0" w:noVBand="1"/>
      </w:tblPr>
      <w:tblGrid>
        <w:gridCol w:w="1856"/>
        <w:gridCol w:w="1289"/>
        <w:gridCol w:w="1002"/>
        <w:gridCol w:w="860"/>
        <w:gridCol w:w="238"/>
        <w:gridCol w:w="1002"/>
        <w:gridCol w:w="860"/>
        <w:gridCol w:w="238"/>
        <w:gridCol w:w="872"/>
        <w:gridCol w:w="850"/>
      </w:tblGrid>
      <w:tr w:rsidR="00120717" w:rsidRPr="00B93EE1" w14:paraId="0248D100" w14:textId="77777777" w:rsidTr="00975C4A">
        <w:trPr>
          <w:cnfStyle w:val="100000000000" w:firstRow="1" w:lastRow="0" w:firstColumn="0" w:lastColumn="0" w:oddVBand="0" w:evenVBand="0" w:oddHBand="0" w:evenHBand="0" w:firstRowFirstColumn="0" w:firstRowLastColumn="0" w:lastRowFirstColumn="0" w:lastRowLastColumn="0"/>
          <w:tblHeader/>
        </w:trPr>
        <w:tc>
          <w:tcPr>
            <w:tcW w:w="1856" w:type="dxa"/>
            <w:vMerge w:val="restart"/>
            <w:noWrap/>
            <w:vAlign w:val="center"/>
            <w:hideMark/>
          </w:tcPr>
          <w:p w14:paraId="6733E4DF" w14:textId="77777777" w:rsidR="00120717" w:rsidRPr="00B93EE1" w:rsidRDefault="00120717" w:rsidP="00D239F1">
            <w:pPr>
              <w:rPr>
                <w:sz w:val="14"/>
                <w:szCs w:val="14"/>
              </w:rPr>
            </w:pPr>
          </w:p>
        </w:tc>
        <w:tc>
          <w:tcPr>
            <w:tcW w:w="1289" w:type="dxa"/>
            <w:vMerge w:val="restart"/>
            <w:vAlign w:val="center"/>
            <w:hideMark/>
          </w:tcPr>
          <w:p w14:paraId="4CE0359F" w14:textId="77777777" w:rsidR="00120717" w:rsidRPr="00B93EE1" w:rsidRDefault="00120717" w:rsidP="00315B84">
            <w:pPr>
              <w:jc w:val="center"/>
              <w:rPr>
                <w:rFonts w:cs="Calibri"/>
                <w:sz w:val="14"/>
                <w:szCs w:val="14"/>
              </w:rPr>
            </w:pPr>
            <w:r w:rsidRPr="00B93EE1">
              <w:rPr>
                <w:rFonts w:cs="Calibri"/>
                <w:sz w:val="14"/>
                <w:szCs w:val="14"/>
              </w:rPr>
              <w:t xml:space="preserve">Number of preferential </w:t>
            </w:r>
            <w:proofErr w:type="spellStart"/>
            <w:r w:rsidRPr="00B93EE1">
              <w:rPr>
                <w:rFonts w:cs="Calibri"/>
                <w:sz w:val="14"/>
                <w:szCs w:val="14"/>
              </w:rPr>
              <w:t>lines</w:t>
            </w:r>
            <w:r w:rsidRPr="00B93EE1">
              <w:rPr>
                <w:rFonts w:cs="Calibri"/>
                <w:sz w:val="14"/>
                <w:szCs w:val="14"/>
                <w:vertAlign w:val="superscript"/>
              </w:rPr>
              <w:t>a</w:t>
            </w:r>
            <w:proofErr w:type="spellEnd"/>
          </w:p>
        </w:tc>
        <w:tc>
          <w:tcPr>
            <w:tcW w:w="1862" w:type="dxa"/>
            <w:gridSpan w:val="2"/>
            <w:tcBorders>
              <w:top w:val="single" w:sz="4" w:space="0" w:color="auto"/>
              <w:bottom w:val="single" w:sz="4" w:space="0" w:color="auto"/>
            </w:tcBorders>
            <w:noWrap/>
            <w:vAlign w:val="center"/>
            <w:hideMark/>
          </w:tcPr>
          <w:p w14:paraId="50760335" w14:textId="77777777" w:rsidR="00120717" w:rsidRPr="00B93EE1" w:rsidRDefault="00120717" w:rsidP="00D239F1">
            <w:pPr>
              <w:jc w:val="center"/>
              <w:rPr>
                <w:rFonts w:cs="Calibri"/>
                <w:sz w:val="14"/>
                <w:szCs w:val="14"/>
              </w:rPr>
            </w:pPr>
            <w:r w:rsidRPr="00B93EE1">
              <w:rPr>
                <w:rFonts w:cs="Calibri"/>
                <w:sz w:val="14"/>
                <w:szCs w:val="14"/>
              </w:rPr>
              <w:t>Total</w:t>
            </w:r>
          </w:p>
        </w:tc>
        <w:tc>
          <w:tcPr>
            <w:tcW w:w="238" w:type="dxa"/>
            <w:vMerge w:val="restart"/>
            <w:tcBorders>
              <w:top w:val="single" w:sz="4" w:space="0" w:color="auto"/>
            </w:tcBorders>
            <w:noWrap/>
            <w:vAlign w:val="center"/>
            <w:hideMark/>
          </w:tcPr>
          <w:p w14:paraId="5A65D80D" w14:textId="77777777" w:rsidR="00120717" w:rsidRPr="00B93EE1" w:rsidRDefault="00120717" w:rsidP="00D239F1">
            <w:pPr>
              <w:jc w:val="center"/>
              <w:rPr>
                <w:rFonts w:cs="Calibri"/>
                <w:sz w:val="14"/>
                <w:szCs w:val="14"/>
              </w:rPr>
            </w:pPr>
          </w:p>
        </w:tc>
        <w:tc>
          <w:tcPr>
            <w:tcW w:w="1862" w:type="dxa"/>
            <w:gridSpan w:val="2"/>
            <w:tcBorders>
              <w:top w:val="single" w:sz="4" w:space="0" w:color="auto"/>
              <w:bottom w:val="single" w:sz="4" w:space="0" w:color="auto"/>
            </w:tcBorders>
            <w:noWrap/>
            <w:vAlign w:val="center"/>
            <w:hideMark/>
          </w:tcPr>
          <w:p w14:paraId="101E55B9" w14:textId="77777777" w:rsidR="00120717" w:rsidRPr="00B93EE1" w:rsidRDefault="00120717" w:rsidP="00D239F1">
            <w:pPr>
              <w:jc w:val="center"/>
              <w:rPr>
                <w:rFonts w:cs="Calibri"/>
                <w:sz w:val="14"/>
                <w:szCs w:val="14"/>
              </w:rPr>
            </w:pPr>
            <w:r w:rsidRPr="00B93EE1">
              <w:rPr>
                <w:rFonts w:cs="Calibri"/>
                <w:sz w:val="14"/>
                <w:szCs w:val="14"/>
              </w:rPr>
              <w:t>WTO agriculture</w:t>
            </w:r>
          </w:p>
        </w:tc>
        <w:tc>
          <w:tcPr>
            <w:tcW w:w="238" w:type="dxa"/>
            <w:vMerge w:val="restart"/>
            <w:tcBorders>
              <w:top w:val="single" w:sz="4" w:space="0" w:color="auto"/>
            </w:tcBorders>
            <w:noWrap/>
            <w:vAlign w:val="center"/>
            <w:hideMark/>
          </w:tcPr>
          <w:p w14:paraId="76CB5C5E" w14:textId="77777777" w:rsidR="00120717" w:rsidRPr="00B93EE1" w:rsidRDefault="00120717" w:rsidP="00D239F1">
            <w:pPr>
              <w:jc w:val="center"/>
              <w:rPr>
                <w:rFonts w:cs="Calibri"/>
                <w:sz w:val="14"/>
                <w:szCs w:val="14"/>
              </w:rPr>
            </w:pPr>
          </w:p>
        </w:tc>
        <w:tc>
          <w:tcPr>
            <w:tcW w:w="1722" w:type="dxa"/>
            <w:gridSpan w:val="2"/>
            <w:tcBorders>
              <w:top w:val="single" w:sz="4" w:space="0" w:color="auto"/>
              <w:bottom w:val="single" w:sz="4" w:space="0" w:color="auto"/>
            </w:tcBorders>
            <w:noWrap/>
            <w:vAlign w:val="center"/>
            <w:hideMark/>
          </w:tcPr>
          <w:p w14:paraId="72A36AE5" w14:textId="77777777" w:rsidR="00120717" w:rsidRPr="00B93EE1" w:rsidRDefault="00120717" w:rsidP="00D239F1">
            <w:pPr>
              <w:jc w:val="center"/>
              <w:rPr>
                <w:rFonts w:cs="Calibri"/>
                <w:sz w:val="14"/>
                <w:szCs w:val="14"/>
              </w:rPr>
            </w:pPr>
            <w:r w:rsidRPr="00B93EE1">
              <w:rPr>
                <w:rFonts w:cs="Calibri"/>
                <w:sz w:val="14"/>
                <w:szCs w:val="14"/>
              </w:rPr>
              <w:t>WTO non-agriculture</w:t>
            </w:r>
          </w:p>
        </w:tc>
      </w:tr>
      <w:tr w:rsidR="00120717" w:rsidRPr="00B93EE1" w14:paraId="7CAF54C3" w14:textId="77777777" w:rsidTr="00975C4A">
        <w:trPr>
          <w:cnfStyle w:val="100000000000" w:firstRow="1" w:lastRow="0" w:firstColumn="0" w:lastColumn="0" w:oddVBand="0" w:evenVBand="0" w:oddHBand="0" w:evenHBand="0" w:firstRowFirstColumn="0" w:firstRowLastColumn="0" w:lastRowFirstColumn="0" w:lastRowLastColumn="0"/>
          <w:tblHeader/>
        </w:trPr>
        <w:tc>
          <w:tcPr>
            <w:tcW w:w="1856" w:type="dxa"/>
            <w:vMerge/>
            <w:noWrap/>
            <w:vAlign w:val="center"/>
            <w:hideMark/>
          </w:tcPr>
          <w:p w14:paraId="3E869F94" w14:textId="77777777" w:rsidR="00120717" w:rsidRPr="00B93EE1" w:rsidRDefault="00120717" w:rsidP="00D239F1">
            <w:pPr>
              <w:jc w:val="center"/>
              <w:rPr>
                <w:rFonts w:cs="Calibri"/>
                <w:sz w:val="14"/>
                <w:szCs w:val="14"/>
              </w:rPr>
            </w:pPr>
          </w:p>
        </w:tc>
        <w:tc>
          <w:tcPr>
            <w:tcW w:w="1289" w:type="dxa"/>
            <w:vMerge/>
            <w:vAlign w:val="center"/>
            <w:hideMark/>
          </w:tcPr>
          <w:p w14:paraId="4DA4BB8C" w14:textId="77777777" w:rsidR="00120717" w:rsidRPr="00B93EE1" w:rsidRDefault="00120717" w:rsidP="00D239F1">
            <w:pPr>
              <w:rPr>
                <w:rFonts w:cs="Calibri"/>
                <w:sz w:val="14"/>
                <w:szCs w:val="14"/>
              </w:rPr>
            </w:pPr>
          </w:p>
        </w:tc>
        <w:tc>
          <w:tcPr>
            <w:tcW w:w="1002" w:type="dxa"/>
            <w:tcBorders>
              <w:top w:val="single" w:sz="4" w:space="0" w:color="auto"/>
              <w:bottom w:val="nil"/>
            </w:tcBorders>
            <w:noWrap/>
            <w:vAlign w:val="center"/>
            <w:hideMark/>
          </w:tcPr>
          <w:p w14:paraId="43BBBEFA" w14:textId="77777777" w:rsidR="00120717" w:rsidRPr="00B93EE1" w:rsidRDefault="00120717" w:rsidP="00D239F1">
            <w:pPr>
              <w:jc w:val="center"/>
              <w:rPr>
                <w:rFonts w:cs="Calibri"/>
                <w:b w:val="0"/>
                <w:bCs/>
                <w:color w:val="FFFFFF" w:themeColor="background1"/>
                <w:sz w:val="14"/>
                <w:szCs w:val="14"/>
              </w:rPr>
            </w:pPr>
            <w:r w:rsidRPr="00B93EE1">
              <w:rPr>
                <w:rFonts w:cs="Calibri"/>
                <w:bCs/>
                <w:color w:val="FFFFFF" w:themeColor="background1"/>
                <w:sz w:val="14"/>
                <w:szCs w:val="14"/>
              </w:rPr>
              <w:t>Average (%)</w:t>
            </w:r>
          </w:p>
        </w:tc>
        <w:tc>
          <w:tcPr>
            <w:tcW w:w="860" w:type="dxa"/>
            <w:tcBorders>
              <w:top w:val="single" w:sz="4" w:space="0" w:color="auto"/>
              <w:bottom w:val="nil"/>
            </w:tcBorders>
            <w:noWrap/>
            <w:vAlign w:val="center"/>
            <w:hideMark/>
          </w:tcPr>
          <w:p w14:paraId="149A63DA" w14:textId="77777777" w:rsidR="00120717" w:rsidRPr="00B93EE1" w:rsidRDefault="00120717" w:rsidP="00D239F1">
            <w:pPr>
              <w:jc w:val="center"/>
              <w:rPr>
                <w:rFonts w:cs="Calibri"/>
                <w:b w:val="0"/>
                <w:bCs/>
                <w:color w:val="FFFFFF" w:themeColor="background1"/>
                <w:sz w:val="14"/>
                <w:szCs w:val="14"/>
              </w:rPr>
            </w:pPr>
            <w:r w:rsidRPr="00B93EE1">
              <w:rPr>
                <w:rFonts w:cs="Calibri"/>
                <w:bCs/>
                <w:color w:val="FFFFFF" w:themeColor="background1"/>
                <w:sz w:val="14"/>
                <w:szCs w:val="14"/>
              </w:rPr>
              <w:t xml:space="preserve">Duty-free </w:t>
            </w:r>
            <w:proofErr w:type="spellStart"/>
            <w:r w:rsidRPr="00B93EE1">
              <w:rPr>
                <w:rFonts w:cs="Calibri"/>
                <w:bCs/>
                <w:color w:val="FFFFFF" w:themeColor="background1"/>
                <w:sz w:val="14"/>
                <w:szCs w:val="14"/>
              </w:rPr>
              <w:t>rates</w:t>
            </w:r>
            <w:r w:rsidRPr="00B93EE1">
              <w:rPr>
                <w:rFonts w:cs="Calibri"/>
                <w:bCs/>
                <w:color w:val="FFFFFF" w:themeColor="background1"/>
                <w:sz w:val="14"/>
                <w:szCs w:val="14"/>
                <w:vertAlign w:val="superscript"/>
              </w:rPr>
              <w:t>b</w:t>
            </w:r>
            <w:proofErr w:type="spellEnd"/>
            <w:r w:rsidRPr="00B93EE1">
              <w:rPr>
                <w:rFonts w:cs="Calibri"/>
                <w:bCs/>
                <w:color w:val="FFFFFF" w:themeColor="background1"/>
                <w:sz w:val="14"/>
                <w:szCs w:val="14"/>
              </w:rPr>
              <w:t xml:space="preserve"> (%)</w:t>
            </w:r>
          </w:p>
        </w:tc>
        <w:tc>
          <w:tcPr>
            <w:tcW w:w="238" w:type="dxa"/>
            <w:vMerge/>
            <w:tcBorders>
              <w:bottom w:val="nil"/>
            </w:tcBorders>
            <w:noWrap/>
            <w:vAlign w:val="center"/>
            <w:hideMark/>
          </w:tcPr>
          <w:p w14:paraId="01F54C4F" w14:textId="77777777" w:rsidR="00120717" w:rsidRPr="00B93EE1" w:rsidRDefault="00120717" w:rsidP="00D239F1">
            <w:pPr>
              <w:jc w:val="center"/>
              <w:rPr>
                <w:rFonts w:cs="Calibri"/>
                <w:b w:val="0"/>
                <w:bCs/>
                <w:color w:val="FFFFFF" w:themeColor="background1"/>
                <w:sz w:val="14"/>
                <w:szCs w:val="14"/>
              </w:rPr>
            </w:pPr>
          </w:p>
        </w:tc>
        <w:tc>
          <w:tcPr>
            <w:tcW w:w="1002" w:type="dxa"/>
            <w:tcBorders>
              <w:top w:val="single" w:sz="4" w:space="0" w:color="auto"/>
              <w:bottom w:val="nil"/>
            </w:tcBorders>
            <w:noWrap/>
            <w:vAlign w:val="center"/>
            <w:hideMark/>
          </w:tcPr>
          <w:p w14:paraId="3A7D2953" w14:textId="77777777" w:rsidR="00120717" w:rsidRPr="00B93EE1" w:rsidRDefault="00120717" w:rsidP="00D239F1">
            <w:pPr>
              <w:jc w:val="center"/>
              <w:rPr>
                <w:rFonts w:cs="Calibri"/>
                <w:b w:val="0"/>
                <w:bCs/>
                <w:color w:val="FFFFFF" w:themeColor="background1"/>
                <w:sz w:val="14"/>
                <w:szCs w:val="14"/>
              </w:rPr>
            </w:pPr>
            <w:r w:rsidRPr="00B93EE1">
              <w:rPr>
                <w:rFonts w:cs="Calibri"/>
                <w:bCs/>
                <w:color w:val="FFFFFF" w:themeColor="background1"/>
                <w:sz w:val="14"/>
                <w:szCs w:val="14"/>
              </w:rPr>
              <w:t>Average (%)</w:t>
            </w:r>
          </w:p>
        </w:tc>
        <w:tc>
          <w:tcPr>
            <w:tcW w:w="860" w:type="dxa"/>
            <w:tcBorders>
              <w:top w:val="single" w:sz="4" w:space="0" w:color="auto"/>
              <w:bottom w:val="nil"/>
            </w:tcBorders>
            <w:noWrap/>
            <w:vAlign w:val="center"/>
            <w:hideMark/>
          </w:tcPr>
          <w:p w14:paraId="6EA71896" w14:textId="77777777" w:rsidR="00120717" w:rsidRPr="00B93EE1" w:rsidRDefault="00120717" w:rsidP="00D239F1">
            <w:pPr>
              <w:jc w:val="center"/>
              <w:rPr>
                <w:rFonts w:cs="Calibri"/>
                <w:b w:val="0"/>
                <w:bCs/>
                <w:color w:val="FFFFFF" w:themeColor="background1"/>
                <w:sz w:val="14"/>
                <w:szCs w:val="14"/>
              </w:rPr>
            </w:pPr>
            <w:r w:rsidRPr="00B93EE1">
              <w:rPr>
                <w:rFonts w:cs="Calibri"/>
                <w:bCs/>
                <w:color w:val="FFFFFF" w:themeColor="background1"/>
                <w:sz w:val="14"/>
                <w:szCs w:val="14"/>
              </w:rPr>
              <w:t xml:space="preserve">Duty-free </w:t>
            </w:r>
            <w:proofErr w:type="spellStart"/>
            <w:r w:rsidRPr="00B93EE1">
              <w:rPr>
                <w:rFonts w:cs="Calibri"/>
                <w:bCs/>
                <w:color w:val="FFFFFF" w:themeColor="background1"/>
                <w:sz w:val="14"/>
                <w:szCs w:val="14"/>
              </w:rPr>
              <w:t>rates</w:t>
            </w:r>
            <w:r w:rsidRPr="00B93EE1">
              <w:rPr>
                <w:rFonts w:cs="Calibri"/>
                <w:bCs/>
                <w:color w:val="FFFFFF" w:themeColor="background1"/>
                <w:sz w:val="14"/>
                <w:szCs w:val="14"/>
                <w:vertAlign w:val="superscript"/>
              </w:rPr>
              <w:t>b</w:t>
            </w:r>
            <w:proofErr w:type="spellEnd"/>
            <w:r w:rsidRPr="00B93EE1">
              <w:rPr>
                <w:rFonts w:cs="Calibri"/>
                <w:bCs/>
                <w:color w:val="FFFFFF" w:themeColor="background1"/>
                <w:sz w:val="14"/>
                <w:szCs w:val="14"/>
              </w:rPr>
              <w:t xml:space="preserve"> (%)</w:t>
            </w:r>
          </w:p>
        </w:tc>
        <w:tc>
          <w:tcPr>
            <w:tcW w:w="238" w:type="dxa"/>
            <w:vMerge/>
            <w:tcBorders>
              <w:bottom w:val="nil"/>
            </w:tcBorders>
            <w:noWrap/>
            <w:vAlign w:val="center"/>
            <w:hideMark/>
          </w:tcPr>
          <w:p w14:paraId="1B67359F" w14:textId="77777777" w:rsidR="00120717" w:rsidRPr="00B93EE1" w:rsidRDefault="00120717" w:rsidP="00D239F1">
            <w:pPr>
              <w:jc w:val="center"/>
              <w:rPr>
                <w:rFonts w:cs="Calibri"/>
                <w:b w:val="0"/>
                <w:bCs/>
                <w:color w:val="FFFFFF" w:themeColor="background1"/>
                <w:sz w:val="14"/>
                <w:szCs w:val="14"/>
              </w:rPr>
            </w:pPr>
          </w:p>
        </w:tc>
        <w:tc>
          <w:tcPr>
            <w:tcW w:w="872" w:type="dxa"/>
            <w:tcBorders>
              <w:top w:val="single" w:sz="4" w:space="0" w:color="auto"/>
              <w:bottom w:val="nil"/>
            </w:tcBorders>
            <w:noWrap/>
            <w:vAlign w:val="center"/>
            <w:hideMark/>
          </w:tcPr>
          <w:p w14:paraId="6180C371" w14:textId="77777777" w:rsidR="00120717" w:rsidRPr="00B93EE1" w:rsidRDefault="00120717" w:rsidP="00D239F1">
            <w:pPr>
              <w:jc w:val="center"/>
              <w:rPr>
                <w:rFonts w:cs="Calibri"/>
                <w:b w:val="0"/>
                <w:bCs/>
                <w:color w:val="FFFFFF" w:themeColor="background1"/>
                <w:sz w:val="14"/>
                <w:szCs w:val="14"/>
              </w:rPr>
            </w:pPr>
            <w:r w:rsidRPr="00B93EE1">
              <w:rPr>
                <w:rFonts w:cs="Calibri"/>
                <w:bCs/>
                <w:color w:val="FFFFFF" w:themeColor="background1"/>
                <w:sz w:val="14"/>
                <w:szCs w:val="14"/>
              </w:rPr>
              <w:t>Average (%)</w:t>
            </w:r>
          </w:p>
        </w:tc>
        <w:tc>
          <w:tcPr>
            <w:tcW w:w="850" w:type="dxa"/>
            <w:tcBorders>
              <w:top w:val="single" w:sz="4" w:space="0" w:color="auto"/>
              <w:bottom w:val="nil"/>
            </w:tcBorders>
            <w:noWrap/>
            <w:vAlign w:val="center"/>
            <w:hideMark/>
          </w:tcPr>
          <w:p w14:paraId="23D6A61C" w14:textId="77777777" w:rsidR="00120717" w:rsidRPr="00B93EE1" w:rsidRDefault="00120717" w:rsidP="00D239F1">
            <w:pPr>
              <w:jc w:val="center"/>
              <w:rPr>
                <w:rFonts w:cs="Calibri"/>
                <w:b w:val="0"/>
                <w:bCs/>
                <w:color w:val="FFFFFF" w:themeColor="background1"/>
                <w:sz w:val="14"/>
                <w:szCs w:val="14"/>
              </w:rPr>
            </w:pPr>
            <w:r w:rsidRPr="00B93EE1">
              <w:rPr>
                <w:rFonts w:cs="Calibri"/>
                <w:bCs/>
                <w:color w:val="FFFFFF" w:themeColor="background1"/>
                <w:sz w:val="14"/>
                <w:szCs w:val="14"/>
              </w:rPr>
              <w:t xml:space="preserve">Duty-free </w:t>
            </w:r>
            <w:proofErr w:type="spellStart"/>
            <w:r w:rsidRPr="00B93EE1">
              <w:rPr>
                <w:rFonts w:cs="Calibri"/>
                <w:bCs/>
                <w:color w:val="FFFFFF" w:themeColor="background1"/>
                <w:sz w:val="14"/>
                <w:szCs w:val="14"/>
              </w:rPr>
              <w:t>rates</w:t>
            </w:r>
            <w:r w:rsidRPr="00B93EE1">
              <w:rPr>
                <w:rFonts w:cs="Calibri"/>
                <w:bCs/>
                <w:color w:val="FFFFFF" w:themeColor="background1"/>
                <w:sz w:val="14"/>
                <w:szCs w:val="14"/>
                <w:vertAlign w:val="superscript"/>
              </w:rPr>
              <w:t>b</w:t>
            </w:r>
            <w:proofErr w:type="spellEnd"/>
            <w:r w:rsidRPr="00B93EE1">
              <w:rPr>
                <w:rFonts w:cs="Calibri"/>
                <w:bCs/>
                <w:color w:val="FFFFFF" w:themeColor="background1"/>
                <w:sz w:val="14"/>
                <w:szCs w:val="14"/>
              </w:rPr>
              <w:t xml:space="preserve"> (%)</w:t>
            </w:r>
          </w:p>
        </w:tc>
      </w:tr>
      <w:tr w:rsidR="00120717" w:rsidRPr="00B93EE1" w14:paraId="0EBE0860" w14:textId="77777777" w:rsidTr="00975C4A">
        <w:tc>
          <w:tcPr>
            <w:tcW w:w="1856" w:type="dxa"/>
            <w:noWrap/>
            <w:hideMark/>
          </w:tcPr>
          <w:p w14:paraId="6D53BFD0" w14:textId="77777777" w:rsidR="00120717" w:rsidRPr="00B93EE1" w:rsidRDefault="00120717" w:rsidP="00D239F1">
            <w:pPr>
              <w:rPr>
                <w:rFonts w:cs="Calibri"/>
                <w:b/>
                <w:bCs/>
                <w:color w:val="000000"/>
                <w:sz w:val="14"/>
                <w:szCs w:val="14"/>
              </w:rPr>
            </w:pPr>
            <w:r w:rsidRPr="00B93EE1">
              <w:rPr>
                <w:rFonts w:cs="Calibri"/>
                <w:b/>
                <w:bCs/>
                <w:color w:val="000000"/>
                <w:sz w:val="14"/>
                <w:szCs w:val="14"/>
              </w:rPr>
              <w:t>MFN</w:t>
            </w:r>
          </w:p>
        </w:tc>
        <w:tc>
          <w:tcPr>
            <w:tcW w:w="1289" w:type="dxa"/>
            <w:noWrap/>
            <w:hideMark/>
          </w:tcPr>
          <w:p w14:paraId="40F27BE2" w14:textId="77777777" w:rsidR="00120717" w:rsidRPr="00B93EE1" w:rsidRDefault="00120717" w:rsidP="00D239F1">
            <w:pPr>
              <w:rPr>
                <w:rFonts w:cs="Calibri"/>
                <w:b/>
                <w:bCs/>
                <w:color w:val="000000"/>
                <w:sz w:val="14"/>
                <w:szCs w:val="14"/>
              </w:rPr>
            </w:pPr>
          </w:p>
        </w:tc>
        <w:tc>
          <w:tcPr>
            <w:tcW w:w="1002" w:type="dxa"/>
            <w:tcBorders>
              <w:top w:val="nil"/>
            </w:tcBorders>
            <w:noWrap/>
            <w:hideMark/>
          </w:tcPr>
          <w:p w14:paraId="3187678B"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2.2</w:t>
            </w:r>
          </w:p>
        </w:tc>
        <w:tc>
          <w:tcPr>
            <w:tcW w:w="860" w:type="dxa"/>
            <w:tcBorders>
              <w:top w:val="nil"/>
            </w:tcBorders>
            <w:noWrap/>
            <w:hideMark/>
          </w:tcPr>
          <w:p w14:paraId="329BFC30"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61.1</w:t>
            </w:r>
          </w:p>
        </w:tc>
        <w:tc>
          <w:tcPr>
            <w:tcW w:w="238" w:type="dxa"/>
            <w:tcBorders>
              <w:top w:val="nil"/>
            </w:tcBorders>
            <w:noWrap/>
            <w:hideMark/>
          </w:tcPr>
          <w:p w14:paraId="25269C39" w14:textId="77777777" w:rsidR="00120717" w:rsidRPr="00B93EE1" w:rsidRDefault="00120717" w:rsidP="00D239F1">
            <w:pPr>
              <w:jc w:val="right"/>
              <w:rPr>
                <w:rFonts w:cs="Calibri"/>
                <w:color w:val="000000"/>
                <w:sz w:val="14"/>
                <w:szCs w:val="14"/>
              </w:rPr>
            </w:pPr>
          </w:p>
        </w:tc>
        <w:tc>
          <w:tcPr>
            <w:tcW w:w="1002" w:type="dxa"/>
            <w:tcBorders>
              <w:top w:val="nil"/>
            </w:tcBorders>
            <w:noWrap/>
            <w:hideMark/>
          </w:tcPr>
          <w:p w14:paraId="554407EE"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1.8</w:t>
            </w:r>
          </w:p>
        </w:tc>
        <w:tc>
          <w:tcPr>
            <w:tcW w:w="860" w:type="dxa"/>
            <w:tcBorders>
              <w:top w:val="nil"/>
            </w:tcBorders>
            <w:noWrap/>
            <w:hideMark/>
          </w:tcPr>
          <w:p w14:paraId="2DF10B68"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64.6</w:t>
            </w:r>
          </w:p>
        </w:tc>
        <w:tc>
          <w:tcPr>
            <w:tcW w:w="238" w:type="dxa"/>
            <w:tcBorders>
              <w:top w:val="nil"/>
            </w:tcBorders>
            <w:noWrap/>
            <w:hideMark/>
          </w:tcPr>
          <w:p w14:paraId="134F555F" w14:textId="77777777" w:rsidR="00120717" w:rsidRPr="00B93EE1" w:rsidRDefault="00120717" w:rsidP="00D239F1">
            <w:pPr>
              <w:jc w:val="right"/>
              <w:rPr>
                <w:rFonts w:cs="Calibri"/>
                <w:color w:val="000000"/>
                <w:sz w:val="14"/>
                <w:szCs w:val="14"/>
              </w:rPr>
            </w:pPr>
          </w:p>
        </w:tc>
        <w:tc>
          <w:tcPr>
            <w:tcW w:w="872" w:type="dxa"/>
            <w:tcBorders>
              <w:top w:val="nil"/>
            </w:tcBorders>
            <w:noWrap/>
            <w:hideMark/>
          </w:tcPr>
          <w:p w14:paraId="658AE704"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2.3</w:t>
            </w:r>
          </w:p>
        </w:tc>
        <w:tc>
          <w:tcPr>
            <w:tcW w:w="850" w:type="dxa"/>
            <w:tcBorders>
              <w:top w:val="nil"/>
            </w:tcBorders>
            <w:noWrap/>
            <w:hideMark/>
          </w:tcPr>
          <w:p w14:paraId="1CCD6590"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60.6</w:t>
            </w:r>
          </w:p>
        </w:tc>
      </w:tr>
      <w:tr w:rsidR="00120717" w:rsidRPr="00B93EE1" w14:paraId="359AA26E" w14:textId="77777777" w:rsidTr="00975C4A">
        <w:trPr>
          <w:cnfStyle w:val="000000010000" w:firstRow="0" w:lastRow="0" w:firstColumn="0" w:lastColumn="0" w:oddVBand="0" w:evenVBand="0" w:oddHBand="0" w:evenHBand="1" w:firstRowFirstColumn="0" w:firstRowLastColumn="0" w:lastRowFirstColumn="0" w:lastRowLastColumn="0"/>
        </w:trPr>
        <w:tc>
          <w:tcPr>
            <w:tcW w:w="1856" w:type="dxa"/>
            <w:noWrap/>
            <w:hideMark/>
          </w:tcPr>
          <w:p w14:paraId="2B541428" w14:textId="77777777" w:rsidR="00120717" w:rsidRPr="00B93EE1" w:rsidRDefault="00120717" w:rsidP="00D239F1">
            <w:pPr>
              <w:jc w:val="left"/>
              <w:rPr>
                <w:rFonts w:cs="Calibri"/>
                <w:color w:val="000000"/>
                <w:sz w:val="14"/>
                <w:szCs w:val="14"/>
              </w:rPr>
            </w:pPr>
            <w:r w:rsidRPr="00B93EE1">
              <w:rPr>
                <w:rFonts w:cs="Calibri"/>
                <w:color w:val="000000"/>
                <w:sz w:val="14"/>
                <w:szCs w:val="14"/>
              </w:rPr>
              <w:t>Closer Economic Partnerships and FTAs:</w:t>
            </w:r>
          </w:p>
        </w:tc>
        <w:tc>
          <w:tcPr>
            <w:tcW w:w="1289" w:type="dxa"/>
            <w:noWrap/>
            <w:hideMark/>
          </w:tcPr>
          <w:p w14:paraId="53960EBC" w14:textId="77777777" w:rsidR="00120717" w:rsidRPr="00B93EE1" w:rsidRDefault="00120717" w:rsidP="00D239F1">
            <w:pPr>
              <w:rPr>
                <w:rFonts w:cs="Calibri"/>
                <w:color w:val="000000"/>
                <w:sz w:val="14"/>
                <w:szCs w:val="14"/>
              </w:rPr>
            </w:pPr>
          </w:p>
        </w:tc>
        <w:tc>
          <w:tcPr>
            <w:tcW w:w="1002" w:type="dxa"/>
            <w:noWrap/>
            <w:hideMark/>
          </w:tcPr>
          <w:p w14:paraId="3EC011B9" w14:textId="77777777" w:rsidR="00120717" w:rsidRPr="00B93EE1" w:rsidRDefault="00120717" w:rsidP="00D239F1">
            <w:pPr>
              <w:ind w:right="227"/>
              <w:jc w:val="right"/>
              <w:rPr>
                <w:sz w:val="14"/>
                <w:szCs w:val="14"/>
              </w:rPr>
            </w:pPr>
          </w:p>
        </w:tc>
        <w:tc>
          <w:tcPr>
            <w:tcW w:w="860" w:type="dxa"/>
            <w:noWrap/>
            <w:hideMark/>
          </w:tcPr>
          <w:p w14:paraId="6974AE5C" w14:textId="77777777" w:rsidR="00120717" w:rsidRPr="00B93EE1" w:rsidRDefault="00120717" w:rsidP="00D239F1">
            <w:pPr>
              <w:ind w:right="113"/>
              <w:jc w:val="right"/>
              <w:rPr>
                <w:sz w:val="14"/>
                <w:szCs w:val="14"/>
              </w:rPr>
            </w:pPr>
          </w:p>
        </w:tc>
        <w:tc>
          <w:tcPr>
            <w:tcW w:w="238" w:type="dxa"/>
            <w:noWrap/>
            <w:hideMark/>
          </w:tcPr>
          <w:p w14:paraId="3C51FC8D" w14:textId="77777777" w:rsidR="00120717" w:rsidRPr="00B93EE1" w:rsidRDefault="00120717" w:rsidP="00D239F1">
            <w:pPr>
              <w:jc w:val="right"/>
              <w:rPr>
                <w:sz w:val="14"/>
                <w:szCs w:val="14"/>
              </w:rPr>
            </w:pPr>
          </w:p>
        </w:tc>
        <w:tc>
          <w:tcPr>
            <w:tcW w:w="1002" w:type="dxa"/>
            <w:noWrap/>
            <w:hideMark/>
          </w:tcPr>
          <w:p w14:paraId="3052941A" w14:textId="77777777" w:rsidR="00120717" w:rsidRPr="00B93EE1" w:rsidRDefault="00120717" w:rsidP="00D239F1">
            <w:pPr>
              <w:ind w:right="227"/>
              <w:jc w:val="right"/>
              <w:rPr>
                <w:sz w:val="14"/>
                <w:szCs w:val="14"/>
              </w:rPr>
            </w:pPr>
          </w:p>
        </w:tc>
        <w:tc>
          <w:tcPr>
            <w:tcW w:w="860" w:type="dxa"/>
            <w:noWrap/>
            <w:hideMark/>
          </w:tcPr>
          <w:p w14:paraId="6B086BFB" w14:textId="77777777" w:rsidR="00120717" w:rsidRPr="00B93EE1" w:rsidRDefault="00120717" w:rsidP="00D239F1">
            <w:pPr>
              <w:ind w:right="113"/>
              <w:jc w:val="right"/>
              <w:rPr>
                <w:sz w:val="14"/>
                <w:szCs w:val="14"/>
              </w:rPr>
            </w:pPr>
          </w:p>
        </w:tc>
        <w:tc>
          <w:tcPr>
            <w:tcW w:w="238" w:type="dxa"/>
            <w:noWrap/>
            <w:hideMark/>
          </w:tcPr>
          <w:p w14:paraId="3D23616A" w14:textId="77777777" w:rsidR="00120717" w:rsidRPr="00B93EE1" w:rsidRDefault="00120717" w:rsidP="00D239F1">
            <w:pPr>
              <w:jc w:val="right"/>
              <w:rPr>
                <w:sz w:val="14"/>
                <w:szCs w:val="14"/>
              </w:rPr>
            </w:pPr>
          </w:p>
        </w:tc>
        <w:tc>
          <w:tcPr>
            <w:tcW w:w="872" w:type="dxa"/>
            <w:noWrap/>
            <w:hideMark/>
          </w:tcPr>
          <w:p w14:paraId="115CE246" w14:textId="77777777" w:rsidR="00120717" w:rsidRPr="00B93EE1" w:rsidRDefault="00120717" w:rsidP="00D239F1">
            <w:pPr>
              <w:ind w:right="227"/>
              <w:jc w:val="right"/>
              <w:rPr>
                <w:sz w:val="14"/>
                <w:szCs w:val="14"/>
              </w:rPr>
            </w:pPr>
          </w:p>
        </w:tc>
        <w:tc>
          <w:tcPr>
            <w:tcW w:w="850" w:type="dxa"/>
            <w:noWrap/>
            <w:hideMark/>
          </w:tcPr>
          <w:p w14:paraId="336144D6" w14:textId="77777777" w:rsidR="00120717" w:rsidRPr="00B93EE1" w:rsidRDefault="00120717" w:rsidP="00D239F1">
            <w:pPr>
              <w:ind w:right="113"/>
              <w:jc w:val="right"/>
              <w:rPr>
                <w:sz w:val="14"/>
                <w:szCs w:val="14"/>
              </w:rPr>
            </w:pPr>
          </w:p>
        </w:tc>
      </w:tr>
      <w:tr w:rsidR="00120717" w:rsidRPr="00B93EE1" w14:paraId="414F8ECA" w14:textId="77777777" w:rsidTr="00975C4A">
        <w:tc>
          <w:tcPr>
            <w:tcW w:w="1856" w:type="dxa"/>
            <w:noWrap/>
            <w:hideMark/>
          </w:tcPr>
          <w:p w14:paraId="085623E4" w14:textId="77777777" w:rsidR="00120717" w:rsidRPr="00B93EE1" w:rsidRDefault="00120717" w:rsidP="00D239F1">
            <w:pPr>
              <w:ind w:left="170"/>
              <w:rPr>
                <w:rFonts w:cs="Calibri"/>
                <w:color w:val="000000"/>
                <w:sz w:val="14"/>
                <w:szCs w:val="14"/>
              </w:rPr>
            </w:pPr>
            <w:r w:rsidRPr="00B93EE1">
              <w:rPr>
                <w:rFonts w:cs="Calibri"/>
                <w:color w:val="000000"/>
                <w:sz w:val="14"/>
                <w:szCs w:val="14"/>
              </w:rPr>
              <w:t>Australia</w:t>
            </w:r>
          </w:p>
        </w:tc>
        <w:tc>
          <w:tcPr>
            <w:tcW w:w="1289" w:type="dxa"/>
            <w:noWrap/>
            <w:hideMark/>
          </w:tcPr>
          <w:p w14:paraId="6BAB91B4"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3001A937"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4AC58284"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162CCC23" w14:textId="77777777" w:rsidR="00120717" w:rsidRPr="00B93EE1" w:rsidRDefault="00120717" w:rsidP="00D239F1">
            <w:pPr>
              <w:jc w:val="right"/>
              <w:rPr>
                <w:rFonts w:cs="Calibri"/>
                <w:color w:val="000000"/>
                <w:sz w:val="14"/>
                <w:szCs w:val="14"/>
              </w:rPr>
            </w:pPr>
          </w:p>
        </w:tc>
        <w:tc>
          <w:tcPr>
            <w:tcW w:w="1002" w:type="dxa"/>
            <w:noWrap/>
            <w:hideMark/>
          </w:tcPr>
          <w:p w14:paraId="4FA00772"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494A8B1D"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4BC7A430" w14:textId="77777777" w:rsidR="00120717" w:rsidRPr="00B93EE1" w:rsidRDefault="00120717" w:rsidP="00D239F1">
            <w:pPr>
              <w:jc w:val="right"/>
              <w:rPr>
                <w:rFonts w:cs="Calibri"/>
                <w:color w:val="000000"/>
                <w:sz w:val="14"/>
                <w:szCs w:val="14"/>
              </w:rPr>
            </w:pPr>
          </w:p>
        </w:tc>
        <w:tc>
          <w:tcPr>
            <w:tcW w:w="872" w:type="dxa"/>
            <w:noWrap/>
            <w:hideMark/>
          </w:tcPr>
          <w:p w14:paraId="44F2984F"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29C9E47E"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r w:rsidR="00120717" w:rsidRPr="00B93EE1" w14:paraId="4A4E2D8D" w14:textId="77777777" w:rsidTr="00975C4A">
        <w:trPr>
          <w:cnfStyle w:val="000000010000" w:firstRow="0" w:lastRow="0" w:firstColumn="0" w:lastColumn="0" w:oddVBand="0" w:evenVBand="0" w:oddHBand="0" w:evenHBand="1" w:firstRowFirstColumn="0" w:firstRowLastColumn="0" w:lastRowFirstColumn="0" w:lastRowLastColumn="0"/>
        </w:trPr>
        <w:tc>
          <w:tcPr>
            <w:tcW w:w="1856" w:type="dxa"/>
            <w:noWrap/>
            <w:hideMark/>
          </w:tcPr>
          <w:p w14:paraId="2425AD22" w14:textId="77777777" w:rsidR="00120717" w:rsidRPr="00B93EE1" w:rsidRDefault="00120717" w:rsidP="00D239F1">
            <w:pPr>
              <w:ind w:left="170"/>
              <w:jc w:val="left"/>
              <w:rPr>
                <w:rFonts w:cs="Calibri"/>
                <w:color w:val="000000"/>
                <w:sz w:val="14"/>
                <w:szCs w:val="14"/>
              </w:rPr>
            </w:pPr>
            <w:r w:rsidRPr="00B93EE1">
              <w:rPr>
                <w:rFonts w:cs="Calibri"/>
                <w:color w:val="000000"/>
                <w:sz w:val="14"/>
                <w:szCs w:val="14"/>
              </w:rPr>
              <w:t>Canada</w:t>
            </w:r>
          </w:p>
        </w:tc>
        <w:tc>
          <w:tcPr>
            <w:tcW w:w="1289" w:type="dxa"/>
            <w:noWrap/>
            <w:hideMark/>
          </w:tcPr>
          <w:p w14:paraId="546FAB58"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2,777</w:t>
            </w:r>
          </w:p>
        </w:tc>
        <w:tc>
          <w:tcPr>
            <w:tcW w:w="1002" w:type="dxa"/>
            <w:noWrap/>
            <w:hideMark/>
          </w:tcPr>
          <w:p w14:paraId="5B0D3F6F"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0.3</w:t>
            </w:r>
          </w:p>
        </w:tc>
        <w:tc>
          <w:tcPr>
            <w:tcW w:w="860" w:type="dxa"/>
            <w:noWrap/>
            <w:hideMark/>
          </w:tcPr>
          <w:p w14:paraId="264777D1"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92.4</w:t>
            </w:r>
          </w:p>
        </w:tc>
        <w:tc>
          <w:tcPr>
            <w:tcW w:w="238" w:type="dxa"/>
            <w:noWrap/>
            <w:hideMark/>
          </w:tcPr>
          <w:p w14:paraId="1ECC5562" w14:textId="77777777" w:rsidR="00120717" w:rsidRPr="00B93EE1" w:rsidRDefault="00120717" w:rsidP="00D239F1">
            <w:pPr>
              <w:jc w:val="right"/>
              <w:rPr>
                <w:rFonts w:cs="Calibri"/>
                <w:color w:val="000000"/>
                <w:sz w:val="14"/>
                <w:szCs w:val="14"/>
              </w:rPr>
            </w:pPr>
          </w:p>
        </w:tc>
        <w:tc>
          <w:tcPr>
            <w:tcW w:w="1002" w:type="dxa"/>
            <w:noWrap/>
            <w:hideMark/>
          </w:tcPr>
          <w:p w14:paraId="1FF45CE1"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0.4</w:t>
            </w:r>
          </w:p>
        </w:tc>
        <w:tc>
          <w:tcPr>
            <w:tcW w:w="860" w:type="dxa"/>
            <w:noWrap/>
            <w:hideMark/>
          </w:tcPr>
          <w:p w14:paraId="7C9BFA21"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89.9</w:t>
            </w:r>
          </w:p>
        </w:tc>
        <w:tc>
          <w:tcPr>
            <w:tcW w:w="238" w:type="dxa"/>
            <w:noWrap/>
            <w:hideMark/>
          </w:tcPr>
          <w:p w14:paraId="06D7AE64" w14:textId="77777777" w:rsidR="00120717" w:rsidRPr="00B93EE1" w:rsidRDefault="00120717" w:rsidP="00D239F1">
            <w:pPr>
              <w:jc w:val="right"/>
              <w:rPr>
                <w:rFonts w:cs="Calibri"/>
                <w:color w:val="000000"/>
                <w:sz w:val="14"/>
                <w:szCs w:val="14"/>
              </w:rPr>
            </w:pPr>
          </w:p>
        </w:tc>
        <w:tc>
          <w:tcPr>
            <w:tcW w:w="872" w:type="dxa"/>
            <w:noWrap/>
            <w:hideMark/>
          </w:tcPr>
          <w:p w14:paraId="1B49E31C"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0.3</w:t>
            </w:r>
          </w:p>
        </w:tc>
        <w:tc>
          <w:tcPr>
            <w:tcW w:w="850" w:type="dxa"/>
            <w:noWrap/>
            <w:hideMark/>
          </w:tcPr>
          <w:p w14:paraId="7C9A6629"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92.8</w:t>
            </w:r>
          </w:p>
        </w:tc>
      </w:tr>
      <w:tr w:rsidR="00120717" w:rsidRPr="00B93EE1" w14:paraId="73EAD87D" w14:textId="77777777" w:rsidTr="00975C4A">
        <w:tc>
          <w:tcPr>
            <w:tcW w:w="1856" w:type="dxa"/>
            <w:noWrap/>
            <w:hideMark/>
          </w:tcPr>
          <w:p w14:paraId="34366166" w14:textId="77777777" w:rsidR="00120717" w:rsidRPr="00B93EE1" w:rsidRDefault="00120717" w:rsidP="00D239F1">
            <w:pPr>
              <w:ind w:left="170"/>
              <w:jc w:val="left"/>
              <w:rPr>
                <w:rFonts w:cs="Calibri"/>
                <w:color w:val="000000"/>
                <w:sz w:val="14"/>
                <w:szCs w:val="14"/>
              </w:rPr>
            </w:pPr>
            <w:r w:rsidRPr="00B93EE1">
              <w:rPr>
                <w:rFonts w:cs="Calibri"/>
                <w:color w:val="000000"/>
                <w:sz w:val="14"/>
                <w:szCs w:val="14"/>
              </w:rPr>
              <w:t>China</w:t>
            </w:r>
          </w:p>
        </w:tc>
        <w:tc>
          <w:tcPr>
            <w:tcW w:w="1289" w:type="dxa"/>
            <w:noWrap/>
            <w:hideMark/>
          </w:tcPr>
          <w:p w14:paraId="25436477"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2571FDFA"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21292402"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42571F71" w14:textId="77777777" w:rsidR="00120717" w:rsidRPr="00B93EE1" w:rsidRDefault="00120717" w:rsidP="00D239F1">
            <w:pPr>
              <w:jc w:val="right"/>
              <w:rPr>
                <w:rFonts w:cs="Calibri"/>
                <w:color w:val="000000"/>
                <w:sz w:val="14"/>
                <w:szCs w:val="14"/>
              </w:rPr>
            </w:pPr>
          </w:p>
        </w:tc>
        <w:tc>
          <w:tcPr>
            <w:tcW w:w="1002" w:type="dxa"/>
            <w:noWrap/>
            <w:hideMark/>
          </w:tcPr>
          <w:p w14:paraId="235E0D2A"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6A2BD94D"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2F3C3F08" w14:textId="77777777" w:rsidR="00120717" w:rsidRPr="00B93EE1" w:rsidRDefault="00120717" w:rsidP="00D239F1">
            <w:pPr>
              <w:jc w:val="right"/>
              <w:rPr>
                <w:rFonts w:cs="Calibri"/>
                <w:color w:val="000000"/>
                <w:sz w:val="14"/>
                <w:szCs w:val="14"/>
              </w:rPr>
            </w:pPr>
          </w:p>
        </w:tc>
        <w:tc>
          <w:tcPr>
            <w:tcW w:w="872" w:type="dxa"/>
            <w:noWrap/>
            <w:hideMark/>
          </w:tcPr>
          <w:p w14:paraId="354AEA80"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16130D1D"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r w:rsidR="00120717" w:rsidRPr="00B93EE1" w14:paraId="478D853A" w14:textId="77777777" w:rsidTr="00975C4A">
        <w:trPr>
          <w:cnfStyle w:val="000000010000" w:firstRow="0" w:lastRow="0" w:firstColumn="0" w:lastColumn="0" w:oddVBand="0" w:evenVBand="0" w:oddHBand="0" w:evenHBand="1" w:firstRowFirstColumn="0" w:firstRowLastColumn="0" w:lastRowFirstColumn="0" w:lastRowLastColumn="0"/>
        </w:trPr>
        <w:tc>
          <w:tcPr>
            <w:tcW w:w="1856" w:type="dxa"/>
            <w:noWrap/>
            <w:hideMark/>
          </w:tcPr>
          <w:p w14:paraId="13803424" w14:textId="77777777" w:rsidR="00120717" w:rsidRPr="00B93EE1" w:rsidRDefault="00120717" w:rsidP="00D239F1">
            <w:pPr>
              <w:ind w:left="170"/>
              <w:jc w:val="left"/>
              <w:rPr>
                <w:rFonts w:cs="Calibri"/>
                <w:color w:val="000000"/>
                <w:sz w:val="14"/>
                <w:szCs w:val="14"/>
              </w:rPr>
            </w:pPr>
            <w:r w:rsidRPr="00B93EE1">
              <w:rPr>
                <w:rFonts w:cs="Calibri"/>
                <w:color w:val="000000"/>
                <w:sz w:val="14"/>
                <w:szCs w:val="14"/>
              </w:rPr>
              <w:t>Hong Kong, China</w:t>
            </w:r>
          </w:p>
        </w:tc>
        <w:tc>
          <w:tcPr>
            <w:tcW w:w="1289" w:type="dxa"/>
            <w:noWrap/>
            <w:hideMark/>
          </w:tcPr>
          <w:p w14:paraId="385CFEF4"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62ADA11E"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3A0AEADE"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4FE120DD" w14:textId="77777777" w:rsidR="00120717" w:rsidRPr="00B93EE1" w:rsidRDefault="00120717" w:rsidP="00D239F1">
            <w:pPr>
              <w:jc w:val="right"/>
              <w:rPr>
                <w:rFonts w:cs="Calibri"/>
                <w:color w:val="000000"/>
                <w:sz w:val="14"/>
                <w:szCs w:val="14"/>
              </w:rPr>
            </w:pPr>
          </w:p>
        </w:tc>
        <w:tc>
          <w:tcPr>
            <w:tcW w:w="1002" w:type="dxa"/>
            <w:noWrap/>
            <w:hideMark/>
          </w:tcPr>
          <w:p w14:paraId="0AB68C70"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18366979"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7A79170D" w14:textId="77777777" w:rsidR="00120717" w:rsidRPr="00B93EE1" w:rsidRDefault="00120717" w:rsidP="00D239F1">
            <w:pPr>
              <w:jc w:val="right"/>
              <w:rPr>
                <w:rFonts w:cs="Calibri"/>
                <w:color w:val="000000"/>
                <w:sz w:val="14"/>
                <w:szCs w:val="14"/>
              </w:rPr>
            </w:pPr>
          </w:p>
        </w:tc>
        <w:tc>
          <w:tcPr>
            <w:tcW w:w="872" w:type="dxa"/>
            <w:noWrap/>
            <w:hideMark/>
          </w:tcPr>
          <w:p w14:paraId="12765499"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60982342"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r w:rsidR="00120717" w:rsidRPr="00B93EE1" w14:paraId="4CB54CF8" w14:textId="77777777" w:rsidTr="00975C4A">
        <w:tc>
          <w:tcPr>
            <w:tcW w:w="1856" w:type="dxa"/>
            <w:noWrap/>
            <w:hideMark/>
          </w:tcPr>
          <w:p w14:paraId="1B3CCB47" w14:textId="77777777" w:rsidR="00120717" w:rsidRPr="00B93EE1" w:rsidRDefault="00120717" w:rsidP="00D239F1">
            <w:pPr>
              <w:ind w:left="170"/>
              <w:jc w:val="left"/>
              <w:rPr>
                <w:rFonts w:cs="Calibri"/>
                <w:color w:val="000000"/>
                <w:sz w:val="14"/>
                <w:szCs w:val="14"/>
              </w:rPr>
            </w:pPr>
            <w:r w:rsidRPr="00B93EE1">
              <w:rPr>
                <w:rFonts w:cs="Calibri"/>
                <w:color w:val="000000"/>
                <w:sz w:val="14"/>
                <w:szCs w:val="14"/>
              </w:rPr>
              <w:t>Korea, Rep. of</w:t>
            </w:r>
          </w:p>
        </w:tc>
        <w:tc>
          <w:tcPr>
            <w:tcW w:w="1289" w:type="dxa"/>
            <w:noWrap/>
            <w:hideMark/>
          </w:tcPr>
          <w:p w14:paraId="064F2808"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25BF6817"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3B090223"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63A3D300" w14:textId="77777777" w:rsidR="00120717" w:rsidRPr="00B93EE1" w:rsidRDefault="00120717" w:rsidP="00D239F1">
            <w:pPr>
              <w:jc w:val="right"/>
              <w:rPr>
                <w:rFonts w:cs="Calibri"/>
                <w:color w:val="000000"/>
                <w:sz w:val="14"/>
                <w:szCs w:val="14"/>
              </w:rPr>
            </w:pPr>
          </w:p>
        </w:tc>
        <w:tc>
          <w:tcPr>
            <w:tcW w:w="1002" w:type="dxa"/>
            <w:noWrap/>
            <w:hideMark/>
          </w:tcPr>
          <w:p w14:paraId="1EE2A27C"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77802FB5"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0BB32998" w14:textId="77777777" w:rsidR="00120717" w:rsidRPr="00B93EE1" w:rsidRDefault="00120717" w:rsidP="00D239F1">
            <w:pPr>
              <w:jc w:val="right"/>
              <w:rPr>
                <w:rFonts w:cs="Calibri"/>
                <w:color w:val="000000"/>
                <w:sz w:val="14"/>
                <w:szCs w:val="14"/>
              </w:rPr>
            </w:pPr>
          </w:p>
        </w:tc>
        <w:tc>
          <w:tcPr>
            <w:tcW w:w="872" w:type="dxa"/>
            <w:noWrap/>
            <w:hideMark/>
          </w:tcPr>
          <w:p w14:paraId="734F62FD"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47957BA5"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r w:rsidR="00120717" w:rsidRPr="00B93EE1" w14:paraId="2A40C526" w14:textId="77777777" w:rsidTr="00975C4A">
        <w:trPr>
          <w:cnfStyle w:val="000000010000" w:firstRow="0" w:lastRow="0" w:firstColumn="0" w:lastColumn="0" w:oddVBand="0" w:evenVBand="0" w:oddHBand="0" w:evenHBand="1" w:firstRowFirstColumn="0" w:firstRowLastColumn="0" w:lastRowFirstColumn="0" w:lastRowLastColumn="0"/>
        </w:trPr>
        <w:tc>
          <w:tcPr>
            <w:tcW w:w="1856" w:type="dxa"/>
            <w:noWrap/>
            <w:hideMark/>
          </w:tcPr>
          <w:p w14:paraId="6256B2BD" w14:textId="77777777" w:rsidR="00120717" w:rsidRPr="00B93EE1" w:rsidRDefault="00120717" w:rsidP="00D239F1">
            <w:pPr>
              <w:ind w:left="170"/>
              <w:jc w:val="left"/>
              <w:rPr>
                <w:rFonts w:cs="Calibri"/>
                <w:color w:val="000000"/>
                <w:sz w:val="14"/>
                <w:szCs w:val="14"/>
              </w:rPr>
            </w:pPr>
            <w:r w:rsidRPr="00B93EE1">
              <w:rPr>
                <w:rFonts w:cs="Calibri"/>
                <w:color w:val="000000"/>
                <w:sz w:val="14"/>
                <w:szCs w:val="14"/>
              </w:rPr>
              <w:t>Malaysia</w:t>
            </w:r>
          </w:p>
        </w:tc>
        <w:tc>
          <w:tcPr>
            <w:tcW w:w="1289" w:type="dxa"/>
            <w:noWrap/>
            <w:hideMark/>
          </w:tcPr>
          <w:p w14:paraId="3313E509"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1D466516"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30A0B62A"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20793370" w14:textId="77777777" w:rsidR="00120717" w:rsidRPr="00B93EE1" w:rsidRDefault="00120717" w:rsidP="00D239F1">
            <w:pPr>
              <w:jc w:val="right"/>
              <w:rPr>
                <w:rFonts w:cs="Calibri"/>
                <w:color w:val="000000"/>
                <w:sz w:val="14"/>
                <w:szCs w:val="14"/>
              </w:rPr>
            </w:pPr>
          </w:p>
        </w:tc>
        <w:tc>
          <w:tcPr>
            <w:tcW w:w="1002" w:type="dxa"/>
            <w:noWrap/>
            <w:hideMark/>
          </w:tcPr>
          <w:p w14:paraId="64B722C8"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60BE3D5A"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7D4498B5" w14:textId="77777777" w:rsidR="00120717" w:rsidRPr="00B93EE1" w:rsidRDefault="00120717" w:rsidP="00D239F1">
            <w:pPr>
              <w:jc w:val="right"/>
              <w:rPr>
                <w:rFonts w:cs="Calibri"/>
                <w:color w:val="000000"/>
                <w:sz w:val="14"/>
                <w:szCs w:val="14"/>
              </w:rPr>
            </w:pPr>
          </w:p>
        </w:tc>
        <w:tc>
          <w:tcPr>
            <w:tcW w:w="872" w:type="dxa"/>
            <w:noWrap/>
            <w:hideMark/>
          </w:tcPr>
          <w:p w14:paraId="4BA350FD"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5366CFDA"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r w:rsidR="00120717" w:rsidRPr="00B93EE1" w14:paraId="64B5DE2C" w14:textId="77777777" w:rsidTr="00975C4A">
        <w:tc>
          <w:tcPr>
            <w:tcW w:w="1856" w:type="dxa"/>
            <w:noWrap/>
            <w:hideMark/>
          </w:tcPr>
          <w:p w14:paraId="11D80C50" w14:textId="77777777" w:rsidR="00120717" w:rsidRPr="00B93EE1" w:rsidRDefault="00120717" w:rsidP="00D239F1">
            <w:pPr>
              <w:ind w:left="170"/>
              <w:jc w:val="left"/>
              <w:rPr>
                <w:rFonts w:cs="Calibri"/>
                <w:color w:val="000000"/>
                <w:sz w:val="14"/>
                <w:szCs w:val="14"/>
              </w:rPr>
            </w:pPr>
            <w:r w:rsidRPr="00B93EE1">
              <w:rPr>
                <w:rFonts w:cs="Calibri"/>
                <w:color w:val="000000"/>
                <w:sz w:val="14"/>
                <w:szCs w:val="14"/>
              </w:rPr>
              <w:t>Singapore</w:t>
            </w:r>
          </w:p>
        </w:tc>
        <w:tc>
          <w:tcPr>
            <w:tcW w:w="1289" w:type="dxa"/>
            <w:noWrap/>
            <w:hideMark/>
          </w:tcPr>
          <w:p w14:paraId="285D13CF"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15CDAF43"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0EC9669F"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5F72ADF6" w14:textId="77777777" w:rsidR="00120717" w:rsidRPr="00B93EE1" w:rsidRDefault="00120717" w:rsidP="00D239F1">
            <w:pPr>
              <w:jc w:val="right"/>
              <w:rPr>
                <w:rFonts w:cs="Calibri"/>
                <w:color w:val="000000"/>
                <w:sz w:val="14"/>
                <w:szCs w:val="14"/>
              </w:rPr>
            </w:pPr>
          </w:p>
        </w:tc>
        <w:tc>
          <w:tcPr>
            <w:tcW w:w="1002" w:type="dxa"/>
            <w:noWrap/>
            <w:hideMark/>
          </w:tcPr>
          <w:p w14:paraId="4D88AC27"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0F4142B1"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55A830B4" w14:textId="77777777" w:rsidR="00120717" w:rsidRPr="00B93EE1" w:rsidRDefault="00120717" w:rsidP="00D239F1">
            <w:pPr>
              <w:jc w:val="right"/>
              <w:rPr>
                <w:rFonts w:cs="Calibri"/>
                <w:color w:val="000000"/>
                <w:sz w:val="14"/>
                <w:szCs w:val="14"/>
              </w:rPr>
            </w:pPr>
          </w:p>
        </w:tc>
        <w:tc>
          <w:tcPr>
            <w:tcW w:w="872" w:type="dxa"/>
            <w:noWrap/>
            <w:hideMark/>
          </w:tcPr>
          <w:p w14:paraId="30615045"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2051299B"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r w:rsidR="00120717" w:rsidRPr="00B93EE1" w14:paraId="042DACBA" w14:textId="77777777" w:rsidTr="00975C4A">
        <w:trPr>
          <w:cnfStyle w:val="000000010000" w:firstRow="0" w:lastRow="0" w:firstColumn="0" w:lastColumn="0" w:oddVBand="0" w:evenVBand="0" w:oddHBand="0" w:evenHBand="1" w:firstRowFirstColumn="0" w:firstRowLastColumn="0" w:lastRowFirstColumn="0" w:lastRowLastColumn="0"/>
        </w:trPr>
        <w:tc>
          <w:tcPr>
            <w:tcW w:w="1856" w:type="dxa"/>
            <w:noWrap/>
            <w:hideMark/>
          </w:tcPr>
          <w:p w14:paraId="30192709" w14:textId="77777777" w:rsidR="00120717" w:rsidRPr="00B93EE1" w:rsidRDefault="00120717" w:rsidP="00D239F1">
            <w:pPr>
              <w:ind w:left="170"/>
              <w:jc w:val="left"/>
              <w:rPr>
                <w:rFonts w:cs="Calibri"/>
                <w:color w:val="000000"/>
                <w:sz w:val="14"/>
                <w:szCs w:val="14"/>
              </w:rPr>
            </w:pPr>
            <w:r w:rsidRPr="00B93EE1">
              <w:rPr>
                <w:rFonts w:cs="Calibri"/>
                <w:color w:val="000000"/>
                <w:sz w:val="14"/>
                <w:szCs w:val="14"/>
              </w:rPr>
              <w:t>Chinese Taipei</w:t>
            </w:r>
          </w:p>
        </w:tc>
        <w:tc>
          <w:tcPr>
            <w:tcW w:w="1289" w:type="dxa"/>
            <w:noWrap/>
            <w:hideMark/>
          </w:tcPr>
          <w:p w14:paraId="4FFB5112"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77620058"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05B423E3"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6AD16EF0" w14:textId="77777777" w:rsidR="00120717" w:rsidRPr="00B93EE1" w:rsidRDefault="00120717" w:rsidP="00D239F1">
            <w:pPr>
              <w:jc w:val="right"/>
              <w:rPr>
                <w:rFonts w:cs="Calibri"/>
                <w:color w:val="000000"/>
                <w:sz w:val="14"/>
                <w:szCs w:val="14"/>
              </w:rPr>
            </w:pPr>
          </w:p>
        </w:tc>
        <w:tc>
          <w:tcPr>
            <w:tcW w:w="1002" w:type="dxa"/>
            <w:noWrap/>
            <w:hideMark/>
          </w:tcPr>
          <w:p w14:paraId="7F99E538"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4DFB953F"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47996E20" w14:textId="77777777" w:rsidR="00120717" w:rsidRPr="00B93EE1" w:rsidRDefault="00120717" w:rsidP="00D239F1">
            <w:pPr>
              <w:jc w:val="right"/>
              <w:rPr>
                <w:rFonts w:cs="Calibri"/>
                <w:color w:val="000000"/>
                <w:sz w:val="14"/>
                <w:szCs w:val="14"/>
              </w:rPr>
            </w:pPr>
          </w:p>
        </w:tc>
        <w:tc>
          <w:tcPr>
            <w:tcW w:w="872" w:type="dxa"/>
            <w:noWrap/>
            <w:hideMark/>
          </w:tcPr>
          <w:p w14:paraId="64228C1A"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1C65B06B"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r w:rsidR="00120717" w:rsidRPr="00B93EE1" w14:paraId="4C914C8A" w14:textId="77777777" w:rsidTr="00975C4A">
        <w:tc>
          <w:tcPr>
            <w:tcW w:w="1856" w:type="dxa"/>
            <w:noWrap/>
            <w:hideMark/>
          </w:tcPr>
          <w:p w14:paraId="6748035B" w14:textId="77777777" w:rsidR="00120717" w:rsidRPr="00B93EE1" w:rsidRDefault="00120717" w:rsidP="00D239F1">
            <w:pPr>
              <w:ind w:left="170"/>
              <w:jc w:val="left"/>
              <w:rPr>
                <w:rFonts w:cs="Calibri"/>
                <w:color w:val="000000"/>
                <w:sz w:val="14"/>
                <w:szCs w:val="14"/>
              </w:rPr>
            </w:pPr>
            <w:r w:rsidRPr="00B93EE1">
              <w:rPr>
                <w:rFonts w:cs="Calibri"/>
                <w:color w:val="000000"/>
                <w:sz w:val="14"/>
                <w:szCs w:val="14"/>
              </w:rPr>
              <w:t>Thailand</w:t>
            </w:r>
          </w:p>
        </w:tc>
        <w:tc>
          <w:tcPr>
            <w:tcW w:w="1289" w:type="dxa"/>
            <w:noWrap/>
            <w:hideMark/>
          </w:tcPr>
          <w:p w14:paraId="50B5A535"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638FB25A"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1ABA0735"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6DB32DEE" w14:textId="77777777" w:rsidR="00120717" w:rsidRPr="00B93EE1" w:rsidRDefault="00120717" w:rsidP="00D239F1">
            <w:pPr>
              <w:jc w:val="right"/>
              <w:rPr>
                <w:rFonts w:cs="Calibri"/>
                <w:color w:val="000000"/>
                <w:sz w:val="14"/>
                <w:szCs w:val="14"/>
              </w:rPr>
            </w:pPr>
          </w:p>
        </w:tc>
        <w:tc>
          <w:tcPr>
            <w:tcW w:w="1002" w:type="dxa"/>
            <w:noWrap/>
            <w:hideMark/>
          </w:tcPr>
          <w:p w14:paraId="0DF5EDB6"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2EAD2879"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43F67D21" w14:textId="77777777" w:rsidR="00120717" w:rsidRPr="00B93EE1" w:rsidRDefault="00120717" w:rsidP="00D239F1">
            <w:pPr>
              <w:jc w:val="right"/>
              <w:rPr>
                <w:rFonts w:cs="Calibri"/>
                <w:color w:val="000000"/>
                <w:sz w:val="14"/>
                <w:szCs w:val="14"/>
              </w:rPr>
            </w:pPr>
          </w:p>
        </w:tc>
        <w:tc>
          <w:tcPr>
            <w:tcW w:w="872" w:type="dxa"/>
            <w:noWrap/>
            <w:hideMark/>
          </w:tcPr>
          <w:p w14:paraId="622B264A"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2C68D3C7"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r w:rsidR="00120717" w:rsidRPr="00B93EE1" w14:paraId="12B2720E" w14:textId="77777777" w:rsidTr="00975C4A">
        <w:trPr>
          <w:cnfStyle w:val="000000010000" w:firstRow="0" w:lastRow="0" w:firstColumn="0" w:lastColumn="0" w:oddVBand="0" w:evenVBand="0" w:oddHBand="0" w:evenHBand="1" w:firstRowFirstColumn="0" w:firstRowLastColumn="0" w:lastRowFirstColumn="0" w:lastRowLastColumn="0"/>
        </w:trPr>
        <w:tc>
          <w:tcPr>
            <w:tcW w:w="1856" w:type="dxa"/>
            <w:noWrap/>
            <w:hideMark/>
          </w:tcPr>
          <w:p w14:paraId="7D321C67" w14:textId="77777777" w:rsidR="00120717" w:rsidRPr="00B93EE1" w:rsidRDefault="00120717" w:rsidP="00D239F1">
            <w:pPr>
              <w:ind w:left="170"/>
              <w:jc w:val="left"/>
              <w:rPr>
                <w:rFonts w:cs="Calibri"/>
                <w:color w:val="000000"/>
                <w:sz w:val="14"/>
                <w:szCs w:val="14"/>
              </w:rPr>
            </w:pPr>
            <w:r w:rsidRPr="00B93EE1">
              <w:rPr>
                <w:rFonts w:cs="Calibri"/>
                <w:color w:val="000000"/>
                <w:sz w:val="14"/>
                <w:szCs w:val="14"/>
              </w:rPr>
              <w:t>United Kingdom and Northern Ireland</w:t>
            </w:r>
          </w:p>
        </w:tc>
        <w:tc>
          <w:tcPr>
            <w:tcW w:w="1289" w:type="dxa"/>
            <w:noWrap/>
            <w:hideMark/>
          </w:tcPr>
          <w:p w14:paraId="06788632"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10</w:t>
            </w:r>
          </w:p>
        </w:tc>
        <w:tc>
          <w:tcPr>
            <w:tcW w:w="1002" w:type="dxa"/>
            <w:noWrap/>
            <w:hideMark/>
          </w:tcPr>
          <w:p w14:paraId="58C0D97F"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2.2</w:t>
            </w:r>
          </w:p>
        </w:tc>
        <w:tc>
          <w:tcPr>
            <w:tcW w:w="860" w:type="dxa"/>
            <w:noWrap/>
            <w:hideMark/>
          </w:tcPr>
          <w:p w14:paraId="7964B2DA"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61.2</w:t>
            </w:r>
          </w:p>
        </w:tc>
        <w:tc>
          <w:tcPr>
            <w:tcW w:w="238" w:type="dxa"/>
            <w:noWrap/>
            <w:hideMark/>
          </w:tcPr>
          <w:p w14:paraId="272E4D9B" w14:textId="77777777" w:rsidR="00120717" w:rsidRPr="00B93EE1" w:rsidRDefault="00120717" w:rsidP="00D239F1">
            <w:pPr>
              <w:jc w:val="right"/>
              <w:rPr>
                <w:rFonts w:cs="Calibri"/>
                <w:color w:val="000000"/>
                <w:sz w:val="14"/>
                <w:szCs w:val="14"/>
              </w:rPr>
            </w:pPr>
          </w:p>
        </w:tc>
        <w:tc>
          <w:tcPr>
            <w:tcW w:w="1002" w:type="dxa"/>
            <w:noWrap/>
            <w:hideMark/>
          </w:tcPr>
          <w:p w14:paraId="36640941"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1.8</w:t>
            </w:r>
          </w:p>
        </w:tc>
        <w:tc>
          <w:tcPr>
            <w:tcW w:w="860" w:type="dxa"/>
            <w:noWrap/>
            <w:hideMark/>
          </w:tcPr>
          <w:p w14:paraId="36C3C334"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64.6</w:t>
            </w:r>
          </w:p>
        </w:tc>
        <w:tc>
          <w:tcPr>
            <w:tcW w:w="238" w:type="dxa"/>
            <w:noWrap/>
            <w:hideMark/>
          </w:tcPr>
          <w:p w14:paraId="0F246B66" w14:textId="77777777" w:rsidR="00120717" w:rsidRPr="00B93EE1" w:rsidRDefault="00120717" w:rsidP="00D239F1">
            <w:pPr>
              <w:jc w:val="right"/>
              <w:rPr>
                <w:rFonts w:cs="Calibri"/>
                <w:color w:val="000000"/>
                <w:sz w:val="14"/>
                <w:szCs w:val="14"/>
              </w:rPr>
            </w:pPr>
          </w:p>
        </w:tc>
        <w:tc>
          <w:tcPr>
            <w:tcW w:w="872" w:type="dxa"/>
            <w:noWrap/>
            <w:hideMark/>
          </w:tcPr>
          <w:p w14:paraId="0338E2CD"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2.3</w:t>
            </w:r>
          </w:p>
        </w:tc>
        <w:tc>
          <w:tcPr>
            <w:tcW w:w="850" w:type="dxa"/>
            <w:noWrap/>
            <w:hideMark/>
          </w:tcPr>
          <w:p w14:paraId="38619589"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60.7</w:t>
            </w:r>
          </w:p>
        </w:tc>
      </w:tr>
      <w:tr w:rsidR="00120717" w:rsidRPr="00B93EE1" w14:paraId="1A94D1AB" w14:textId="77777777" w:rsidTr="00975C4A">
        <w:tc>
          <w:tcPr>
            <w:tcW w:w="1856" w:type="dxa"/>
            <w:noWrap/>
            <w:hideMark/>
          </w:tcPr>
          <w:p w14:paraId="62CE3FED" w14:textId="77777777" w:rsidR="00120717" w:rsidRPr="00B93EE1" w:rsidRDefault="00120717" w:rsidP="00D239F1">
            <w:pPr>
              <w:ind w:left="170"/>
              <w:jc w:val="left"/>
              <w:rPr>
                <w:rFonts w:cs="Calibri"/>
                <w:color w:val="000000"/>
                <w:sz w:val="14"/>
                <w:szCs w:val="14"/>
              </w:rPr>
            </w:pPr>
            <w:r w:rsidRPr="00B93EE1">
              <w:rPr>
                <w:rFonts w:cs="Calibri"/>
                <w:color w:val="000000"/>
                <w:sz w:val="14"/>
                <w:szCs w:val="14"/>
              </w:rPr>
              <w:t>ASEAN-Australia-New Zealand FTA</w:t>
            </w:r>
          </w:p>
        </w:tc>
        <w:tc>
          <w:tcPr>
            <w:tcW w:w="1289" w:type="dxa"/>
            <w:noWrap/>
            <w:hideMark/>
          </w:tcPr>
          <w:p w14:paraId="1D7753D2"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05D76846"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33C7F5C2"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192BF363" w14:textId="77777777" w:rsidR="00120717" w:rsidRPr="00B93EE1" w:rsidRDefault="00120717" w:rsidP="00D239F1">
            <w:pPr>
              <w:jc w:val="right"/>
              <w:rPr>
                <w:rFonts w:cs="Calibri"/>
                <w:color w:val="000000"/>
                <w:sz w:val="14"/>
                <w:szCs w:val="14"/>
              </w:rPr>
            </w:pPr>
          </w:p>
        </w:tc>
        <w:tc>
          <w:tcPr>
            <w:tcW w:w="1002" w:type="dxa"/>
            <w:noWrap/>
            <w:hideMark/>
          </w:tcPr>
          <w:p w14:paraId="4624E39F"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103D2F9E"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w:t>
            </w:r>
          </w:p>
        </w:tc>
        <w:tc>
          <w:tcPr>
            <w:tcW w:w="238" w:type="dxa"/>
            <w:noWrap/>
            <w:hideMark/>
          </w:tcPr>
          <w:p w14:paraId="1658869C" w14:textId="77777777" w:rsidR="00120717" w:rsidRPr="00B93EE1" w:rsidRDefault="00120717" w:rsidP="00D239F1">
            <w:pPr>
              <w:jc w:val="right"/>
              <w:rPr>
                <w:rFonts w:cs="Calibri"/>
                <w:color w:val="000000"/>
                <w:sz w:val="14"/>
                <w:szCs w:val="14"/>
              </w:rPr>
            </w:pPr>
          </w:p>
        </w:tc>
        <w:tc>
          <w:tcPr>
            <w:tcW w:w="872" w:type="dxa"/>
            <w:noWrap/>
            <w:hideMark/>
          </w:tcPr>
          <w:p w14:paraId="5D30C9B7"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33B7506A"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w:t>
            </w:r>
          </w:p>
        </w:tc>
      </w:tr>
      <w:tr w:rsidR="00120717" w:rsidRPr="00B93EE1" w14:paraId="62B6B4BD" w14:textId="77777777" w:rsidTr="00975C4A">
        <w:trPr>
          <w:cnfStyle w:val="000000010000" w:firstRow="0" w:lastRow="0" w:firstColumn="0" w:lastColumn="0" w:oddVBand="0" w:evenVBand="0" w:oddHBand="0" w:evenHBand="1" w:firstRowFirstColumn="0" w:firstRowLastColumn="0" w:lastRowFirstColumn="0" w:lastRowLastColumn="0"/>
        </w:trPr>
        <w:tc>
          <w:tcPr>
            <w:tcW w:w="1856" w:type="dxa"/>
            <w:noWrap/>
            <w:hideMark/>
          </w:tcPr>
          <w:p w14:paraId="5A3C5AD2" w14:textId="77777777" w:rsidR="00120717" w:rsidRPr="00B93EE1" w:rsidRDefault="00120717" w:rsidP="00D239F1">
            <w:pPr>
              <w:ind w:left="170"/>
              <w:jc w:val="left"/>
              <w:rPr>
                <w:rFonts w:cs="Calibri"/>
                <w:color w:val="000000"/>
                <w:sz w:val="14"/>
                <w:szCs w:val="14"/>
              </w:rPr>
            </w:pPr>
            <w:proofErr w:type="spellStart"/>
            <w:r w:rsidRPr="00B93EE1">
              <w:rPr>
                <w:rFonts w:cs="Calibri"/>
                <w:color w:val="000000"/>
                <w:sz w:val="14"/>
                <w:szCs w:val="14"/>
              </w:rPr>
              <w:t>TPA</w:t>
            </w:r>
            <w:r w:rsidRPr="00B93EE1">
              <w:rPr>
                <w:rFonts w:cs="Calibri"/>
                <w:color w:val="000000"/>
                <w:sz w:val="14"/>
                <w:szCs w:val="14"/>
                <w:vertAlign w:val="superscript"/>
              </w:rPr>
              <w:t>c</w:t>
            </w:r>
            <w:proofErr w:type="spellEnd"/>
          </w:p>
        </w:tc>
        <w:tc>
          <w:tcPr>
            <w:tcW w:w="1289" w:type="dxa"/>
            <w:noWrap/>
            <w:hideMark/>
          </w:tcPr>
          <w:p w14:paraId="587511FD"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1E3FFFBD"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1842AD8F"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51090DC1" w14:textId="77777777" w:rsidR="00120717" w:rsidRPr="00B93EE1" w:rsidRDefault="00120717" w:rsidP="00D239F1">
            <w:pPr>
              <w:jc w:val="right"/>
              <w:rPr>
                <w:rFonts w:cs="Calibri"/>
                <w:color w:val="000000"/>
                <w:sz w:val="14"/>
                <w:szCs w:val="14"/>
              </w:rPr>
            </w:pPr>
          </w:p>
        </w:tc>
        <w:tc>
          <w:tcPr>
            <w:tcW w:w="1002" w:type="dxa"/>
            <w:noWrap/>
            <w:hideMark/>
          </w:tcPr>
          <w:p w14:paraId="636197E7"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320D5D40"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45BF1C0B" w14:textId="77777777" w:rsidR="00120717" w:rsidRPr="00B93EE1" w:rsidRDefault="00120717" w:rsidP="00D239F1">
            <w:pPr>
              <w:jc w:val="right"/>
              <w:rPr>
                <w:rFonts w:cs="Calibri"/>
                <w:color w:val="000000"/>
                <w:sz w:val="14"/>
                <w:szCs w:val="14"/>
              </w:rPr>
            </w:pPr>
          </w:p>
        </w:tc>
        <w:tc>
          <w:tcPr>
            <w:tcW w:w="872" w:type="dxa"/>
            <w:noWrap/>
            <w:hideMark/>
          </w:tcPr>
          <w:p w14:paraId="4FA3A9E3"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54B945C7"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r w:rsidR="00120717" w:rsidRPr="00B93EE1" w14:paraId="5B70D319" w14:textId="77777777" w:rsidTr="00975C4A">
        <w:tc>
          <w:tcPr>
            <w:tcW w:w="1856" w:type="dxa"/>
            <w:noWrap/>
            <w:hideMark/>
          </w:tcPr>
          <w:p w14:paraId="1640A183" w14:textId="77777777" w:rsidR="00120717" w:rsidRPr="00B93EE1" w:rsidRDefault="00120717" w:rsidP="00D239F1">
            <w:pPr>
              <w:ind w:left="170"/>
              <w:jc w:val="left"/>
              <w:rPr>
                <w:rFonts w:cs="Calibri"/>
                <w:color w:val="000000"/>
                <w:sz w:val="14"/>
                <w:szCs w:val="14"/>
              </w:rPr>
            </w:pPr>
            <w:proofErr w:type="spellStart"/>
            <w:r w:rsidRPr="00B93EE1">
              <w:rPr>
                <w:rFonts w:cs="Calibri"/>
                <w:color w:val="000000"/>
                <w:sz w:val="14"/>
                <w:szCs w:val="14"/>
              </w:rPr>
              <w:t>SPARTECA</w:t>
            </w:r>
            <w:r w:rsidRPr="00B93EE1">
              <w:rPr>
                <w:rFonts w:cs="Calibri"/>
                <w:color w:val="000000"/>
                <w:sz w:val="14"/>
                <w:szCs w:val="14"/>
                <w:vertAlign w:val="superscript"/>
              </w:rPr>
              <w:t>d</w:t>
            </w:r>
            <w:proofErr w:type="spellEnd"/>
          </w:p>
        </w:tc>
        <w:tc>
          <w:tcPr>
            <w:tcW w:w="1289" w:type="dxa"/>
            <w:noWrap/>
            <w:hideMark/>
          </w:tcPr>
          <w:p w14:paraId="4880D2D1"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1124668F"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3C7F2C21"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75CCBFF5" w14:textId="77777777" w:rsidR="00120717" w:rsidRPr="00B93EE1" w:rsidRDefault="00120717" w:rsidP="00D239F1">
            <w:pPr>
              <w:jc w:val="right"/>
              <w:rPr>
                <w:rFonts w:cs="Calibri"/>
                <w:color w:val="000000"/>
                <w:sz w:val="14"/>
                <w:szCs w:val="14"/>
              </w:rPr>
            </w:pPr>
          </w:p>
        </w:tc>
        <w:tc>
          <w:tcPr>
            <w:tcW w:w="1002" w:type="dxa"/>
            <w:noWrap/>
            <w:hideMark/>
          </w:tcPr>
          <w:p w14:paraId="4AED0F44"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036F87E3"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68BCBD52" w14:textId="77777777" w:rsidR="00120717" w:rsidRPr="00B93EE1" w:rsidRDefault="00120717" w:rsidP="00D239F1">
            <w:pPr>
              <w:jc w:val="right"/>
              <w:rPr>
                <w:rFonts w:cs="Calibri"/>
                <w:color w:val="000000"/>
                <w:sz w:val="14"/>
                <w:szCs w:val="14"/>
              </w:rPr>
            </w:pPr>
          </w:p>
        </w:tc>
        <w:tc>
          <w:tcPr>
            <w:tcW w:w="872" w:type="dxa"/>
            <w:noWrap/>
            <w:hideMark/>
          </w:tcPr>
          <w:p w14:paraId="2BB7D2EC"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4623834C"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r w:rsidR="00120717" w:rsidRPr="00B93EE1" w14:paraId="21C8032F" w14:textId="77777777" w:rsidTr="00975C4A">
        <w:trPr>
          <w:cnfStyle w:val="000000010000" w:firstRow="0" w:lastRow="0" w:firstColumn="0" w:lastColumn="0" w:oddVBand="0" w:evenVBand="0" w:oddHBand="0" w:evenHBand="1" w:firstRowFirstColumn="0" w:firstRowLastColumn="0" w:lastRowFirstColumn="0" w:lastRowLastColumn="0"/>
        </w:trPr>
        <w:tc>
          <w:tcPr>
            <w:tcW w:w="1856" w:type="dxa"/>
            <w:noWrap/>
            <w:hideMark/>
          </w:tcPr>
          <w:p w14:paraId="125F53C8" w14:textId="77777777" w:rsidR="00120717" w:rsidRPr="00B93EE1" w:rsidRDefault="00120717" w:rsidP="00D239F1">
            <w:pPr>
              <w:ind w:left="170"/>
              <w:jc w:val="left"/>
              <w:rPr>
                <w:rFonts w:cs="Calibri"/>
                <w:color w:val="000000"/>
                <w:sz w:val="14"/>
                <w:szCs w:val="14"/>
              </w:rPr>
            </w:pPr>
            <w:proofErr w:type="spellStart"/>
            <w:r w:rsidRPr="00B93EE1">
              <w:rPr>
                <w:rFonts w:cs="Calibri"/>
                <w:color w:val="000000"/>
                <w:sz w:val="14"/>
                <w:szCs w:val="14"/>
              </w:rPr>
              <w:t>CPTPP</w:t>
            </w:r>
            <w:r w:rsidRPr="00B93EE1">
              <w:rPr>
                <w:rFonts w:cs="Calibri"/>
                <w:color w:val="000000"/>
                <w:sz w:val="14"/>
                <w:szCs w:val="14"/>
                <w:vertAlign w:val="superscript"/>
              </w:rPr>
              <w:t>e</w:t>
            </w:r>
            <w:proofErr w:type="spellEnd"/>
          </w:p>
        </w:tc>
        <w:tc>
          <w:tcPr>
            <w:tcW w:w="1289" w:type="dxa"/>
            <w:noWrap/>
            <w:hideMark/>
          </w:tcPr>
          <w:p w14:paraId="6E1DD022"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08C69633"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0.1</w:t>
            </w:r>
          </w:p>
        </w:tc>
        <w:tc>
          <w:tcPr>
            <w:tcW w:w="860" w:type="dxa"/>
            <w:noWrap/>
            <w:hideMark/>
          </w:tcPr>
          <w:p w14:paraId="457CE118"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95.0</w:t>
            </w:r>
          </w:p>
        </w:tc>
        <w:tc>
          <w:tcPr>
            <w:tcW w:w="238" w:type="dxa"/>
            <w:noWrap/>
            <w:hideMark/>
          </w:tcPr>
          <w:p w14:paraId="62D422E5" w14:textId="77777777" w:rsidR="00120717" w:rsidRPr="00B93EE1" w:rsidRDefault="00120717" w:rsidP="00D239F1">
            <w:pPr>
              <w:jc w:val="right"/>
              <w:rPr>
                <w:rFonts w:cs="Calibri"/>
                <w:color w:val="000000"/>
                <w:sz w:val="14"/>
                <w:szCs w:val="14"/>
              </w:rPr>
            </w:pPr>
          </w:p>
        </w:tc>
        <w:tc>
          <w:tcPr>
            <w:tcW w:w="1002" w:type="dxa"/>
            <w:noWrap/>
            <w:hideMark/>
          </w:tcPr>
          <w:p w14:paraId="7F4B8879"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0FBF8FA2"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42F5EF20" w14:textId="77777777" w:rsidR="00120717" w:rsidRPr="00B93EE1" w:rsidRDefault="00120717" w:rsidP="00D239F1">
            <w:pPr>
              <w:jc w:val="right"/>
              <w:rPr>
                <w:rFonts w:cs="Calibri"/>
                <w:color w:val="000000"/>
                <w:sz w:val="14"/>
                <w:szCs w:val="14"/>
              </w:rPr>
            </w:pPr>
          </w:p>
        </w:tc>
        <w:tc>
          <w:tcPr>
            <w:tcW w:w="872" w:type="dxa"/>
            <w:noWrap/>
            <w:hideMark/>
          </w:tcPr>
          <w:p w14:paraId="6FE37E15"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0.1</w:t>
            </w:r>
          </w:p>
        </w:tc>
        <w:tc>
          <w:tcPr>
            <w:tcW w:w="850" w:type="dxa"/>
            <w:noWrap/>
            <w:hideMark/>
          </w:tcPr>
          <w:p w14:paraId="0568D535"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94.3</w:t>
            </w:r>
          </w:p>
        </w:tc>
      </w:tr>
      <w:tr w:rsidR="00120717" w:rsidRPr="00B93EE1" w14:paraId="620D8B97" w14:textId="77777777" w:rsidTr="00975C4A">
        <w:tc>
          <w:tcPr>
            <w:tcW w:w="1856" w:type="dxa"/>
            <w:noWrap/>
            <w:hideMark/>
          </w:tcPr>
          <w:p w14:paraId="112EED01" w14:textId="77777777" w:rsidR="00120717" w:rsidRPr="00B93EE1" w:rsidRDefault="00120717" w:rsidP="00D239F1">
            <w:pPr>
              <w:ind w:left="170"/>
              <w:jc w:val="left"/>
              <w:rPr>
                <w:rFonts w:cs="Calibri"/>
                <w:color w:val="000000"/>
                <w:sz w:val="14"/>
                <w:szCs w:val="14"/>
              </w:rPr>
            </w:pPr>
            <w:r w:rsidRPr="00B93EE1">
              <w:rPr>
                <w:rFonts w:cs="Calibri"/>
                <w:color w:val="000000"/>
                <w:sz w:val="14"/>
                <w:szCs w:val="14"/>
              </w:rPr>
              <w:t xml:space="preserve">PACER </w:t>
            </w:r>
            <w:proofErr w:type="spellStart"/>
            <w:r w:rsidRPr="00B93EE1">
              <w:rPr>
                <w:rFonts w:cs="Calibri"/>
                <w:color w:val="000000"/>
                <w:sz w:val="14"/>
                <w:szCs w:val="14"/>
              </w:rPr>
              <w:t>Plus</w:t>
            </w:r>
            <w:r w:rsidRPr="00B93EE1">
              <w:rPr>
                <w:rFonts w:cs="Calibri"/>
                <w:color w:val="000000"/>
                <w:sz w:val="14"/>
                <w:szCs w:val="14"/>
                <w:vertAlign w:val="superscript"/>
              </w:rPr>
              <w:t>f</w:t>
            </w:r>
            <w:proofErr w:type="spellEnd"/>
          </w:p>
        </w:tc>
        <w:tc>
          <w:tcPr>
            <w:tcW w:w="1289" w:type="dxa"/>
            <w:noWrap/>
            <w:hideMark/>
          </w:tcPr>
          <w:p w14:paraId="50470B6A"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508DC95C"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6A729ED1"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4A43B44E" w14:textId="77777777" w:rsidR="00120717" w:rsidRPr="00B93EE1" w:rsidRDefault="00120717" w:rsidP="00D239F1">
            <w:pPr>
              <w:jc w:val="right"/>
              <w:rPr>
                <w:rFonts w:cs="Calibri"/>
                <w:color w:val="000000"/>
                <w:sz w:val="14"/>
                <w:szCs w:val="14"/>
              </w:rPr>
            </w:pPr>
          </w:p>
        </w:tc>
        <w:tc>
          <w:tcPr>
            <w:tcW w:w="1002" w:type="dxa"/>
            <w:noWrap/>
            <w:hideMark/>
          </w:tcPr>
          <w:p w14:paraId="22690242"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3188635D"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5858A1E7" w14:textId="77777777" w:rsidR="00120717" w:rsidRPr="00B93EE1" w:rsidRDefault="00120717" w:rsidP="00D239F1">
            <w:pPr>
              <w:jc w:val="right"/>
              <w:rPr>
                <w:rFonts w:cs="Calibri"/>
                <w:color w:val="000000"/>
                <w:sz w:val="14"/>
                <w:szCs w:val="14"/>
              </w:rPr>
            </w:pPr>
          </w:p>
        </w:tc>
        <w:tc>
          <w:tcPr>
            <w:tcW w:w="872" w:type="dxa"/>
            <w:noWrap/>
            <w:hideMark/>
          </w:tcPr>
          <w:p w14:paraId="5B4800D2"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50" w:type="dxa"/>
            <w:noWrap/>
            <w:hideMark/>
          </w:tcPr>
          <w:p w14:paraId="74545353"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r w:rsidR="00120717" w:rsidRPr="00B93EE1" w14:paraId="7FAAA507" w14:textId="77777777" w:rsidTr="00975C4A">
        <w:trPr>
          <w:cnfStyle w:val="000000010000" w:firstRow="0" w:lastRow="0" w:firstColumn="0" w:lastColumn="0" w:oddVBand="0" w:evenVBand="0" w:oddHBand="0" w:evenHBand="1" w:firstRowFirstColumn="0" w:firstRowLastColumn="0" w:lastRowFirstColumn="0" w:lastRowLastColumn="0"/>
        </w:trPr>
        <w:tc>
          <w:tcPr>
            <w:tcW w:w="1856" w:type="dxa"/>
            <w:noWrap/>
            <w:hideMark/>
          </w:tcPr>
          <w:p w14:paraId="3CB1042F" w14:textId="77777777" w:rsidR="00120717" w:rsidRPr="00B93EE1" w:rsidRDefault="00120717" w:rsidP="00315B84">
            <w:pPr>
              <w:keepNext/>
              <w:jc w:val="left"/>
              <w:rPr>
                <w:rFonts w:cs="Calibri"/>
                <w:color w:val="000000"/>
                <w:sz w:val="14"/>
                <w:szCs w:val="14"/>
              </w:rPr>
            </w:pPr>
            <w:proofErr w:type="spellStart"/>
            <w:r w:rsidRPr="00B93EE1">
              <w:rPr>
                <w:rFonts w:cs="Calibri"/>
                <w:color w:val="000000"/>
                <w:sz w:val="14"/>
                <w:szCs w:val="14"/>
              </w:rPr>
              <w:t>GSP</w:t>
            </w:r>
            <w:proofErr w:type="spellEnd"/>
            <w:r w:rsidRPr="00B93EE1">
              <w:rPr>
                <w:rFonts w:cs="Calibri"/>
                <w:color w:val="000000"/>
                <w:sz w:val="14"/>
                <w:szCs w:val="14"/>
              </w:rPr>
              <w:t xml:space="preserve"> - less developed countries</w:t>
            </w:r>
          </w:p>
        </w:tc>
        <w:tc>
          <w:tcPr>
            <w:tcW w:w="1289" w:type="dxa"/>
            <w:noWrap/>
            <w:hideMark/>
          </w:tcPr>
          <w:p w14:paraId="6DFA613A" w14:textId="77777777" w:rsidR="00120717" w:rsidRPr="00B93EE1" w:rsidRDefault="00120717" w:rsidP="00315B84">
            <w:pPr>
              <w:keepNext/>
              <w:ind w:right="284"/>
              <w:jc w:val="right"/>
              <w:rPr>
                <w:rFonts w:cs="Calibri"/>
                <w:color w:val="000000"/>
                <w:sz w:val="14"/>
                <w:szCs w:val="14"/>
              </w:rPr>
            </w:pPr>
            <w:r w:rsidRPr="00B93EE1">
              <w:rPr>
                <w:rFonts w:cs="Calibri"/>
                <w:color w:val="000000"/>
                <w:sz w:val="14"/>
                <w:szCs w:val="14"/>
              </w:rPr>
              <w:t>460</w:t>
            </w:r>
          </w:p>
        </w:tc>
        <w:tc>
          <w:tcPr>
            <w:tcW w:w="1002" w:type="dxa"/>
            <w:noWrap/>
            <w:hideMark/>
          </w:tcPr>
          <w:p w14:paraId="3970EC53" w14:textId="77777777" w:rsidR="00120717" w:rsidRPr="00B93EE1" w:rsidRDefault="00120717" w:rsidP="00315B84">
            <w:pPr>
              <w:keepNext/>
              <w:ind w:right="227"/>
              <w:jc w:val="right"/>
              <w:rPr>
                <w:rFonts w:cs="Calibri"/>
                <w:color w:val="000000"/>
                <w:sz w:val="14"/>
                <w:szCs w:val="14"/>
              </w:rPr>
            </w:pPr>
            <w:r w:rsidRPr="00B93EE1">
              <w:rPr>
                <w:rFonts w:cs="Calibri"/>
                <w:color w:val="000000"/>
                <w:sz w:val="14"/>
                <w:szCs w:val="14"/>
              </w:rPr>
              <w:t>2.1</w:t>
            </w:r>
          </w:p>
        </w:tc>
        <w:tc>
          <w:tcPr>
            <w:tcW w:w="860" w:type="dxa"/>
            <w:noWrap/>
            <w:hideMark/>
          </w:tcPr>
          <w:p w14:paraId="3C27088A" w14:textId="77777777" w:rsidR="00120717" w:rsidRPr="00B93EE1" w:rsidRDefault="00120717" w:rsidP="00315B84">
            <w:pPr>
              <w:keepNext/>
              <w:ind w:right="113"/>
              <w:jc w:val="right"/>
              <w:rPr>
                <w:rFonts w:cs="Calibri"/>
                <w:color w:val="000000"/>
                <w:sz w:val="14"/>
                <w:szCs w:val="14"/>
              </w:rPr>
            </w:pPr>
            <w:r w:rsidRPr="00B93EE1">
              <w:rPr>
                <w:rFonts w:cs="Calibri"/>
                <w:color w:val="000000"/>
                <w:sz w:val="14"/>
                <w:szCs w:val="14"/>
              </w:rPr>
              <w:t>62.8</w:t>
            </w:r>
          </w:p>
        </w:tc>
        <w:tc>
          <w:tcPr>
            <w:tcW w:w="238" w:type="dxa"/>
            <w:noWrap/>
            <w:hideMark/>
          </w:tcPr>
          <w:p w14:paraId="407F6E8C" w14:textId="77777777" w:rsidR="00120717" w:rsidRPr="00B93EE1" w:rsidRDefault="00120717" w:rsidP="00315B84">
            <w:pPr>
              <w:keepNext/>
              <w:jc w:val="right"/>
              <w:rPr>
                <w:rFonts w:cs="Calibri"/>
                <w:color w:val="000000"/>
                <w:sz w:val="14"/>
                <w:szCs w:val="14"/>
              </w:rPr>
            </w:pPr>
          </w:p>
        </w:tc>
        <w:tc>
          <w:tcPr>
            <w:tcW w:w="1002" w:type="dxa"/>
            <w:noWrap/>
            <w:hideMark/>
          </w:tcPr>
          <w:p w14:paraId="73C0D795" w14:textId="77777777" w:rsidR="00120717" w:rsidRPr="00B93EE1" w:rsidRDefault="00120717" w:rsidP="00315B84">
            <w:pPr>
              <w:keepNext/>
              <w:ind w:right="227"/>
              <w:jc w:val="right"/>
              <w:rPr>
                <w:rFonts w:cs="Calibri"/>
                <w:color w:val="000000"/>
                <w:sz w:val="14"/>
                <w:szCs w:val="14"/>
              </w:rPr>
            </w:pPr>
            <w:r w:rsidRPr="00B93EE1">
              <w:rPr>
                <w:rFonts w:cs="Calibri"/>
                <w:color w:val="000000"/>
                <w:sz w:val="14"/>
                <w:szCs w:val="14"/>
              </w:rPr>
              <w:t>1.6</w:t>
            </w:r>
          </w:p>
        </w:tc>
        <w:tc>
          <w:tcPr>
            <w:tcW w:w="860" w:type="dxa"/>
            <w:noWrap/>
            <w:hideMark/>
          </w:tcPr>
          <w:p w14:paraId="481B7074" w14:textId="77777777" w:rsidR="00120717" w:rsidRPr="00B93EE1" w:rsidRDefault="00120717" w:rsidP="00315B84">
            <w:pPr>
              <w:keepNext/>
              <w:ind w:right="113"/>
              <w:jc w:val="right"/>
              <w:rPr>
                <w:rFonts w:cs="Calibri"/>
                <w:color w:val="000000"/>
                <w:sz w:val="14"/>
                <w:szCs w:val="14"/>
              </w:rPr>
            </w:pPr>
            <w:r w:rsidRPr="00B93EE1">
              <w:rPr>
                <w:rFonts w:cs="Calibri"/>
                <w:color w:val="000000"/>
                <w:sz w:val="14"/>
                <w:szCs w:val="14"/>
              </w:rPr>
              <w:t>66.1</w:t>
            </w:r>
          </w:p>
        </w:tc>
        <w:tc>
          <w:tcPr>
            <w:tcW w:w="238" w:type="dxa"/>
            <w:noWrap/>
            <w:hideMark/>
          </w:tcPr>
          <w:p w14:paraId="5FB5FFC2" w14:textId="77777777" w:rsidR="00120717" w:rsidRPr="00B93EE1" w:rsidRDefault="00120717" w:rsidP="00315B84">
            <w:pPr>
              <w:keepNext/>
              <w:jc w:val="right"/>
              <w:rPr>
                <w:rFonts w:cs="Calibri"/>
                <w:color w:val="000000"/>
                <w:sz w:val="14"/>
                <w:szCs w:val="14"/>
              </w:rPr>
            </w:pPr>
          </w:p>
        </w:tc>
        <w:tc>
          <w:tcPr>
            <w:tcW w:w="872" w:type="dxa"/>
            <w:noWrap/>
            <w:hideMark/>
          </w:tcPr>
          <w:p w14:paraId="6421ABB6" w14:textId="77777777" w:rsidR="00120717" w:rsidRPr="00B93EE1" w:rsidRDefault="00120717" w:rsidP="00315B84">
            <w:pPr>
              <w:keepNext/>
              <w:ind w:right="227"/>
              <w:jc w:val="right"/>
              <w:rPr>
                <w:rFonts w:cs="Calibri"/>
                <w:color w:val="000000"/>
                <w:sz w:val="14"/>
                <w:szCs w:val="14"/>
              </w:rPr>
            </w:pPr>
            <w:r w:rsidRPr="00B93EE1">
              <w:rPr>
                <w:rFonts w:cs="Calibri"/>
                <w:color w:val="000000"/>
                <w:sz w:val="14"/>
                <w:szCs w:val="14"/>
              </w:rPr>
              <w:t>2.2</w:t>
            </w:r>
          </w:p>
        </w:tc>
        <w:tc>
          <w:tcPr>
            <w:tcW w:w="850" w:type="dxa"/>
            <w:noWrap/>
            <w:hideMark/>
          </w:tcPr>
          <w:p w14:paraId="7AC55714" w14:textId="77777777" w:rsidR="00120717" w:rsidRPr="00B93EE1" w:rsidRDefault="00120717" w:rsidP="00315B84">
            <w:pPr>
              <w:keepNext/>
              <w:ind w:right="113"/>
              <w:jc w:val="right"/>
              <w:rPr>
                <w:rFonts w:cs="Calibri"/>
                <w:color w:val="000000"/>
                <w:sz w:val="14"/>
                <w:szCs w:val="14"/>
              </w:rPr>
            </w:pPr>
            <w:r w:rsidRPr="00B93EE1">
              <w:rPr>
                <w:rFonts w:cs="Calibri"/>
                <w:color w:val="000000"/>
                <w:sz w:val="14"/>
                <w:szCs w:val="14"/>
              </w:rPr>
              <w:t>62.2</w:t>
            </w:r>
          </w:p>
        </w:tc>
      </w:tr>
      <w:tr w:rsidR="00120717" w:rsidRPr="00B93EE1" w14:paraId="7AE0054F" w14:textId="77777777" w:rsidTr="00975C4A">
        <w:tc>
          <w:tcPr>
            <w:tcW w:w="1856" w:type="dxa"/>
            <w:noWrap/>
            <w:hideMark/>
          </w:tcPr>
          <w:p w14:paraId="508A0D08" w14:textId="77777777" w:rsidR="00120717" w:rsidRPr="00B93EE1" w:rsidRDefault="00120717" w:rsidP="00D239F1">
            <w:pPr>
              <w:jc w:val="left"/>
              <w:rPr>
                <w:rFonts w:cs="Calibri"/>
                <w:color w:val="000000"/>
                <w:sz w:val="14"/>
                <w:szCs w:val="14"/>
              </w:rPr>
            </w:pPr>
            <w:proofErr w:type="spellStart"/>
            <w:r w:rsidRPr="00B93EE1">
              <w:rPr>
                <w:rFonts w:cs="Calibri"/>
                <w:color w:val="000000"/>
                <w:sz w:val="14"/>
                <w:szCs w:val="14"/>
              </w:rPr>
              <w:t>GSP</w:t>
            </w:r>
            <w:proofErr w:type="spellEnd"/>
            <w:r w:rsidRPr="00B93EE1">
              <w:rPr>
                <w:rFonts w:cs="Calibri"/>
                <w:color w:val="000000"/>
                <w:sz w:val="14"/>
                <w:szCs w:val="14"/>
              </w:rPr>
              <w:t xml:space="preserve"> - least developed countries</w:t>
            </w:r>
          </w:p>
        </w:tc>
        <w:tc>
          <w:tcPr>
            <w:tcW w:w="1289" w:type="dxa"/>
            <w:noWrap/>
            <w:hideMark/>
          </w:tcPr>
          <w:p w14:paraId="5B22BFC0" w14:textId="77777777" w:rsidR="00120717" w:rsidRPr="00B93EE1" w:rsidRDefault="00120717" w:rsidP="00D239F1">
            <w:pPr>
              <w:ind w:right="284"/>
              <w:jc w:val="right"/>
              <w:rPr>
                <w:rFonts w:cs="Calibri"/>
                <w:color w:val="000000"/>
                <w:sz w:val="14"/>
                <w:szCs w:val="14"/>
              </w:rPr>
            </w:pPr>
            <w:r w:rsidRPr="00B93EE1">
              <w:rPr>
                <w:rFonts w:cs="Calibri"/>
                <w:color w:val="000000"/>
                <w:sz w:val="14"/>
                <w:szCs w:val="14"/>
              </w:rPr>
              <w:t>3,082</w:t>
            </w:r>
          </w:p>
        </w:tc>
        <w:tc>
          <w:tcPr>
            <w:tcW w:w="1002" w:type="dxa"/>
            <w:noWrap/>
            <w:hideMark/>
          </w:tcPr>
          <w:p w14:paraId="5F230C67"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5E9FBB96"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30EC401C" w14:textId="77777777" w:rsidR="00120717" w:rsidRPr="00B93EE1" w:rsidRDefault="00120717" w:rsidP="00D239F1">
            <w:pPr>
              <w:jc w:val="right"/>
              <w:rPr>
                <w:rFonts w:cs="Calibri"/>
                <w:color w:val="000000"/>
                <w:sz w:val="14"/>
                <w:szCs w:val="14"/>
              </w:rPr>
            </w:pPr>
          </w:p>
        </w:tc>
        <w:tc>
          <w:tcPr>
            <w:tcW w:w="1002" w:type="dxa"/>
            <w:noWrap/>
            <w:hideMark/>
          </w:tcPr>
          <w:p w14:paraId="72644B1C"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p>
        </w:tc>
        <w:tc>
          <w:tcPr>
            <w:tcW w:w="860" w:type="dxa"/>
            <w:noWrap/>
            <w:hideMark/>
          </w:tcPr>
          <w:p w14:paraId="0CA26251"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c>
          <w:tcPr>
            <w:tcW w:w="238" w:type="dxa"/>
            <w:noWrap/>
            <w:hideMark/>
          </w:tcPr>
          <w:p w14:paraId="4CA27BB1" w14:textId="77777777" w:rsidR="00120717" w:rsidRPr="00B93EE1" w:rsidRDefault="00120717" w:rsidP="00D239F1">
            <w:pPr>
              <w:jc w:val="right"/>
              <w:rPr>
                <w:rFonts w:cs="Calibri"/>
                <w:color w:val="000000"/>
                <w:sz w:val="14"/>
                <w:szCs w:val="14"/>
              </w:rPr>
            </w:pPr>
          </w:p>
        </w:tc>
        <w:tc>
          <w:tcPr>
            <w:tcW w:w="872" w:type="dxa"/>
            <w:noWrap/>
            <w:hideMark/>
          </w:tcPr>
          <w:p w14:paraId="10700CF8" w14:textId="77777777" w:rsidR="00120717" w:rsidRPr="00B93EE1" w:rsidRDefault="00120717" w:rsidP="00D239F1">
            <w:pPr>
              <w:ind w:right="227"/>
              <w:jc w:val="right"/>
              <w:rPr>
                <w:rFonts w:cs="Calibri"/>
                <w:color w:val="000000"/>
                <w:sz w:val="14"/>
                <w:szCs w:val="14"/>
              </w:rPr>
            </w:pPr>
            <w:r w:rsidRPr="00B93EE1">
              <w:rPr>
                <w:rFonts w:cs="Calibri"/>
                <w:color w:val="000000"/>
                <w:sz w:val="14"/>
                <w:szCs w:val="14"/>
              </w:rPr>
              <w:t>0.0</w:t>
            </w:r>
            <w:r w:rsidRPr="00B93EE1">
              <w:rPr>
                <w:rFonts w:cs="Calibri"/>
                <w:color w:val="000000"/>
                <w:sz w:val="14"/>
                <w:szCs w:val="14"/>
                <w:vertAlign w:val="superscript"/>
              </w:rPr>
              <w:t>c</w:t>
            </w:r>
          </w:p>
        </w:tc>
        <w:tc>
          <w:tcPr>
            <w:tcW w:w="850" w:type="dxa"/>
            <w:noWrap/>
            <w:hideMark/>
          </w:tcPr>
          <w:p w14:paraId="35AE4D80" w14:textId="77777777" w:rsidR="00120717" w:rsidRPr="00B93EE1" w:rsidRDefault="00120717" w:rsidP="00D239F1">
            <w:pPr>
              <w:ind w:right="113"/>
              <w:jc w:val="right"/>
              <w:rPr>
                <w:rFonts w:cs="Calibri"/>
                <w:color w:val="000000"/>
                <w:sz w:val="14"/>
                <w:szCs w:val="14"/>
              </w:rPr>
            </w:pPr>
            <w:r w:rsidRPr="00B93EE1">
              <w:rPr>
                <w:rFonts w:cs="Calibri"/>
                <w:color w:val="000000"/>
                <w:sz w:val="14"/>
                <w:szCs w:val="14"/>
              </w:rPr>
              <w:t>100.0</w:t>
            </w:r>
          </w:p>
        </w:tc>
      </w:tr>
    </w:tbl>
    <w:p w14:paraId="7F38916B" w14:textId="193EA420" w:rsidR="00120717" w:rsidRPr="00B93EE1" w:rsidRDefault="00120717" w:rsidP="00062AA5">
      <w:pPr>
        <w:pStyle w:val="NoteText"/>
        <w:spacing w:before="120"/>
      </w:pPr>
      <w:proofErr w:type="spellStart"/>
      <w:r w:rsidRPr="00B93EE1">
        <w:t>a</w:t>
      </w:r>
      <w:proofErr w:type="spellEnd"/>
      <w:r w:rsidRPr="00B93EE1">
        <w:tab/>
        <w:t>Only rates that are lower than the corresponding MFN rate are considered.</w:t>
      </w:r>
    </w:p>
    <w:p w14:paraId="382FC177" w14:textId="77777777" w:rsidR="00120717" w:rsidRPr="00B93EE1" w:rsidRDefault="00120717" w:rsidP="00D20DEF">
      <w:pPr>
        <w:pStyle w:val="NoteText"/>
      </w:pPr>
      <w:r w:rsidRPr="00B93EE1">
        <w:t>b</w:t>
      </w:r>
      <w:r w:rsidRPr="00B93EE1">
        <w:tab/>
        <w:t>Duty-free lines as a percentage of total tariff lines.</w:t>
      </w:r>
    </w:p>
    <w:p w14:paraId="1B1DB4FF" w14:textId="77777777" w:rsidR="00120717" w:rsidRPr="00B93EE1" w:rsidRDefault="00120717" w:rsidP="00D20DEF">
      <w:pPr>
        <w:pStyle w:val="NoteText"/>
      </w:pPr>
      <w:r w:rsidRPr="00B93EE1">
        <w:t>c</w:t>
      </w:r>
      <w:r w:rsidRPr="00B93EE1">
        <w:tab/>
        <w:t>Trans-Pacific Strategic Economic Partnership (Brunei Darussalam and Chile).</w:t>
      </w:r>
    </w:p>
    <w:p w14:paraId="5DB5480B" w14:textId="77777777" w:rsidR="00120717" w:rsidRPr="00B93EE1" w:rsidRDefault="00120717" w:rsidP="00D20DEF">
      <w:pPr>
        <w:pStyle w:val="NoteText"/>
      </w:pPr>
      <w:r w:rsidRPr="00B93EE1">
        <w:t>d</w:t>
      </w:r>
      <w:r w:rsidRPr="00B93EE1">
        <w:tab/>
        <w:t>South Pacific Regional Trade and Economic Cooperation Agreement.</w:t>
      </w:r>
    </w:p>
    <w:p w14:paraId="0E99AAB0" w14:textId="77777777" w:rsidR="00120717" w:rsidRPr="00B93EE1" w:rsidRDefault="00120717" w:rsidP="00D20DEF">
      <w:pPr>
        <w:pStyle w:val="NoteText"/>
        <w:rPr>
          <w:color w:val="000000"/>
        </w:rPr>
      </w:pPr>
      <w:r w:rsidRPr="00B93EE1">
        <w:rPr>
          <w:color w:val="000000"/>
        </w:rPr>
        <w:t>e</w:t>
      </w:r>
      <w:r w:rsidRPr="00B93EE1">
        <w:rPr>
          <w:color w:val="000000"/>
        </w:rPr>
        <w:tab/>
        <w:t>Comprehensive and Progressive Trans-Pacific Partnership Agreement. As of 2021, the FTA is in force for Australia, Canada, Japan, Mexico, New Zealand, Singapore, and Viet Nam.</w:t>
      </w:r>
    </w:p>
    <w:p w14:paraId="3835C980" w14:textId="77777777" w:rsidR="00120717" w:rsidRPr="00B93EE1" w:rsidRDefault="00120717" w:rsidP="00D20DEF">
      <w:pPr>
        <w:pStyle w:val="NoteText"/>
        <w:rPr>
          <w:color w:val="000000"/>
        </w:rPr>
      </w:pPr>
      <w:r w:rsidRPr="00B93EE1">
        <w:rPr>
          <w:color w:val="000000"/>
        </w:rPr>
        <w:t>f</w:t>
      </w:r>
      <w:r w:rsidRPr="00B93EE1">
        <w:rPr>
          <w:color w:val="000000"/>
        </w:rPr>
        <w:tab/>
        <w:t>Pacific Agreement on Closer Economic Relations Plus. As of 2021, PACER Plus is in force for Australia, Samoa, Kiribati, Tonga, Solomon Islands, New Zealand, Niue, and Cook Islands.</w:t>
      </w:r>
    </w:p>
    <w:p w14:paraId="028009BF" w14:textId="77777777" w:rsidR="00120717" w:rsidRPr="00B93EE1" w:rsidRDefault="00120717" w:rsidP="00062AA5">
      <w:pPr>
        <w:pStyle w:val="NoteText"/>
        <w:spacing w:before="120" w:after="240"/>
      </w:pPr>
      <w:r w:rsidRPr="00B93EE1">
        <w:t xml:space="preserve">Source: </w:t>
      </w:r>
      <w:r w:rsidRPr="00B93EE1">
        <w:tab/>
        <w:t>WTO Secretariat calculations, based on data provided by the authorities.</w:t>
      </w:r>
    </w:p>
    <w:p w14:paraId="05029A7D" w14:textId="77777777" w:rsidR="00120717" w:rsidRPr="00F64A35" w:rsidRDefault="00120717" w:rsidP="00185006">
      <w:pPr>
        <w:pStyle w:val="Heading4"/>
      </w:pPr>
      <w:bookmarkStart w:id="99" w:name="_Toc415735866"/>
      <w:bookmarkStart w:id="100" w:name="_Toc97800141"/>
      <w:r w:rsidRPr="00B93EE1">
        <w:lastRenderedPageBreak/>
        <w:t>Tariff concessions</w:t>
      </w:r>
      <w:bookmarkEnd w:id="99"/>
      <w:bookmarkEnd w:id="100"/>
    </w:p>
    <w:p w14:paraId="4FED666F" w14:textId="77777777" w:rsidR="00120717" w:rsidRPr="00F64A35" w:rsidRDefault="00120717" w:rsidP="00472364">
      <w:pPr>
        <w:pStyle w:val="BodyText"/>
      </w:pPr>
      <w:r w:rsidRPr="00B93EE1">
        <w:t>New Zealand applies tariff concessions for social/humanitarian, customs facilitation, trade policy, and industry assistance purposes, or to comply with international commitments. Of the 17 categories of tariff concessions, the most frequently used is the duty exemption for goods for which suitable alternatives are not available from local producers/manufacturers. Locally produced "suitable alternative" goods are only recognized when the domestic content of the locally produced "suitable alternative" good is not less than 25% of its ex-factory cost.</w:t>
      </w:r>
      <w:r w:rsidRPr="00B93EE1">
        <w:rPr>
          <w:vertAlign w:val="superscript"/>
        </w:rPr>
        <w:footnoteReference w:id="147"/>
      </w:r>
    </w:p>
    <w:p w14:paraId="617F838F" w14:textId="77777777" w:rsidR="00120717" w:rsidRPr="00F64A35" w:rsidRDefault="00120717" w:rsidP="00185006">
      <w:pPr>
        <w:pStyle w:val="BodyText"/>
      </w:pPr>
      <w:r w:rsidRPr="00B93EE1">
        <w:t>Additionally, there are specific concessions for shortfalls of manufacturing inputs, certain capital equipment, and woven fabrics containing wool for use in apparel manufacturing. These concessions are issued for limited periods and, in some cases, are restricted to specific quantities or for the use of specified manufacturers.</w:t>
      </w:r>
    </w:p>
    <w:p w14:paraId="73E6EE4C" w14:textId="77777777" w:rsidR="00120717" w:rsidRPr="00F64A35" w:rsidRDefault="00120717" w:rsidP="00185006">
      <w:pPr>
        <w:pStyle w:val="BodyText"/>
      </w:pPr>
      <w:r w:rsidRPr="00B93EE1">
        <w:t xml:space="preserve">Applications for concession are lodged with the </w:t>
      </w:r>
      <w:proofErr w:type="spellStart"/>
      <w:r w:rsidRPr="00B93EE1">
        <w:t>NZCS</w:t>
      </w:r>
      <w:proofErr w:type="spellEnd"/>
      <w:r w:rsidRPr="00B93EE1">
        <w:t xml:space="preserve">. Approved applications are published in the Customs Edition of the New Zealand Gazette. The </w:t>
      </w:r>
      <w:proofErr w:type="spellStart"/>
      <w:r w:rsidRPr="00B93EE1">
        <w:t>NZCS</w:t>
      </w:r>
      <w:proofErr w:type="spellEnd"/>
      <w:r w:rsidRPr="00B93EE1">
        <w:t xml:space="preserve"> also maintains a consolidated list of approvals relating to tariff concessions issued under the general category.</w:t>
      </w:r>
    </w:p>
    <w:p w14:paraId="7D50C248" w14:textId="77777777" w:rsidR="00120717" w:rsidRPr="00F64A35" w:rsidRDefault="00120717" w:rsidP="00185006">
      <w:pPr>
        <w:pStyle w:val="BodyText"/>
      </w:pPr>
      <w:r w:rsidRPr="00B93EE1">
        <w:t>Tariff remissions are also granted for exports under the drawback, temporary import, and export warehousing schemes (Section 3.2.4).</w:t>
      </w:r>
    </w:p>
    <w:p w14:paraId="1E3A3AEC" w14:textId="77777777" w:rsidR="00120717" w:rsidRPr="00F64A35" w:rsidRDefault="00120717" w:rsidP="00185006">
      <w:pPr>
        <w:pStyle w:val="BodyText"/>
      </w:pPr>
      <w:r w:rsidRPr="00B93EE1">
        <w:t>The tariff concessions scheme was reviewed in October 2018, and it was agreed the tariff concession on residential building materials remain in place and be reviewed in 2023.</w:t>
      </w:r>
    </w:p>
    <w:p w14:paraId="3AF31F77" w14:textId="77777777" w:rsidR="00120717" w:rsidRPr="00F64A35" w:rsidRDefault="00120717" w:rsidP="00185006">
      <w:pPr>
        <w:pStyle w:val="Heading3"/>
      </w:pPr>
      <w:bookmarkStart w:id="101" w:name="_Toc415735867"/>
      <w:bookmarkStart w:id="102" w:name="_Toc97800142"/>
      <w:r w:rsidRPr="00B93EE1">
        <w:t>Other charges affecting imports</w:t>
      </w:r>
      <w:bookmarkEnd w:id="101"/>
      <w:bookmarkEnd w:id="102"/>
    </w:p>
    <w:p w14:paraId="1C0AE6C2" w14:textId="77777777" w:rsidR="00120717" w:rsidRPr="00F64A35" w:rsidRDefault="00120717" w:rsidP="00185006">
      <w:pPr>
        <w:pStyle w:val="BodyText"/>
      </w:pPr>
      <w:r w:rsidRPr="00B93EE1">
        <w:t>In addition to tariffs, an import entry transaction fee (</w:t>
      </w:r>
      <w:proofErr w:type="spellStart"/>
      <w:r w:rsidRPr="00B93EE1">
        <w:t>IETF</w:t>
      </w:r>
      <w:proofErr w:type="spellEnd"/>
      <w:r w:rsidRPr="00B93EE1">
        <w:t xml:space="preserve">) of NZD 33.3 is payable on every electronic import lodgement. An </w:t>
      </w:r>
      <w:proofErr w:type="spellStart"/>
      <w:r w:rsidRPr="00B93EE1">
        <w:t>MPI</w:t>
      </w:r>
      <w:proofErr w:type="spellEnd"/>
      <w:r w:rsidRPr="00B93EE1">
        <w:t xml:space="preserve"> biosecurity system entry levy (</w:t>
      </w:r>
      <w:proofErr w:type="spellStart"/>
      <w:r w:rsidRPr="00B93EE1">
        <w:t>BSEL</w:t>
      </w:r>
      <w:proofErr w:type="spellEnd"/>
      <w:r w:rsidRPr="00B93EE1">
        <w:t xml:space="preserve">) of NZD 26.45 (GST inclusive) is also payable on every entry on which an </w:t>
      </w:r>
      <w:proofErr w:type="spellStart"/>
      <w:r w:rsidRPr="00B93EE1">
        <w:t>IETF</w:t>
      </w:r>
      <w:proofErr w:type="spellEnd"/>
      <w:r w:rsidRPr="00B93EE1">
        <w:t xml:space="preserve"> is payable and is collected by the </w:t>
      </w:r>
      <w:proofErr w:type="spellStart"/>
      <w:r w:rsidRPr="00B93EE1">
        <w:t>NZCS</w:t>
      </w:r>
      <w:proofErr w:type="spellEnd"/>
      <w:r w:rsidRPr="00B93EE1">
        <w:t xml:space="preserve"> at the same time as the </w:t>
      </w:r>
      <w:proofErr w:type="spellStart"/>
      <w:r w:rsidRPr="00B93EE1">
        <w:t>IETF</w:t>
      </w:r>
      <w:proofErr w:type="spellEnd"/>
      <w:r w:rsidRPr="00B93EE1">
        <w:t>.</w:t>
      </w:r>
    </w:p>
    <w:p w14:paraId="694361BD" w14:textId="77777777" w:rsidR="00120717" w:rsidRPr="00F64A35" w:rsidRDefault="00120717" w:rsidP="00185006">
      <w:pPr>
        <w:pStyle w:val="BodyText"/>
      </w:pPr>
      <w:r w:rsidRPr="00B93EE1">
        <w:t>An inward cargo transaction fee (</w:t>
      </w:r>
      <w:proofErr w:type="spellStart"/>
      <w:r w:rsidRPr="00B93EE1">
        <w:t>ICTF</w:t>
      </w:r>
      <w:proofErr w:type="spellEnd"/>
      <w:r w:rsidRPr="00B93EE1">
        <w:t xml:space="preserve">) of NZD 77.00 is payable on every inward cargo report for goods imported by air, and NZD 520.00 for goods imported by sea. An </w:t>
      </w:r>
      <w:proofErr w:type="spellStart"/>
      <w:r w:rsidRPr="00B93EE1">
        <w:t>MPI</w:t>
      </w:r>
      <w:proofErr w:type="spellEnd"/>
      <w:r w:rsidRPr="00B93EE1">
        <w:t xml:space="preserve"> </w:t>
      </w:r>
      <w:proofErr w:type="spellStart"/>
      <w:r w:rsidRPr="00B93EE1">
        <w:t>BSEL</w:t>
      </w:r>
      <w:proofErr w:type="spellEnd"/>
      <w:r w:rsidRPr="00B93EE1">
        <w:t xml:space="preserve"> of NZD 20.56 (GST inclusive) is payable on every entry on which an </w:t>
      </w:r>
      <w:proofErr w:type="spellStart"/>
      <w:r w:rsidRPr="00B93EE1">
        <w:t>ICTF</w:t>
      </w:r>
      <w:proofErr w:type="spellEnd"/>
      <w:r w:rsidRPr="00B93EE1">
        <w:t xml:space="preserve"> is payable and is collected by </w:t>
      </w:r>
      <w:proofErr w:type="spellStart"/>
      <w:r w:rsidRPr="00B93EE1">
        <w:t>NZCS</w:t>
      </w:r>
      <w:proofErr w:type="spellEnd"/>
      <w:r w:rsidRPr="00B93EE1">
        <w:t xml:space="preserve"> at the same time as the </w:t>
      </w:r>
      <w:proofErr w:type="spellStart"/>
      <w:r w:rsidRPr="00B93EE1">
        <w:t>IETF</w:t>
      </w:r>
      <w:proofErr w:type="spellEnd"/>
      <w:r w:rsidRPr="00B93EE1">
        <w:t>.</w:t>
      </w:r>
    </w:p>
    <w:p w14:paraId="59097184" w14:textId="77777777" w:rsidR="00120717" w:rsidRPr="00F64A35" w:rsidRDefault="00120717" w:rsidP="00B56C4C">
      <w:pPr>
        <w:pStyle w:val="BodyText"/>
      </w:pPr>
      <w:proofErr w:type="spellStart"/>
      <w:r w:rsidRPr="00B93EE1">
        <w:t>NZCS</w:t>
      </w:r>
      <w:proofErr w:type="spellEnd"/>
      <w:r w:rsidRPr="00B93EE1">
        <w:t xml:space="preserve"> also collects: (</w:t>
      </w:r>
      <w:proofErr w:type="spellStart"/>
      <w:r w:rsidRPr="00B93EE1">
        <w:t>i</w:t>
      </w:r>
      <w:proofErr w:type="spellEnd"/>
      <w:r w:rsidRPr="00B93EE1">
        <w:t>) a health levy on alcohol products on behalf of the Health Promotion Agency (</w:t>
      </w:r>
      <w:proofErr w:type="spellStart"/>
      <w:r w:rsidRPr="00B93EE1">
        <w:t>HPA</w:t>
      </w:r>
      <w:proofErr w:type="spellEnd"/>
      <w:r w:rsidRPr="00B93EE1">
        <w:t>) at various rates in force as from 1 July 2021 (Table 3.6)</w:t>
      </w:r>
      <w:r w:rsidRPr="00B93EE1">
        <w:rPr>
          <w:rStyle w:val="FootnoteReference"/>
        </w:rPr>
        <w:footnoteReference w:id="148"/>
      </w:r>
      <w:r w:rsidRPr="00B93EE1">
        <w:t>; (ii) a synthetic greenhouse gas (goods) levy on goods containing hydrofluorocarbons (HFCs) and perfluorocarbons (PFCs) under the Climate Change Response Act 2002 and the Climate Change (</w:t>
      </w:r>
      <w:proofErr w:type="spellStart"/>
      <w:r w:rsidRPr="00B93EE1">
        <w:t>SGG</w:t>
      </w:r>
      <w:proofErr w:type="spellEnd"/>
      <w:r w:rsidRPr="00B93EE1">
        <w:t xml:space="preserve"> Levies) Regulations 2013 on behalf of the Ministry for the Environment at various rates</w:t>
      </w:r>
      <w:r w:rsidRPr="00B93EE1">
        <w:rPr>
          <w:vertAlign w:val="superscript"/>
        </w:rPr>
        <w:footnoteReference w:id="149"/>
      </w:r>
      <w:r w:rsidRPr="00B93EE1">
        <w:t>; (iii) a heavy engineering research levy on imports of heavy steel and welding consumables at rates of NZD 10 per tonne of heavy steel, and NZD 0.05 per kilogram of welding consumables; and (iv) an accident compensation motor vehicle levy (as per the Accident Compensation (Motor Vehicle) Account Levies Regulations 2017), whose rate decreased on 1 July 2017 to NZD 6 cents per litre (down from the existing rate of 6.9 cents per litre.</w:t>
      </w:r>
    </w:p>
    <w:p w14:paraId="5A54B755" w14:textId="78C8F9AF" w:rsidR="00120717" w:rsidRPr="00B93EE1" w:rsidRDefault="00BB55A0" w:rsidP="00BB55A0">
      <w:pPr>
        <w:pStyle w:val="Caption"/>
      </w:pPr>
      <w:bookmarkStart w:id="103" w:name="_Toc418783240"/>
      <w:bookmarkStart w:id="104" w:name="_Toc97793392"/>
      <w:bookmarkStart w:id="105" w:name="_Hlk72487455"/>
      <w:r>
        <w:lastRenderedPageBreak/>
        <w:t xml:space="preserve">Table </w:t>
      </w:r>
      <w:r w:rsidR="0012793B">
        <w:fldChar w:fldCharType="begin"/>
      </w:r>
      <w:r w:rsidR="0012793B">
        <w:instrText xml:space="preserve"> STYLEREF 1 \s </w:instrText>
      </w:r>
      <w:r w:rsidR="0012793B">
        <w:fldChar w:fldCharType="separate"/>
      </w:r>
      <w:r w:rsidR="00D37A97">
        <w:rPr>
          <w:noProof/>
        </w:rPr>
        <w:t>3</w:t>
      </w:r>
      <w:r w:rsidR="0012793B">
        <w:rPr>
          <w:noProof/>
        </w:rPr>
        <w:fldChar w:fldCharType="end"/>
      </w:r>
      <w:r w:rsidR="00D37A97">
        <w:t>.</w:t>
      </w:r>
      <w:r w:rsidR="0012793B">
        <w:fldChar w:fldCharType="begin"/>
      </w:r>
      <w:r w:rsidR="0012793B">
        <w:instrText xml:space="preserve"> SEQ Table \* ARABIC \s 1 </w:instrText>
      </w:r>
      <w:r w:rsidR="0012793B">
        <w:fldChar w:fldCharType="separate"/>
      </w:r>
      <w:r w:rsidR="00D37A97">
        <w:rPr>
          <w:noProof/>
        </w:rPr>
        <w:t>6</w:t>
      </w:r>
      <w:r w:rsidR="0012793B">
        <w:rPr>
          <w:noProof/>
        </w:rPr>
        <w:fldChar w:fldCharType="end"/>
      </w:r>
      <w:r>
        <w:t xml:space="preserve"> </w:t>
      </w:r>
      <w:r w:rsidR="00120717" w:rsidRPr="00B93EE1">
        <w:t>Health Promotion Agency (</w:t>
      </w:r>
      <w:proofErr w:type="spellStart"/>
      <w:r w:rsidR="00120717" w:rsidRPr="00B93EE1">
        <w:t>HPA</w:t>
      </w:r>
      <w:proofErr w:type="spellEnd"/>
      <w:r w:rsidR="00120717" w:rsidRPr="00B93EE1">
        <w:t>) levy rates for alcohol, 2022</w:t>
      </w:r>
      <w:bookmarkEnd w:id="103"/>
      <w:bookmarkEnd w:id="104"/>
    </w:p>
    <w:tbl>
      <w:tblPr>
        <w:tblStyle w:val="WTOTable1"/>
        <w:tblW w:w="5000" w:type="pct"/>
        <w:tblLook w:val="04A0" w:firstRow="1" w:lastRow="0" w:firstColumn="1" w:lastColumn="0" w:noHBand="0" w:noVBand="1"/>
      </w:tblPr>
      <w:tblGrid>
        <w:gridCol w:w="4495"/>
        <w:gridCol w:w="4521"/>
      </w:tblGrid>
      <w:tr w:rsidR="00120717" w:rsidRPr="00B93EE1" w14:paraId="4FAFF4C1" w14:textId="77777777" w:rsidTr="00443493">
        <w:trPr>
          <w:cnfStyle w:val="100000000000" w:firstRow="1" w:lastRow="0" w:firstColumn="0" w:lastColumn="0" w:oddVBand="0" w:evenVBand="0" w:oddHBand="0" w:evenHBand="0" w:firstRowFirstColumn="0" w:firstRowLastColumn="0" w:lastRowFirstColumn="0" w:lastRowLastColumn="0"/>
        </w:trPr>
        <w:tc>
          <w:tcPr>
            <w:tcW w:w="2493" w:type="pct"/>
          </w:tcPr>
          <w:p w14:paraId="7F0A24AC" w14:textId="77777777" w:rsidR="00120717" w:rsidRPr="00B93EE1" w:rsidRDefault="00120717" w:rsidP="001662B9">
            <w:pPr>
              <w:keepNext/>
              <w:keepLines/>
              <w:jc w:val="center"/>
              <w:rPr>
                <w:rFonts w:eastAsia="Times New Roman"/>
                <w:b w:val="0"/>
                <w:bCs/>
                <w:sz w:val="16"/>
                <w:szCs w:val="16"/>
              </w:rPr>
            </w:pPr>
            <w:r w:rsidRPr="00B93EE1">
              <w:rPr>
                <w:rFonts w:eastAsia="Times New Roman"/>
                <w:bCs/>
                <w:sz w:val="16"/>
                <w:szCs w:val="16"/>
              </w:rPr>
              <w:t>Class (% of alcohol)</w:t>
            </w:r>
          </w:p>
        </w:tc>
        <w:tc>
          <w:tcPr>
            <w:tcW w:w="2507" w:type="pct"/>
          </w:tcPr>
          <w:p w14:paraId="432DD0CC" w14:textId="77777777" w:rsidR="00120717" w:rsidRPr="00B93EE1" w:rsidRDefault="00120717" w:rsidP="001662B9">
            <w:pPr>
              <w:keepNext/>
              <w:keepLines/>
              <w:jc w:val="center"/>
              <w:rPr>
                <w:rFonts w:eastAsia="Times New Roman"/>
                <w:b w:val="0"/>
                <w:bCs/>
                <w:sz w:val="16"/>
                <w:szCs w:val="16"/>
              </w:rPr>
            </w:pPr>
            <w:r w:rsidRPr="00B93EE1">
              <w:rPr>
                <w:rFonts w:eastAsia="Times New Roman"/>
                <w:bCs/>
                <w:sz w:val="16"/>
                <w:szCs w:val="16"/>
              </w:rPr>
              <w:t>Rates (NZD)</w:t>
            </w:r>
          </w:p>
        </w:tc>
      </w:tr>
      <w:tr w:rsidR="00120717" w:rsidRPr="00B93EE1" w14:paraId="321DEBE2" w14:textId="77777777" w:rsidTr="00443493">
        <w:tc>
          <w:tcPr>
            <w:tcW w:w="2493" w:type="pct"/>
          </w:tcPr>
          <w:p w14:paraId="2C4D775E"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1.15 – 2.50</w:t>
            </w:r>
          </w:p>
        </w:tc>
        <w:tc>
          <w:tcPr>
            <w:tcW w:w="2507" w:type="pct"/>
          </w:tcPr>
          <w:p w14:paraId="32E9102A"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0.5116 cents per litre</w:t>
            </w:r>
          </w:p>
        </w:tc>
      </w:tr>
      <w:tr w:rsidR="00120717" w:rsidRPr="00B93EE1" w14:paraId="522F0426" w14:textId="77777777" w:rsidTr="00443493">
        <w:trPr>
          <w:cnfStyle w:val="000000010000" w:firstRow="0" w:lastRow="0" w:firstColumn="0" w:lastColumn="0" w:oddVBand="0" w:evenVBand="0" w:oddHBand="0" w:evenHBand="1" w:firstRowFirstColumn="0" w:firstRowLastColumn="0" w:lastRowFirstColumn="0" w:lastRowLastColumn="0"/>
        </w:trPr>
        <w:tc>
          <w:tcPr>
            <w:tcW w:w="2493" w:type="pct"/>
          </w:tcPr>
          <w:p w14:paraId="40EF01A9"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2.51 – 6.00</w:t>
            </w:r>
          </w:p>
        </w:tc>
        <w:tc>
          <w:tcPr>
            <w:tcW w:w="2507" w:type="pct"/>
          </w:tcPr>
          <w:p w14:paraId="2C1F91F4"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1.5058 cents per litre</w:t>
            </w:r>
          </w:p>
        </w:tc>
      </w:tr>
      <w:tr w:rsidR="00120717" w:rsidRPr="00B93EE1" w14:paraId="06E8F4C4" w14:textId="77777777" w:rsidTr="00443493">
        <w:tc>
          <w:tcPr>
            <w:tcW w:w="2493" w:type="pct"/>
          </w:tcPr>
          <w:p w14:paraId="70BEFCB8"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6.01 – 9.00</w:t>
            </w:r>
          </w:p>
        </w:tc>
        <w:tc>
          <w:tcPr>
            <w:tcW w:w="2507" w:type="pct"/>
          </w:tcPr>
          <w:p w14:paraId="69F213A8"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2.7283 cents per litre</w:t>
            </w:r>
          </w:p>
        </w:tc>
      </w:tr>
      <w:tr w:rsidR="00120717" w:rsidRPr="00B93EE1" w14:paraId="24C9EB9D" w14:textId="77777777" w:rsidTr="00443493">
        <w:trPr>
          <w:cnfStyle w:val="000000010000" w:firstRow="0" w:lastRow="0" w:firstColumn="0" w:lastColumn="0" w:oddVBand="0" w:evenVBand="0" w:oddHBand="0" w:evenHBand="1" w:firstRowFirstColumn="0" w:firstRowLastColumn="0" w:lastRowFirstColumn="0" w:lastRowLastColumn="0"/>
        </w:trPr>
        <w:tc>
          <w:tcPr>
            <w:tcW w:w="2493" w:type="pct"/>
          </w:tcPr>
          <w:p w14:paraId="3202C9C9"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9.01 – 14.00</w:t>
            </w:r>
          </w:p>
        </w:tc>
        <w:tc>
          <w:tcPr>
            <w:tcW w:w="2507" w:type="pct"/>
          </w:tcPr>
          <w:p w14:paraId="300401E8"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3.4104 cents per litre</w:t>
            </w:r>
          </w:p>
        </w:tc>
      </w:tr>
      <w:tr w:rsidR="00120717" w:rsidRPr="00B93EE1" w14:paraId="1E278163" w14:textId="77777777" w:rsidTr="00443493">
        <w:tc>
          <w:tcPr>
            <w:tcW w:w="2493" w:type="pct"/>
          </w:tcPr>
          <w:p w14:paraId="7160A0B4"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14.01 – 23.00</w:t>
            </w:r>
          </w:p>
        </w:tc>
        <w:tc>
          <w:tcPr>
            <w:tcW w:w="2507" w:type="pct"/>
          </w:tcPr>
          <w:p w14:paraId="2301FBD9"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5.9181 cents per litre</w:t>
            </w:r>
          </w:p>
        </w:tc>
      </w:tr>
      <w:tr w:rsidR="00120717" w:rsidRPr="00B93EE1" w14:paraId="0B81FEC9" w14:textId="77777777" w:rsidTr="00443493">
        <w:trPr>
          <w:cnfStyle w:val="000000010000" w:firstRow="0" w:lastRow="0" w:firstColumn="0" w:lastColumn="0" w:oddVBand="0" w:evenVBand="0" w:oddHBand="0" w:evenHBand="1" w:firstRowFirstColumn="0" w:firstRowLastColumn="0" w:lastRowFirstColumn="0" w:lastRowLastColumn="0"/>
        </w:trPr>
        <w:tc>
          <w:tcPr>
            <w:tcW w:w="2493" w:type="pct"/>
          </w:tcPr>
          <w:p w14:paraId="6C9B665D"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more than 23.0</w:t>
            </w:r>
          </w:p>
        </w:tc>
        <w:tc>
          <w:tcPr>
            <w:tcW w:w="2507" w:type="pct"/>
          </w:tcPr>
          <w:p w14:paraId="20B2EEDB" w14:textId="77777777" w:rsidR="00120717" w:rsidRPr="00B93EE1" w:rsidRDefault="00120717" w:rsidP="001662B9">
            <w:pPr>
              <w:keepNext/>
              <w:keepLines/>
              <w:jc w:val="center"/>
              <w:rPr>
                <w:rFonts w:eastAsia="Times New Roman"/>
                <w:bCs/>
                <w:sz w:val="16"/>
                <w:szCs w:val="16"/>
              </w:rPr>
            </w:pPr>
            <w:r w:rsidRPr="00B93EE1">
              <w:rPr>
                <w:rFonts w:eastAsia="Times New Roman"/>
                <w:bCs/>
                <w:sz w:val="16"/>
                <w:szCs w:val="16"/>
              </w:rPr>
              <w:t>12.7876 cents per litre</w:t>
            </w:r>
          </w:p>
        </w:tc>
      </w:tr>
    </w:tbl>
    <w:bookmarkEnd w:id="105"/>
    <w:p w14:paraId="1518137A" w14:textId="77777777" w:rsidR="00120717" w:rsidRPr="00B93EE1" w:rsidRDefault="00120717" w:rsidP="00062AA5">
      <w:pPr>
        <w:pStyle w:val="NoteText"/>
        <w:spacing w:before="120" w:after="240"/>
        <w:rPr>
          <w:szCs w:val="18"/>
          <w:lang w:eastAsia="en-GB"/>
        </w:rPr>
      </w:pPr>
      <w:r w:rsidRPr="00B93EE1">
        <w:rPr>
          <w:szCs w:val="18"/>
          <w:lang w:eastAsia="en-GB"/>
        </w:rPr>
        <w:t>Source:</w:t>
      </w:r>
      <w:r w:rsidRPr="00B93EE1">
        <w:rPr>
          <w:szCs w:val="18"/>
          <w:lang w:eastAsia="en-GB"/>
        </w:rPr>
        <w:tab/>
        <w:t>Data provided by the authorities.</w:t>
      </w:r>
    </w:p>
    <w:p w14:paraId="57AFFA79" w14:textId="77777777" w:rsidR="00120717" w:rsidRPr="00F64A35" w:rsidRDefault="00120717" w:rsidP="00137F37">
      <w:pPr>
        <w:pStyle w:val="BodyText"/>
      </w:pPr>
      <w:r w:rsidRPr="00B93EE1">
        <w:t xml:space="preserve">The </w:t>
      </w:r>
      <w:proofErr w:type="spellStart"/>
      <w:r w:rsidRPr="00B93EE1">
        <w:t>MPI</w:t>
      </w:r>
      <w:proofErr w:type="spellEnd"/>
      <w:r w:rsidRPr="00B93EE1">
        <w:t xml:space="preserve"> recovers any additional costs associated with clearing a specific consignment of its biosecurity risk through a number of fixed and variable fees. Most of these fees are based on an hourly rate of NZD 117.61 (GST inclusive) and are specified in the Biosecurity (Costs) Regulations 2010. These services include the testing, treating, and disposing of goods; inspections of offshore craft or shipping containers; and inspections of imported biosecurity risk goods.</w:t>
      </w:r>
    </w:p>
    <w:p w14:paraId="1528D4EB" w14:textId="77777777" w:rsidR="00120717" w:rsidRPr="00F64A35" w:rsidRDefault="00120717" w:rsidP="00E962FF">
      <w:pPr>
        <w:pStyle w:val="Heading4"/>
        <w:numPr>
          <w:ilvl w:val="3"/>
          <w:numId w:val="27"/>
        </w:numPr>
      </w:pPr>
      <w:bookmarkStart w:id="106" w:name="_Toc415735869"/>
      <w:bookmarkStart w:id="107" w:name="_Toc97800143"/>
      <w:r w:rsidRPr="00B93EE1">
        <w:t>Internal taxes</w:t>
      </w:r>
      <w:bookmarkEnd w:id="106"/>
      <w:bookmarkEnd w:id="107"/>
    </w:p>
    <w:p w14:paraId="5A7CF07E" w14:textId="77777777" w:rsidR="00120717" w:rsidRPr="00F64A35" w:rsidRDefault="00120717" w:rsidP="00185006">
      <w:pPr>
        <w:pStyle w:val="BodyText"/>
      </w:pPr>
      <w:r w:rsidRPr="00B93EE1">
        <w:t>The Goods and Services Tax (GST) is governed by the Goods and Services Tax Act 1985. It is a consumption tax, based on the "destination principle", which requires that goods and services are taxed in the country in which they are consumed. Consequently, GST is applied to most imported and locally produced and consumed goods and services. The standard rate of 15% applies to most goods and services. Zero-rated supplies include exports of goods and services, certain business-to-business financial services, and certain supplies of fine metal.</w:t>
      </w:r>
    </w:p>
    <w:p w14:paraId="062309AA" w14:textId="77777777" w:rsidR="00120717" w:rsidRPr="00F64A35" w:rsidRDefault="00120717" w:rsidP="00185006">
      <w:pPr>
        <w:pStyle w:val="BodyText"/>
      </w:pPr>
      <w:r w:rsidRPr="00B93EE1">
        <w:t>Exemptions are regulated in Section 14 of the 1985 Act. They include financial services that are not zero-rated (for example, business-to-consumer financial services), the supply of residential accommodation in a dwelling, and supplies of donated goods and services by non-profit bodies.</w:t>
      </w:r>
    </w:p>
    <w:p w14:paraId="093663DA" w14:textId="77777777" w:rsidR="00120717" w:rsidRPr="00F64A35" w:rsidRDefault="00120717" w:rsidP="00185006">
      <w:pPr>
        <w:pStyle w:val="BodyText"/>
      </w:pPr>
      <w:r w:rsidRPr="00B93EE1">
        <w:t>The taxable value of imported goods is the sum of following amounts:</w:t>
      </w:r>
    </w:p>
    <w:p w14:paraId="06A1524E" w14:textId="77777777" w:rsidR="00120717" w:rsidRPr="00B93EE1" w:rsidRDefault="00120717" w:rsidP="00AF569F">
      <w:pPr>
        <w:pStyle w:val="ListBullet2"/>
        <w:contextualSpacing w:val="0"/>
      </w:pPr>
      <w:r w:rsidRPr="00B93EE1">
        <w:t>The customs value of the goods, determined in accordance with Schedule 4 of the Customs and Excise Act 2018;</w:t>
      </w:r>
    </w:p>
    <w:p w14:paraId="75DF1EF9" w14:textId="77777777" w:rsidR="00120717" w:rsidRPr="00B93EE1" w:rsidRDefault="00120717" w:rsidP="00AF569F">
      <w:pPr>
        <w:pStyle w:val="ListBullet2"/>
        <w:contextualSpacing w:val="0"/>
      </w:pPr>
      <w:r w:rsidRPr="00B93EE1">
        <w:t>Any customs duty payable on the goods under the Customs and Excise Act 2018;</w:t>
      </w:r>
    </w:p>
    <w:p w14:paraId="0BB42FD8" w14:textId="77777777" w:rsidR="00120717" w:rsidRPr="00B93EE1" w:rsidRDefault="00120717" w:rsidP="00AF569F">
      <w:pPr>
        <w:pStyle w:val="ListBullet2"/>
        <w:contextualSpacing w:val="0"/>
      </w:pPr>
      <w:r w:rsidRPr="00B93EE1">
        <w:t>The costs incurred in transporting the goods to New Zealand (including insurance costs); and</w:t>
      </w:r>
    </w:p>
    <w:p w14:paraId="1A9C2ED6" w14:textId="77777777" w:rsidR="00120717" w:rsidRPr="00B93EE1" w:rsidRDefault="00120717" w:rsidP="00AF569F">
      <w:pPr>
        <w:pStyle w:val="ListBullet2"/>
        <w:contextualSpacing w:val="0"/>
      </w:pPr>
      <w:r w:rsidRPr="00B93EE1">
        <w:t>The amount of levy paid or payable on goods under the Climate Change Response Act 2002.</w:t>
      </w:r>
    </w:p>
    <w:p w14:paraId="74BD9883" w14:textId="77777777" w:rsidR="00120717" w:rsidRPr="00F64A35" w:rsidRDefault="00120717" w:rsidP="00185006">
      <w:pPr>
        <w:pStyle w:val="BodyText"/>
      </w:pPr>
      <w:r w:rsidRPr="00B93EE1">
        <w:t>During the review period, new laws and regulations were adopted. These are listed on the Inland Revenue tax policy website, along with links to further information.</w:t>
      </w:r>
      <w:r w:rsidRPr="00B93EE1">
        <w:rPr>
          <w:vertAlign w:val="superscript"/>
        </w:rPr>
        <w:footnoteReference w:id="150"/>
      </w:r>
    </w:p>
    <w:p w14:paraId="2890D273" w14:textId="77777777" w:rsidR="00120717" w:rsidRPr="00B93EE1" w:rsidRDefault="00120717" w:rsidP="005E5ED6">
      <w:pPr>
        <w:pStyle w:val="Heading7"/>
      </w:pPr>
      <w:bookmarkStart w:id="108" w:name="_Toc415735871"/>
      <w:r w:rsidRPr="00B93EE1">
        <w:t>Excise duties</w:t>
      </w:r>
      <w:bookmarkEnd w:id="108"/>
    </w:p>
    <w:p w14:paraId="56E65F2A" w14:textId="77777777" w:rsidR="00120717" w:rsidRPr="00F64A35" w:rsidRDefault="00120717" w:rsidP="00185006">
      <w:pPr>
        <w:pStyle w:val="BodyText"/>
      </w:pPr>
      <w:r w:rsidRPr="00B93EE1">
        <w:t>New Zealand applies excise taxes on imported and locally produced goods made of or containing: (</w:t>
      </w:r>
      <w:proofErr w:type="spellStart"/>
      <w:r w:rsidRPr="00B93EE1">
        <w:t>i</w:t>
      </w:r>
      <w:proofErr w:type="spellEnd"/>
      <w:r w:rsidRPr="00B93EE1">
        <w:t>) alcohol and alcohol products; (ii) tobacco and tobacco products; and (iii) fuels such as motor spirit, compressed natural gas (</w:t>
      </w:r>
      <w:proofErr w:type="spellStart"/>
      <w:r w:rsidRPr="00B93EE1">
        <w:t>CNG</w:t>
      </w:r>
      <w:proofErr w:type="spellEnd"/>
      <w:r w:rsidRPr="00B93EE1">
        <w:t>), and liquefied petroleum gas (LPG).</w:t>
      </w:r>
    </w:p>
    <w:p w14:paraId="5EDDC2D8" w14:textId="77777777" w:rsidR="00120717" w:rsidRPr="00F64A35" w:rsidRDefault="00120717" w:rsidP="00185006">
      <w:pPr>
        <w:pStyle w:val="BodyText"/>
      </w:pPr>
      <w:r w:rsidRPr="00B93EE1">
        <w:t xml:space="preserve">The Excise and Excise-equivalent Duties Table in the Working Tariff Document of </w:t>
      </w:r>
      <w:proofErr w:type="spellStart"/>
      <w:r w:rsidRPr="00B93EE1">
        <w:t>NZCS</w:t>
      </w:r>
      <w:proofErr w:type="spellEnd"/>
      <w:r w:rsidRPr="00B93EE1">
        <w:t xml:space="preserve"> has a full listing and description of all the excisable goods and excise rates.</w:t>
      </w:r>
      <w:r w:rsidRPr="00B93EE1">
        <w:rPr>
          <w:vertAlign w:val="superscript"/>
        </w:rPr>
        <w:footnoteReference w:id="151"/>
      </w:r>
    </w:p>
    <w:p w14:paraId="7C88CA95" w14:textId="77777777" w:rsidR="00120717" w:rsidRPr="00F64A35" w:rsidRDefault="00120717" w:rsidP="00185006">
      <w:pPr>
        <w:pStyle w:val="BodyText"/>
      </w:pPr>
      <w:r w:rsidRPr="00B93EE1">
        <w:t xml:space="preserve">Annual adjustments to the excise and excise-equivalent duty rates on alcohol and tobacco products are based on movements in the "Consumers Price Index, All groups, excluding credit </w:t>
      </w:r>
      <w:r w:rsidRPr="00B93EE1">
        <w:lastRenderedPageBreak/>
        <w:t>services" over the previous 12-month period to the date of adjustment. The latest adjustments took place on 1 July 2021 (alcohol beverages) and 1 January 2021 (tobacco products).</w:t>
      </w:r>
      <w:r w:rsidRPr="00B93EE1">
        <w:rPr>
          <w:rStyle w:val="FootnoteReference"/>
        </w:rPr>
        <w:footnoteReference w:id="152"/>
      </w:r>
    </w:p>
    <w:p w14:paraId="26D0A879" w14:textId="77777777" w:rsidR="00120717" w:rsidRPr="00F64A35" w:rsidRDefault="00120717" w:rsidP="00185006">
      <w:pPr>
        <w:pStyle w:val="Heading3"/>
      </w:pPr>
      <w:bookmarkStart w:id="109" w:name="_Toc415735872"/>
      <w:bookmarkStart w:id="110" w:name="_Toc97800144"/>
      <w:r w:rsidRPr="00B93EE1">
        <w:t>Import prohibitions, restrictions, and licensing</w:t>
      </w:r>
      <w:bookmarkEnd w:id="109"/>
      <w:bookmarkEnd w:id="110"/>
    </w:p>
    <w:p w14:paraId="2DDBE4A1" w14:textId="77777777" w:rsidR="00120717" w:rsidRPr="00F64A35" w:rsidRDefault="00120717" w:rsidP="00185006">
      <w:pPr>
        <w:pStyle w:val="BodyText"/>
      </w:pPr>
      <w:r w:rsidRPr="00B93EE1">
        <w:t xml:space="preserve">Prohibitions and restrictions are now regulated under </w:t>
      </w:r>
      <w:hyperlink r:id="rId33" w:history="1">
        <w:r w:rsidRPr="00B93EE1">
          <w:t>Customs and Excise Act 2018</w:t>
        </w:r>
      </w:hyperlink>
      <w:r w:rsidRPr="00B93EE1">
        <w:t xml:space="preserve">, or legislation administered by the Government department responsible for particular controls. Some prohibitions/restrictions can be waived, subject to prior approval/exemption from relevant Government departments or agencies (e.g. </w:t>
      </w:r>
      <w:proofErr w:type="spellStart"/>
      <w:r w:rsidRPr="00B93EE1">
        <w:t>MPI</w:t>
      </w:r>
      <w:proofErr w:type="spellEnd"/>
      <w:r w:rsidRPr="00B93EE1">
        <w:t xml:space="preserve">, Ministry of Health, Environmental Protection Authority, and Ministry of Foreign Affairs and Trade) prior to importation for the prohibition/restriction to be waived. Some import prohibitions and restrictions are covered by import alerts on the </w:t>
      </w:r>
      <w:proofErr w:type="spellStart"/>
      <w:r w:rsidRPr="00B93EE1">
        <w:t>NZCS</w:t>
      </w:r>
      <w:proofErr w:type="spellEnd"/>
      <w:r w:rsidRPr="00B93EE1">
        <w:t xml:space="preserve"> computerized entry processing system and are subject to electronic compliance checks. These relate to, </w:t>
      </w:r>
      <w:r w:rsidRPr="00B93EE1">
        <w:rPr>
          <w:i/>
          <w:iCs/>
        </w:rPr>
        <w:t>inter alia</w:t>
      </w:r>
      <w:r w:rsidRPr="00B93EE1">
        <w:t xml:space="preserve">, agricultural products, food, chemicals, controlled drugs, explosives, firearms, hazardous waste. A comprehensive list of these products and a description of related procedures are found on the </w:t>
      </w:r>
      <w:proofErr w:type="spellStart"/>
      <w:r w:rsidRPr="00B93EE1">
        <w:t>NZCS</w:t>
      </w:r>
      <w:proofErr w:type="spellEnd"/>
      <w:r w:rsidRPr="00B93EE1">
        <w:t xml:space="preserve"> website.</w:t>
      </w:r>
      <w:r w:rsidRPr="00B93EE1">
        <w:rPr>
          <w:vertAlign w:val="superscript"/>
        </w:rPr>
        <w:footnoteReference w:id="153"/>
      </w:r>
    </w:p>
    <w:p w14:paraId="67DEB094" w14:textId="77777777" w:rsidR="00120717" w:rsidRPr="00F64A35" w:rsidRDefault="00120717" w:rsidP="00185006">
      <w:pPr>
        <w:pStyle w:val="BodyText"/>
      </w:pPr>
      <w:r w:rsidRPr="00B93EE1">
        <w:t>As indicated at the time of its previous Review in 2015, New Zealand notified all of its quantitative restrictions to the WTO in 2014.</w:t>
      </w:r>
      <w:r w:rsidRPr="00B93EE1">
        <w:rPr>
          <w:vertAlign w:val="superscript"/>
        </w:rPr>
        <w:footnoteReference w:id="154"/>
      </w:r>
      <w:r w:rsidRPr="00B93EE1">
        <w:t xml:space="preserve"> New Zealand updated its quantitative restriction notification in 2021.</w:t>
      </w:r>
      <w:r w:rsidRPr="00B93EE1">
        <w:rPr>
          <w:rStyle w:val="FootnoteReference"/>
        </w:rPr>
        <w:footnoteReference w:id="155"/>
      </w:r>
      <w:r w:rsidRPr="00B93EE1">
        <w:t xml:space="preserve"> In accordance with Article 7.3 of the Agreement on Import Licensing Procedures, New Zealand's import licensing procedures are also included in the annual questionnaire submitted to the Committee on Import Licensing. No import licensing, prohibitions, or restrictions, or licensing are operated on commercial grounds.</w:t>
      </w:r>
    </w:p>
    <w:p w14:paraId="65291187" w14:textId="77777777" w:rsidR="00120717" w:rsidRPr="00F64A35" w:rsidRDefault="00120717" w:rsidP="00185006">
      <w:pPr>
        <w:pStyle w:val="BodyText"/>
      </w:pPr>
      <w:r w:rsidRPr="00B93EE1">
        <w:t>The current quantitative restrictions in force are implemented for various purposes, such as protection of public morals, compliance with domestic regulations and international conventions, or protection of public health. They include agricultural products, chemicals, and endangered species, as well as a range of food products.</w:t>
      </w:r>
    </w:p>
    <w:p w14:paraId="73925A3B" w14:textId="77777777" w:rsidR="00120717" w:rsidRPr="00F64A35" w:rsidRDefault="00120717" w:rsidP="00185006">
      <w:pPr>
        <w:pStyle w:val="Heading3"/>
      </w:pPr>
      <w:bookmarkStart w:id="111" w:name="_Toc415735873"/>
      <w:bookmarkStart w:id="112" w:name="_Toc97800145"/>
      <w:r w:rsidRPr="00B93EE1">
        <w:t>Anti-dumping, countervailing, and safeguard measures</w:t>
      </w:r>
      <w:bookmarkEnd w:id="111"/>
      <w:bookmarkEnd w:id="112"/>
    </w:p>
    <w:p w14:paraId="509C82BE" w14:textId="77777777" w:rsidR="00120717" w:rsidRPr="00F64A35" w:rsidRDefault="00120717" w:rsidP="00185006">
      <w:pPr>
        <w:pStyle w:val="BodyText"/>
      </w:pPr>
      <w:r w:rsidRPr="00B93EE1">
        <w:t>On 29 May 2017, the Dumping and Countervailing Duties Act 1988 No. 158 was amended to provide for a public interest assessment in the application of anti-dumping and countervailing duties.</w:t>
      </w:r>
      <w:r w:rsidRPr="00B93EE1">
        <w:rPr>
          <w:vertAlign w:val="superscript"/>
        </w:rPr>
        <w:footnoteReference w:id="156"/>
      </w:r>
      <w:r w:rsidRPr="00B93EE1">
        <w:t xml:space="preserve"> The name of the Act became the Trade (Anti-dumping and Countervailing Duties) Act 1988. Otherwise, no noticeable changes were made during the review period to New Zealand's legislation and institutional framework on anti-dumping, countervailing, and safeguard measures.</w:t>
      </w:r>
    </w:p>
    <w:p w14:paraId="1F508FDD" w14:textId="77777777" w:rsidR="00120717" w:rsidRPr="00F64A35" w:rsidRDefault="00120717" w:rsidP="00185006">
      <w:pPr>
        <w:pStyle w:val="BodyText"/>
      </w:pPr>
      <w:r w:rsidRPr="00B93EE1">
        <w:t>The Trade (Anti-dumping and Countervailing Duties) Act 1988 provides the legal basis for investigating dumping and subsidization, and for the imposition of anti-dumping and countervailing duties in New Zealand. Its main provisions reflect the WTO's Anti-Dumping Agreement and Agreement on Subsidies and Countervailing Measures. The Trade and International team of the Ministry of Business, Innovation and Employment (</w:t>
      </w:r>
      <w:proofErr w:type="spellStart"/>
      <w:r w:rsidRPr="00B93EE1">
        <w:t>MBIE</w:t>
      </w:r>
      <w:proofErr w:type="spellEnd"/>
      <w:r w:rsidRPr="00B93EE1">
        <w:t>) is in charge of the investigation process (acceptance of a complaint by New Zealand producers, initiation of an investigation, and the core investigation process).</w:t>
      </w:r>
    </w:p>
    <w:p w14:paraId="70ABC6C8" w14:textId="77777777" w:rsidR="00120717" w:rsidRPr="00F64A35" w:rsidRDefault="00120717" w:rsidP="00185006">
      <w:pPr>
        <w:pStyle w:val="BodyText"/>
      </w:pPr>
      <w:r w:rsidRPr="00B93EE1">
        <w:t>New Zealand's RTAs also contain anti-dumping and countervailing provisions. Under the Australia-New Zealand Closer Economic Relations Trade Agreement (ANZCERTA) protocol, Australia and New Zealand have agreed to dispense with anti</w:t>
      </w:r>
      <w:r w:rsidRPr="00B93EE1">
        <w:noBreakHyphen/>
        <w:t>dumping action in relation to goods produced in either country. However, countervailing measures may be taken by either country.</w:t>
      </w:r>
    </w:p>
    <w:p w14:paraId="08F5DB06" w14:textId="77777777" w:rsidR="00120717" w:rsidRPr="00F64A35" w:rsidRDefault="00120717" w:rsidP="00185006">
      <w:pPr>
        <w:pStyle w:val="BodyText"/>
      </w:pPr>
      <w:r w:rsidRPr="00B93EE1">
        <w:t xml:space="preserve">Under the New Zealand-Singapore Closer Economic Partnership Agreement, New Zealand and Singapore may take anti-dumping and countervailing action against each other. However, in the </w:t>
      </w:r>
      <w:r w:rsidRPr="00B93EE1">
        <w:lastRenderedPageBreak/>
        <w:t xml:space="preserve">case of anti-dumping, this agreement provides for a higher </w:t>
      </w:r>
      <w:r w:rsidRPr="00B93EE1">
        <w:rPr>
          <w:i/>
        </w:rPr>
        <w:t>de minimis</w:t>
      </w:r>
      <w:r w:rsidRPr="00B93EE1">
        <w:t xml:space="preserve"> dumping margin and a higher "negligible imports" volume threshold. In addition, anti-dumping and countervailing duties will cease after three years unless reviewed, rather than five years as provided for under WTO rules.</w:t>
      </w:r>
    </w:p>
    <w:p w14:paraId="5AE02C1A" w14:textId="77777777" w:rsidR="00120717" w:rsidRPr="00F64A35" w:rsidRDefault="00120717" w:rsidP="00185006">
      <w:pPr>
        <w:pStyle w:val="BodyText"/>
      </w:pPr>
      <w:r w:rsidRPr="00B93EE1">
        <w:t xml:space="preserve">Since the time of the last Review, New Zealand has entered a number of agreements that contain provisions on anti-dumping and countervailing measures. These include the New Zealand-Korea FTA, the </w:t>
      </w:r>
      <w:proofErr w:type="spellStart"/>
      <w:r w:rsidRPr="00B93EE1">
        <w:t>CPTPP</w:t>
      </w:r>
      <w:proofErr w:type="spellEnd"/>
      <w:r w:rsidRPr="00B93EE1">
        <w:t>, the RCEP, and PACER Plus.</w:t>
      </w:r>
    </w:p>
    <w:p w14:paraId="6508C0C1" w14:textId="77777777" w:rsidR="00120717" w:rsidRPr="00F64A35" w:rsidRDefault="00120717" w:rsidP="00185006">
      <w:pPr>
        <w:pStyle w:val="BodyText"/>
      </w:pPr>
      <w:r w:rsidRPr="00B93EE1">
        <w:t>Many of New Zealand's trade agreements contain provisions on anti-dumping and countervailing measures including transparency, notification, and consultation requirements to be followed to ensure greater due process when conducting investigations. Under the trade agreements with Pacific Islands Forum countries and with Canada, there are a number of notification and consultation requirements to be followed, prior to anti-dumping and countervailing actions.</w:t>
      </w:r>
    </w:p>
    <w:p w14:paraId="1BD787C1" w14:textId="77777777" w:rsidR="00120717" w:rsidRPr="00F64A35" w:rsidRDefault="00120717" w:rsidP="00185006">
      <w:pPr>
        <w:pStyle w:val="BodyText"/>
      </w:pPr>
      <w:r w:rsidRPr="00B93EE1">
        <w:t xml:space="preserve">Under PACER Plus, developed country parties shall give special regard to developing country Parties when considering and before making a decision on applying anti-dumping measures. Under the New Zealand-Korea Free Trade Agreement, the Parties agreed to the application of the "lesser duty rule" for the imposition of anti-dumping duties. Under the RCEP agreement, Parties agreed to a range of notification and consultation provisions. The </w:t>
      </w:r>
      <w:proofErr w:type="spellStart"/>
      <w:r w:rsidRPr="00B93EE1">
        <w:t>CPTPP</w:t>
      </w:r>
      <w:proofErr w:type="spellEnd"/>
      <w:r w:rsidRPr="00B93EE1">
        <w:t xml:space="preserve"> agreement contains an annex of best</w:t>
      </w:r>
      <w:r w:rsidRPr="00B93EE1">
        <w:noBreakHyphen/>
        <w:t>practice provisions relating to the conduct of investigations.</w:t>
      </w:r>
    </w:p>
    <w:p w14:paraId="367FB036" w14:textId="77777777" w:rsidR="00120717" w:rsidRPr="00F64A35" w:rsidRDefault="00120717" w:rsidP="00185006">
      <w:pPr>
        <w:pStyle w:val="BodyText"/>
      </w:pPr>
      <w:r w:rsidRPr="00B93EE1">
        <w:t>During the review period, New Zealand initiated and completed several trade remedies investigations (Table 3.7). In addition, there are two products being investigated as at end-2021: aluminium zinc coated steel from the Republic of Korea and Chinese Taipei; and preserved peaches from Spain.</w:t>
      </w:r>
      <w:r w:rsidRPr="00B93EE1">
        <w:rPr>
          <w:rStyle w:val="FootnoteReference"/>
        </w:rPr>
        <w:footnoteReference w:id="157"/>
      </w:r>
    </w:p>
    <w:p w14:paraId="5B97CAD4" w14:textId="3F98D423" w:rsidR="00120717" w:rsidRPr="00B93EE1" w:rsidRDefault="00D37A97" w:rsidP="00364BAC">
      <w:pPr>
        <w:pStyle w:val="Caption"/>
        <w:keepNext w:val="0"/>
      </w:pPr>
      <w:bookmarkStart w:id="113" w:name="_Toc97793393"/>
      <w:r>
        <w:t xml:space="preserve">Table </w:t>
      </w:r>
      <w:r w:rsidR="0012793B">
        <w:fldChar w:fldCharType="begin"/>
      </w:r>
      <w:r w:rsidR="0012793B">
        <w:instrText xml:space="preserve"> 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7</w:t>
      </w:r>
      <w:r w:rsidR="0012793B">
        <w:rPr>
          <w:noProof/>
        </w:rPr>
        <w:fldChar w:fldCharType="end"/>
      </w:r>
      <w:r>
        <w:t xml:space="preserve"> </w:t>
      </w:r>
      <w:r w:rsidR="00120717" w:rsidRPr="00B93EE1">
        <w:t>Trade remedy investigations, 2016-21</w:t>
      </w:r>
      <w:bookmarkEnd w:id="113"/>
    </w:p>
    <w:tbl>
      <w:tblPr>
        <w:tblStyle w:val="WTOTable1"/>
        <w:tblW w:w="9351" w:type="dxa"/>
        <w:tblLayout w:type="fixed"/>
        <w:tblLook w:val="0060" w:firstRow="1" w:lastRow="1" w:firstColumn="0" w:lastColumn="0" w:noHBand="0" w:noVBand="0"/>
      </w:tblPr>
      <w:tblGrid>
        <w:gridCol w:w="704"/>
        <w:gridCol w:w="2268"/>
        <w:gridCol w:w="3260"/>
        <w:gridCol w:w="3119"/>
      </w:tblGrid>
      <w:tr w:rsidR="00120717" w:rsidRPr="00B93EE1" w14:paraId="3C6CAC94" w14:textId="77777777" w:rsidTr="00E06DFD">
        <w:trPr>
          <w:cnfStyle w:val="100000000000" w:firstRow="1" w:lastRow="0" w:firstColumn="0" w:lastColumn="0" w:oddVBand="0" w:evenVBand="0" w:oddHBand="0" w:evenHBand="0" w:firstRowFirstColumn="0" w:firstRowLastColumn="0" w:lastRowFirstColumn="0" w:lastRowLastColumn="0"/>
          <w:tblHeader/>
        </w:trPr>
        <w:tc>
          <w:tcPr>
            <w:tcW w:w="704" w:type="dxa"/>
          </w:tcPr>
          <w:p w14:paraId="694CFE3B"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val="0"/>
                <w:sz w:val="16"/>
              </w:rPr>
            </w:pPr>
            <w:r w:rsidRPr="00B93EE1">
              <w:rPr>
                <w:sz w:val="16"/>
              </w:rPr>
              <w:t>Year</w:t>
            </w:r>
          </w:p>
        </w:tc>
        <w:tc>
          <w:tcPr>
            <w:tcW w:w="2268" w:type="dxa"/>
          </w:tcPr>
          <w:p w14:paraId="49C207C2"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rPr>
            </w:pPr>
            <w:r w:rsidRPr="00B93EE1">
              <w:rPr>
                <w:sz w:val="16"/>
              </w:rPr>
              <w:t>Country</w:t>
            </w:r>
          </w:p>
        </w:tc>
        <w:tc>
          <w:tcPr>
            <w:tcW w:w="3260" w:type="dxa"/>
          </w:tcPr>
          <w:p w14:paraId="33B06DA7"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val="0"/>
                <w:sz w:val="16"/>
              </w:rPr>
            </w:pPr>
            <w:r w:rsidRPr="00B93EE1">
              <w:rPr>
                <w:sz w:val="16"/>
              </w:rPr>
              <w:t>Product</w:t>
            </w:r>
          </w:p>
        </w:tc>
        <w:tc>
          <w:tcPr>
            <w:tcW w:w="3119" w:type="dxa"/>
          </w:tcPr>
          <w:p w14:paraId="126B60C9"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val="0"/>
                <w:sz w:val="16"/>
              </w:rPr>
            </w:pPr>
            <w:r w:rsidRPr="00B93EE1">
              <w:rPr>
                <w:sz w:val="16"/>
              </w:rPr>
              <w:t>Type and duty</w:t>
            </w:r>
          </w:p>
        </w:tc>
      </w:tr>
      <w:tr w:rsidR="00120717" w:rsidRPr="00B93EE1" w14:paraId="580B5A72" w14:textId="77777777" w:rsidTr="00E06DFD">
        <w:tc>
          <w:tcPr>
            <w:tcW w:w="704" w:type="dxa"/>
          </w:tcPr>
          <w:p w14:paraId="30256E07"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2017</w:t>
            </w:r>
          </w:p>
        </w:tc>
        <w:tc>
          <w:tcPr>
            <w:tcW w:w="2268" w:type="dxa"/>
          </w:tcPr>
          <w:p w14:paraId="26FAC83A" w14:textId="77777777" w:rsidR="00120717" w:rsidRPr="00B93EE1" w:rsidRDefault="00120717" w:rsidP="00364BAC">
            <w:pPr>
              <w:jc w:val="left"/>
              <w:rPr>
                <w:sz w:val="16"/>
                <w:szCs w:val="16"/>
              </w:rPr>
            </w:pPr>
            <w:r w:rsidRPr="00B93EE1">
              <w:rPr>
                <w:sz w:val="16"/>
                <w:szCs w:val="16"/>
              </w:rPr>
              <w:t>Spain</w:t>
            </w:r>
          </w:p>
        </w:tc>
        <w:tc>
          <w:tcPr>
            <w:tcW w:w="3260" w:type="dxa"/>
          </w:tcPr>
          <w:p w14:paraId="7DE0300F" w14:textId="77777777" w:rsidR="00120717" w:rsidRPr="00B93EE1" w:rsidRDefault="00120717" w:rsidP="00364BAC">
            <w:pPr>
              <w:jc w:val="left"/>
              <w:rPr>
                <w:sz w:val="16"/>
                <w:szCs w:val="16"/>
              </w:rPr>
            </w:pPr>
            <w:r w:rsidRPr="00B93EE1">
              <w:rPr>
                <w:sz w:val="16"/>
                <w:szCs w:val="16"/>
              </w:rPr>
              <w:t>Preserved peaches</w:t>
            </w:r>
          </w:p>
        </w:tc>
        <w:tc>
          <w:tcPr>
            <w:tcW w:w="3119" w:type="dxa"/>
          </w:tcPr>
          <w:p w14:paraId="1CA0AB3C" w14:textId="77777777" w:rsidR="00120717" w:rsidRPr="00B93EE1" w:rsidRDefault="00120717" w:rsidP="00364BAC">
            <w:pPr>
              <w:jc w:val="left"/>
              <w:rPr>
                <w:sz w:val="16"/>
                <w:szCs w:val="16"/>
              </w:rPr>
            </w:pPr>
            <w:r w:rsidRPr="00B93EE1">
              <w:rPr>
                <w:sz w:val="16"/>
                <w:szCs w:val="16"/>
              </w:rPr>
              <w:t>AD review investigation</w:t>
            </w:r>
          </w:p>
          <w:p w14:paraId="5AD5D2F8" w14:textId="77777777" w:rsidR="00120717" w:rsidRPr="00B93EE1" w:rsidRDefault="00120717" w:rsidP="00364BAC">
            <w:pPr>
              <w:jc w:val="left"/>
              <w:rPr>
                <w:sz w:val="16"/>
                <w:szCs w:val="16"/>
              </w:rPr>
            </w:pPr>
            <w:r w:rsidRPr="00B93EE1">
              <w:rPr>
                <w:sz w:val="16"/>
                <w:szCs w:val="16"/>
              </w:rPr>
              <w:t>Duties ended 23 February 2017</w:t>
            </w:r>
          </w:p>
        </w:tc>
      </w:tr>
      <w:tr w:rsidR="00120717" w:rsidRPr="00B93EE1" w14:paraId="2FF9EE33" w14:textId="77777777" w:rsidTr="00E06DFD">
        <w:trPr>
          <w:cnfStyle w:val="000000010000" w:firstRow="0" w:lastRow="0" w:firstColumn="0" w:lastColumn="0" w:oddVBand="0" w:evenVBand="0" w:oddHBand="0" w:evenHBand="1" w:firstRowFirstColumn="0" w:firstRowLastColumn="0" w:lastRowFirstColumn="0" w:lastRowLastColumn="0"/>
        </w:trPr>
        <w:tc>
          <w:tcPr>
            <w:tcW w:w="704" w:type="dxa"/>
          </w:tcPr>
          <w:p w14:paraId="4699A5E6"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2017</w:t>
            </w:r>
          </w:p>
        </w:tc>
        <w:tc>
          <w:tcPr>
            <w:tcW w:w="2268" w:type="dxa"/>
          </w:tcPr>
          <w:p w14:paraId="0F7E4445" w14:textId="77777777" w:rsidR="00120717" w:rsidRPr="00B93EE1" w:rsidRDefault="00120717" w:rsidP="00364BAC">
            <w:pPr>
              <w:jc w:val="left"/>
              <w:rPr>
                <w:sz w:val="16"/>
                <w:szCs w:val="16"/>
              </w:rPr>
            </w:pPr>
            <w:r w:rsidRPr="00B93EE1">
              <w:rPr>
                <w:sz w:val="16"/>
                <w:szCs w:val="16"/>
              </w:rPr>
              <w:t>China</w:t>
            </w:r>
          </w:p>
        </w:tc>
        <w:tc>
          <w:tcPr>
            <w:tcW w:w="3260" w:type="dxa"/>
          </w:tcPr>
          <w:p w14:paraId="7A0DCB20" w14:textId="77777777" w:rsidR="00120717" w:rsidRPr="00B93EE1" w:rsidRDefault="00120717" w:rsidP="00364BAC">
            <w:pPr>
              <w:jc w:val="left"/>
              <w:rPr>
                <w:sz w:val="16"/>
                <w:szCs w:val="16"/>
              </w:rPr>
            </w:pPr>
            <w:r w:rsidRPr="00B93EE1">
              <w:rPr>
                <w:sz w:val="16"/>
                <w:szCs w:val="16"/>
              </w:rPr>
              <w:t>Galvanized steel coil</w:t>
            </w:r>
          </w:p>
        </w:tc>
        <w:tc>
          <w:tcPr>
            <w:tcW w:w="3119" w:type="dxa"/>
          </w:tcPr>
          <w:p w14:paraId="7E369670" w14:textId="77777777" w:rsidR="00120717" w:rsidRPr="00B93EE1" w:rsidRDefault="00120717" w:rsidP="00364BAC">
            <w:pPr>
              <w:jc w:val="left"/>
              <w:rPr>
                <w:sz w:val="16"/>
                <w:szCs w:val="16"/>
              </w:rPr>
            </w:pPr>
            <w:r w:rsidRPr="00B93EE1">
              <w:rPr>
                <w:sz w:val="16"/>
                <w:szCs w:val="16"/>
              </w:rPr>
              <w:t>Subsidy investigation</w:t>
            </w:r>
          </w:p>
          <w:p w14:paraId="0F3644CC" w14:textId="77777777" w:rsidR="00120717" w:rsidRPr="00B93EE1" w:rsidRDefault="00120717" w:rsidP="00364BAC">
            <w:pPr>
              <w:jc w:val="left"/>
              <w:rPr>
                <w:sz w:val="16"/>
                <w:szCs w:val="16"/>
              </w:rPr>
            </w:pPr>
            <w:r w:rsidRPr="00B93EE1">
              <w:rPr>
                <w:sz w:val="16"/>
                <w:szCs w:val="16"/>
              </w:rPr>
              <w:t>No duty applied</w:t>
            </w:r>
          </w:p>
        </w:tc>
      </w:tr>
      <w:tr w:rsidR="00120717" w:rsidRPr="00B93EE1" w14:paraId="14A23092" w14:textId="77777777" w:rsidTr="00E06DFD">
        <w:tc>
          <w:tcPr>
            <w:tcW w:w="704" w:type="dxa"/>
          </w:tcPr>
          <w:p w14:paraId="2233D4D3"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2017</w:t>
            </w:r>
          </w:p>
        </w:tc>
        <w:tc>
          <w:tcPr>
            <w:tcW w:w="2268" w:type="dxa"/>
          </w:tcPr>
          <w:p w14:paraId="39786244" w14:textId="77777777" w:rsidR="00120717" w:rsidRPr="00B93EE1" w:rsidRDefault="00120717" w:rsidP="00364BAC">
            <w:pPr>
              <w:jc w:val="left"/>
              <w:rPr>
                <w:sz w:val="16"/>
                <w:szCs w:val="16"/>
              </w:rPr>
            </w:pPr>
            <w:r w:rsidRPr="00B93EE1">
              <w:rPr>
                <w:sz w:val="16"/>
                <w:szCs w:val="16"/>
              </w:rPr>
              <w:t>China</w:t>
            </w:r>
          </w:p>
        </w:tc>
        <w:tc>
          <w:tcPr>
            <w:tcW w:w="3260" w:type="dxa"/>
          </w:tcPr>
          <w:p w14:paraId="5A5EACB5" w14:textId="77777777" w:rsidR="00120717" w:rsidRPr="00B93EE1" w:rsidRDefault="00120717" w:rsidP="00364BAC">
            <w:pPr>
              <w:jc w:val="left"/>
              <w:rPr>
                <w:sz w:val="16"/>
                <w:szCs w:val="16"/>
              </w:rPr>
            </w:pPr>
            <w:r w:rsidRPr="00B93EE1">
              <w:rPr>
                <w:sz w:val="16"/>
                <w:szCs w:val="16"/>
              </w:rPr>
              <w:t>Peaches in preserving liquid</w:t>
            </w:r>
          </w:p>
        </w:tc>
        <w:tc>
          <w:tcPr>
            <w:tcW w:w="3119" w:type="dxa"/>
          </w:tcPr>
          <w:p w14:paraId="7D148C11" w14:textId="77777777" w:rsidR="00120717" w:rsidRPr="00B93EE1" w:rsidRDefault="00120717" w:rsidP="00364BAC">
            <w:pPr>
              <w:jc w:val="left"/>
              <w:rPr>
                <w:sz w:val="16"/>
                <w:szCs w:val="16"/>
              </w:rPr>
            </w:pPr>
            <w:r w:rsidRPr="00B93EE1">
              <w:rPr>
                <w:sz w:val="16"/>
                <w:szCs w:val="16"/>
              </w:rPr>
              <w:t>Review of AD duties</w:t>
            </w:r>
          </w:p>
          <w:p w14:paraId="184E7318" w14:textId="77777777" w:rsidR="00120717" w:rsidRPr="00B93EE1" w:rsidRDefault="00120717" w:rsidP="00364BAC">
            <w:pPr>
              <w:jc w:val="left"/>
              <w:rPr>
                <w:sz w:val="16"/>
                <w:szCs w:val="16"/>
              </w:rPr>
            </w:pPr>
            <w:r w:rsidRPr="00B93EE1">
              <w:rPr>
                <w:sz w:val="16"/>
                <w:szCs w:val="16"/>
              </w:rPr>
              <w:t>Duties ended 17 July 2017</w:t>
            </w:r>
          </w:p>
        </w:tc>
      </w:tr>
      <w:tr w:rsidR="00120717" w:rsidRPr="00B93EE1" w14:paraId="27FFC4AD" w14:textId="77777777" w:rsidTr="00E06DFD">
        <w:trPr>
          <w:cnfStyle w:val="000000010000" w:firstRow="0" w:lastRow="0" w:firstColumn="0" w:lastColumn="0" w:oddVBand="0" w:evenVBand="0" w:oddHBand="0" w:evenHBand="1" w:firstRowFirstColumn="0" w:firstRowLastColumn="0" w:lastRowFirstColumn="0" w:lastRowLastColumn="0"/>
        </w:trPr>
        <w:tc>
          <w:tcPr>
            <w:tcW w:w="704" w:type="dxa"/>
          </w:tcPr>
          <w:p w14:paraId="2D2E0424"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2018</w:t>
            </w:r>
          </w:p>
        </w:tc>
        <w:tc>
          <w:tcPr>
            <w:tcW w:w="2268" w:type="dxa"/>
          </w:tcPr>
          <w:p w14:paraId="5961AE45" w14:textId="77777777" w:rsidR="00120717" w:rsidRPr="00B93EE1" w:rsidRDefault="00120717" w:rsidP="00364BAC">
            <w:pPr>
              <w:jc w:val="left"/>
              <w:rPr>
                <w:sz w:val="16"/>
                <w:szCs w:val="16"/>
              </w:rPr>
            </w:pPr>
            <w:r w:rsidRPr="00B93EE1">
              <w:rPr>
                <w:sz w:val="16"/>
                <w:szCs w:val="16"/>
              </w:rPr>
              <w:t>China</w:t>
            </w:r>
          </w:p>
        </w:tc>
        <w:tc>
          <w:tcPr>
            <w:tcW w:w="3260" w:type="dxa"/>
          </w:tcPr>
          <w:p w14:paraId="13677B10" w14:textId="77777777" w:rsidR="00120717" w:rsidRPr="00B93EE1" w:rsidRDefault="00120717" w:rsidP="00364BAC">
            <w:pPr>
              <w:jc w:val="left"/>
              <w:rPr>
                <w:sz w:val="16"/>
                <w:szCs w:val="16"/>
              </w:rPr>
            </w:pPr>
            <w:r w:rsidRPr="00B93EE1">
              <w:rPr>
                <w:sz w:val="16"/>
                <w:szCs w:val="16"/>
              </w:rPr>
              <w:t>Reinforcing steel bar and coil</w:t>
            </w:r>
          </w:p>
        </w:tc>
        <w:tc>
          <w:tcPr>
            <w:tcW w:w="3119" w:type="dxa"/>
          </w:tcPr>
          <w:p w14:paraId="03E8E12B" w14:textId="77777777" w:rsidR="00120717" w:rsidRPr="00B93EE1" w:rsidRDefault="00120717" w:rsidP="00364BAC">
            <w:pPr>
              <w:jc w:val="left"/>
              <w:rPr>
                <w:sz w:val="16"/>
                <w:szCs w:val="16"/>
              </w:rPr>
            </w:pPr>
            <w:r w:rsidRPr="00B93EE1">
              <w:rPr>
                <w:sz w:val="16"/>
                <w:szCs w:val="16"/>
              </w:rPr>
              <w:t>Subsidy investigation</w:t>
            </w:r>
          </w:p>
          <w:p w14:paraId="1812E59F" w14:textId="77777777" w:rsidR="00120717" w:rsidRPr="00B93EE1" w:rsidRDefault="00120717" w:rsidP="00364BAC">
            <w:pPr>
              <w:jc w:val="left"/>
              <w:rPr>
                <w:sz w:val="16"/>
                <w:szCs w:val="16"/>
              </w:rPr>
            </w:pPr>
            <w:r w:rsidRPr="00B93EE1">
              <w:rPr>
                <w:sz w:val="16"/>
                <w:szCs w:val="16"/>
              </w:rPr>
              <w:t>No duty applied</w:t>
            </w:r>
          </w:p>
        </w:tc>
      </w:tr>
      <w:tr w:rsidR="00120717" w:rsidRPr="00B93EE1" w14:paraId="7CA32FD7" w14:textId="77777777" w:rsidTr="00E06DFD">
        <w:tc>
          <w:tcPr>
            <w:tcW w:w="704" w:type="dxa"/>
          </w:tcPr>
          <w:p w14:paraId="1A28F85E"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2018</w:t>
            </w:r>
          </w:p>
        </w:tc>
        <w:tc>
          <w:tcPr>
            <w:tcW w:w="2268" w:type="dxa"/>
          </w:tcPr>
          <w:p w14:paraId="30CCE79F" w14:textId="77777777" w:rsidR="00120717" w:rsidRPr="00B93EE1" w:rsidRDefault="00120717" w:rsidP="00364BAC">
            <w:pPr>
              <w:jc w:val="left"/>
              <w:rPr>
                <w:sz w:val="16"/>
                <w:szCs w:val="16"/>
              </w:rPr>
            </w:pPr>
            <w:r w:rsidRPr="00B93EE1">
              <w:rPr>
                <w:sz w:val="16"/>
                <w:szCs w:val="16"/>
              </w:rPr>
              <w:t>China and Malaysia</w:t>
            </w:r>
          </w:p>
        </w:tc>
        <w:tc>
          <w:tcPr>
            <w:tcW w:w="3260" w:type="dxa"/>
          </w:tcPr>
          <w:p w14:paraId="3FDE7E73" w14:textId="77777777" w:rsidR="00120717" w:rsidRPr="00B93EE1" w:rsidRDefault="00120717" w:rsidP="00364BAC">
            <w:pPr>
              <w:jc w:val="left"/>
              <w:rPr>
                <w:sz w:val="16"/>
                <w:szCs w:val="16"/>
              </w:rPr>
            </w:pPr>
            <w:r w:rsidRPr="00B93EE1">
              <w:rPr>
                <w:sz w:val="16"/>
                <w:szCs w:val="16"/>
              </w:rPr>
              <w:t>Reinforcing steel bar and coil</w:t>
            </w:r>
          </w:p>
        </w:tc>
        <w:tc>
          <w:tcPr>
            <w:tcW w:w="3119" w:type="dxa"/>
          </w:tcPr>
          <w:p w14:paraId="55A5EAC0" w14:textId="77777777" w:rsidR="00120717" w:rsidRPr="00B93EE1" w:rsidRDefault="00120717" w:rsidP="00364BAC">
            <w:pPr>
              <w:jc w:val="left"/>
              <w:rPr>
                <w:sz w:val="16"/>
                <w:szCs w:val="16"/>
              </w:rPr>
            </w:pPr>
            <w:r w:rsidRPr="00B93EE1">
              <w:rPr>
                <w:sz w:val="16"/>
                <w:szCs w:val="16"/>
              </w:rPr>
              <w:t>Dumping investigation</w:t>
            </w:r>
          </w:p>
          <w:p w14:paraId="592BB3F2" w14:textId="77777777" w:rsidR="00120717" w:rsidRPr="00B93EE1" w:rsidRDefault="00120717" w:rsidP="00364BAC">
            <w:pPr>
              <w:jc w:val="left"/>
              <w:rPr>
                <w:sz w:val="16"/>
                <w:szCs w:val="16"/>
              </w:rPr>
            </w:pPr>
            <w:r w:rsidRPr="00B93EE1">
              <w:rPr>
                <w:sz w:val="16"/>
                <w:szCs w:val="16"/>
              </w:rPr>
              <w:t>No duty applied</w:t>
            </w:r>
          </w:p>
        </w:tc>
      </w:tr>
      <w:tr w:rsidR="00120717" w:rsidRPr="00B93EE1" w14:paraId="7F27148F" w14:textId="77777777" w:rsidTr="00E06DFD">
        <w:trPr>
          <w:cnfStyle w:val="000000010000" w:firstRow="0" w:lastRow="0" w:firstColumn="0" w:lastColumn="0" w:oddVBand="0" w:evenVBand="0" w:oddHBand="0" w:evenHBand="1" w:firstRowFirstColumn="0" w:firstRowLastColumn="0" w:lastRowFirstColumn="0" w:lastRowLastColumn="0"/>
        </w:trPr>
        <w:tc>
          <w:tcPr>
            <w:tcW w:w="704" w:type="dxa"/>
          </w:tcPr>
          <w:p w14:paraId="1B6F3EA6"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2018</w:t>
            </w:r>
          </w:p>
        </w:tc>
        <w:tc>
          <w:tcPr>
            <w:tcW w:w="2268" w:type="dxa"/>
          </w:tcPr>
          <w:p w14:paraId="15C31D61" w14:textId="77777777" w:rsidR="00120717" w:rsidRPr="00B93EE1" w:rsidRDefault="00120717" w:rsidP="00364BAC">
            <w:pPr>
              <w:jc w:val="left"/>
              <w:rPr>
                <w:sz w:val="16"/>
                <w:szCs w:val="16"/>
              </w:rPr>
            </w:pPr>
            <w:r w:rsidRPr="00B93EE1">
              <w:rPr>
                <w:sz w:val="16"/>
                <w:szCs w:val="16"/>
              </w:rPr>
              <w:t>China and Malaysia</w:t>
            </w:r>
          </w:p>
        </w:tc>
        <w:tc>
          <w:tcPr>
            <w:tcW w:w="3260" w:type="dxa"/>
          </w:tcPr>
          <w:p w14:paraId="794AD91E" w14:textId="77777777" w:rsidR="00120717" w:rsidRPr="00B93EE1" w:rsidRDefault="00120717" w:rsidP="00364BAC">
            <w:pPr>
              <w:jc w:val="left"/>
              <w:rPr>
                <w:sz w:val="16"/>
                <w:szCs w:val="16"/>
              </w:rPr>
            </w:pPr>
            <w:r w:rsidRPr="00B93EE1">
              <w:rPr>
                <w:sz w:val="16"/>
                <w:szCs w:val="16"/>
              </w:rPr>
              <w:t>Certain hollow steel sections</w:t>
            </w:r>
          </w:p>
        </w:tc>
        <w:tc>
          <w:tcPr>
            <w:tcW w:w="3119" w:type="dxa"/>
          </w:tcPr>
          <w:p w14:paraId="47784DA8" w14:textId="77777777" w:rsidR="00120717" w:rsidRPr="00B93EE1" w:rsidRDefault="00120717" w:rsidP="00364BAC">
            <w:pPr>
              <w:jc w:val="left"/>
              <w:rPr>
                <w:sz w:val="16"/>
                <w:szCs w:val="16"/>
              </w:rPr>
            </w:pPr>
            <w:r w:rsidRPr="00B93EE1">
              <w:rPr>
                <w:sz w:val="16"/>
                <w:szCs w:val="16"/>
              </w:rPr>
              <w:t>Dumping investigation</w:t>
            </w:r>
          </w:p>
          <w:p w14:paraId="6D480650" w14:textId="77777777" w:rsidR="00120717" w:rsidRPr="00B93EE1" w:rsidRDefault="00120717" w:rsidP="00364BAC">
            <w:pPr>
              <w:jc w:val="left"/>
              <w:rPr>
                <w:sz w:val="16"/>
                <w:szCs w:val="16"/>
              </w:rPr>
            </w:pPr>
            <w:r w:rsidRPr="00B93EE1">
              <w:rPr>
                <w:sz w:val="16"/>
                <w:szCs w:val="16"/>
              </w:rPr>
              <w:t>No duty applied</w:t>
            </w:r>
          </w:p>
        </w:tc>
      </w:tr>
      <w:tr w:rsidR="00120717" w:rsidRPr="00B93EE1" w14:paraId="6D32EA74" w14:textId="77777777" w:rsidTr="00156651">
        <w:trPr>
          <w:trHeight w:val="399"/>
        </w:trPr>
        <w:tc>
          <w:tcPr>
            <w:tcW w:w="704" w:type="dxa"/>
          </w:tcPr>
          <w:p w14:paraId="194CA890"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2019</w:t>
            </w:r>
          </w:p>
        </w:tc>
        <w:tc>
          <w:tcPr>
            <w:tcW w:w="2268" w:type="dxa"/>
          </w:tcPr>
          <w:p w14:paraId="2CEB6478" w14:textId="77777777" w:rsidR="00120717" w:rsidRPr="00B93EE1" w:rsidRDefault="00120717" w:rsidP="00364BAC">
            <w:pPr>
              <w:jc w:val="left"/>
              <w:rPr>
                <w:sz w:val="16"/>
                <w:szCs w:val="16"/>
              </w:rPr>
            </w:pPr>
            <w:r w:rsidRPr="00B93EE1">
              <w:rPr>
                <w:sz w:val="16"/>
                <w:szCs w:val="16"/>
              </w:rPr>
              <w:t>China</w:t>
            </w:r>
          </w:p>
        </w:tc>
        <w:tc>
          <w:tcPr>
            <w:tcW w:w="3260" w:type="dxa"/>
          </w:tcPr>
          <w:p w14:paraId="5D7A265C" w14:textId="77777777" w:rsidR="00120717" w:rsidRPr="00B93EE1" w:rsidRDefault="00120717" w:rsidP="00364BAC">
            <w:pPr>
              <w:jc w:val="left"/>
              <w:rPr>
                <w:sz w:val="16"/>
                <w:szCs w:val="16"/>
              </w:rPr>
            </w:pPr>
            <w:r w:rsidRPr="00B93EE1">
              <w:rPr>
                <w:sz w:val="16"/>
                <w:szCs w:val="16"/>
              </w:rPr>
              <w:t>Certain hollow steel sections</w:t>
            </w:r>
          </w:p>
        </w:tc>
        <w:tc>
          <w:tcPr>
            <w:tcW w:w="3119" w:type="dxa"/>
          </w:tcPr>
          <w:p w14:paraId="321E7E4D" w14:textId="77777777" w:rsidR="00120717" w:rsidRPr="00B93EE1" w:rsidRDefault="00120717" w:rsidP="00364BAC">
            <w:pPr>
              <w:jc w:val="left"/>
              <w:rPr>
                <w:sz w:val="16"/>
                <w:szCs w:val="16"/>
              </w:rPr>
            </w:pPr>
            <w:r w:rsidRPr="00B93EE1">
              <w:rPr>
                <w:sz w:val="16"/>
                <w:szCs w:val="16"/>
              </w:rPr>
              <w:t>Subsidy investigation</w:t>
            </w:r>
          </w:p>
          <w:p w14:paraId="56E01282" w14:textId="77777777" w:rsidR="00120717" w:rsidRPr="00B93EE1" w:rsidRDefault="00120717" w:rsidP="00364BAC">
            <w:pPr>
              <w:jc w:val="left"/>
              <w:rPr>
                <w:sz w:val="16"/>
                <w:szCs w:val="16"/>
              </w:rPr>
            </w:pPr>
            <w:r w:rsidRPr="00B93EE1">
              <w:rPr>
                <w:sz w:val="16"/>
                <w:szCs w:val="16"/>
              </w:rPr>
              <w:t>No duty applied</w:t>
            </w:r>
          </w:p>
        </w:tc>
      </w:tr>
      <w:tr w:rsidR="00120717" w:rsidRPr="00B93EE1" w14:paraId="3C71671F" w14:textId="77777777" w:rsidTr="00E06DFD">
        <w:trPr>
          <w:cnfStyle w:val="000000010000" w:firstRow="0" w:lastRow="0" w:firstColumn="0" w:lastColumn="0" w:oddVBand="0" w:evenVBand="0" w:oddHBand="0" w:evenHBand="1" w:firstRowFirstColumn="0" w:firstRowLastColumn="0" w:lastRowFirstColumn="0" w:lastRowLastColumn="0"/>
        </w:trPr>
        <w:tc>
          <w:tcPr>
            <w:tcW w:w="704" w:type="dxa"/>
          </w:tcPr>
          <w:p w14:paraId="55594D30"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2019</w:t>
            </w:r>
          </w:p>
        </w:tc>
        <w:tc>
          <w:tcPr>
            <w:tcW w:w="2268" w:type="dxa"/>
          </w:tcPr>
          <w:p w14:paraId="5DF31DC0" w14:textId="77777777" w:rsidR="00120717" w:rsidRPr="00B93EE1" w:rsidRDefault="00120717" w:rsidP="00364BAC">
            <w:pPr>
              <w:jc w:val="left"/>
              <w:rPr>
                <w:sz w:val="16"/>
                <w:szCs w:val="16"/>
              </w:rPr>
            </w:pPr>
            <w:r w:rsidRPr="00B93EE1">
              <w:rPr>
                <w:sz w:val="16"/>
                <w:szCs w:val="16"/>
              </w:rPr>
              <w:t>China</w:t>
            </w:r>
          </w:p>
        </w:tc>
        <w:tc>
          <w:tcPr>
            <w:tcW w:w="3260" w:type="dxa"/>
          </w:tcPr>
          <w:p w14:paraId="52C93D7E" w14:textId="77777777" w:rsidR="00120717" w:rsidRPr="00B93EE1" w:rsidRDefault="00120717" w:rsidP="00364BAC">
            <w:pPr>
              <w:jc w:val="left"/>
              <w:rPr>
                <w:sz w:val="16"/>
                <w:szCs w:val="16"/>
              </w:rPr>
            </w:pPr>
            <w:r w:rsidRPr="00B93EE1">
              <w:rPr>
                <w:sz w:val="16"/>
                <w:szCs w:val="16"/>
              </w:rPr>
              <w:t>Galvanized steel coil</w:t>
            </w:r>
          </w:p>
        </w:tc>
        <w:tc>
          <w:tcPr>
            <w:tcW w:w="3119" w:type="dxa"/>
          </w:tcPr>
          <w:p w14:paraId="0D48F673" w14:textId="77777777" w:rsidR="00120717" w:rsidRPr="00B93EE1" w:rsidRDefault="00120717" w:rsidP="00364BAC">
            <w:pPr>
              <w:jc w:val="left"/>
              <w:rPr>
                <w:sz w:val="16"/>
                <w:szCs w:val="16"/>
              </w:rPr>
            </w:pPr>
            <w:r w:rsidRPr="00B93EE1">
              <w:rPr>
                <w:sz w:val="16"/>
                <w:szCs w:val="16"/>
              </w:rPr>
              <w:t>Subsidy reconsideration</w:t>
            </w:r>
          </w:p>
          <w:p w14:paraId="43234DED" w14:textId="77777777" w:rsidR="00120717" w:rsidRPr="00B93EE1" w:rsidRDefault="00120717" w:rsidP="00364BAC">
            <w:pPr>
              <w:jc w:val="left"/>
              <w:rPr>
                <w:sz w:val="16"/>
                <w:szCs w:val="16"/>
              </w:rPr>
            </w:pPr>
            <w:r w:rsidRPr="00B93EE1">
              <w:rPr>
                <w:sz w:val="16"/>
                <w:szCs w:val="16"/>
              </w:rPr>
              <w:t>No duty applied</w:t>
            </w:r>
          </w:p>
        </w:tc>
      </w:tr>
      <w:tr w:rsidR="00120717" w:rsidRPr="00B93EE1" w14:paraId="6DB9A70B" w14:textId="77777777" w:rsidTr="00DB2107">
        <w:trPr>
          <w:trHeight w:val="399"/>
        </w:trPr>
        <w:tc>
          <w:tcPr>
            <w:tcW w:w="704" w:type="dxa"/>
          </w:tcPr>
          <w:p w14:paraId="658DEAEC"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2019</w:t>
            </w:r>
          </w:p>
        </w:tc>
        <w:tc>
          <w:tcPr>
            <w:tcW w:w="2268" w:type="dxa"/>
          </w:tcPr>
          <w:p w14:paraId="107A57B3" w14:textId="77777777" w:rsidR="00120717" w:rsidRPr="00B93EE1" w:rsidRDefault="00120717" w:rsidP="00364BAC">
            <w:pPr>
              <w:jc w:val="left"/>
              <w:rPr>
                <w:sz w:val="16"/>
                <w:szCs w:val="16"/>
              </w:rPr>
            </w:pPr>
            <w:r w:rsidRPr="00B93EE1">
              <w:rPr>
                <w:sz w:val="16"/>
                <w:szCs w:val="16"/>
              </w:rPr>
              <w:t>Spain</w:t>
            </w:r>
          </w:p>
        </w:tc>
        <w:tc>
          <w:tcPr>
            <w:tcW w:w="3260" w:type="dxa"/>
          </w:tcPr>
          <w:p w14:paraId="40831A16" w14:textId="77777777" w:rsidR="00120717" w:rsidRPr="00B93EE1" w:rsidRDefault="00120717" w:rsidP="00364BAC">
            <w:pPr>
              <w:jc w:val="left"/>
              <w:rPr>
                <w:sz w:val="16"/>
                <w:szCs w:val="16"/>
              </w:rPr>
            </w:pPr>
            <w:r w:rsidRPr="00B93EE1">
              <w:rPr>
                <w:sz w:val="16"/>
                <w:szCs w:val="16"/>
              </w:rPr>
              <w:t>Preserved peaches</w:t>
            </w:r>
          </w:p>
        </w:tc>
        <w:tc>
          <w:tcPr>
            <w:tcW w:w="3119" w:type="dxa"/>
          </w:tcPr>
          <w:p w14:paraId="008C9058" w14:textId="77777777" w:rsidR="00120717" w:rsidRPr="00B93EE1" w:rsidRDefault="00120717" w:rsidP="00364BAC">
            <w:pPr>
              <w:jc w:val="left"/>
              <w:rPr>
                <w:sz w:val="16"/>
                <w:szCs w:val="16"/>
              </w:rPr>
            </w:pPr>
            <w:r w:rsidRPr="00B93EE1">
              <w:rPr>
                <w:sz w:val="16"/>
                <w:szCs w:val="16"/>
              </w:rPr>
              <w:t>Dumping reconsideration of review</w:t>
            </w:r>
          </w:p>
          <w:p w14:paraId="2B8A24FC" w14:textId="77777777" w:rsidR="00120717" w:rsidRPr="00B93EE1" w:rsidRDefault="00120717" w:rsidP="00364BAC">
            <w:pPr>
              <w:jc w:val="left"/>
              <w:rPr>
                <w:sz w:val="16"/>
                <w:szCs w:val="16"/>
              </w:rPr>
            </w:pPr>
            <w:r w:rsidRPr="00B93EE1">
              <w:rPr>
                <w:sz w:val="16"/>
                <w:szCs w:val="16"/>
              </w:rPr>
              <w:t>Reassessed duties applied</w:t>
            </w:r>
          </w:p>
        </w:tc>
      </w:tr>
      <w:tr w:rsidR="00120717" w:rsidRPr="00B93EE1" w14:paraId="3F83935A" w14:textId="77777777" w:rsidTr="001A23F3">
        <w:trPr>
          <w:cnfStyle w:val="000000010000" w:firstRow="0" w:lastRow="0" w:firstColumn="0" w:lastColumn="0" w:oddVBand="0" w:evenVBand="0" w:oddHBand="0" w:evenHBand="1" w:firstRowFirstColumn="0" w:firstRowLastColumn="0" w:lastRowFirstColumn="0" w:lastRowLastColumn="0"/>
          <w:trHeight w:val="399"/>
        </w:trPr>
        <w:tc>
          <w:tcPr>
            <w:tcW w:w="704" w:type="dxa"/>
          </w:tcPr>
          <w:p w14:paraId="064A51FD"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2019</w:t>
            </w:r>
          </w:p>
        </w:tc>
        <w:tc>
          <w:tcPr>
            <w:tcW w:w="2268" w:type="dxa"/>
          </w:tcPr>
          <w:p w14:paraId="6C3811E0" w14:textId="77777777" w:rsidR="00120717" w:rsidRPr="00B93EE1" w:rsidRDefault="00120717" w:rsidP="00364BAC">
            <w:pPr>
              <w:jc w:val="left"/>
              <w:rPr>
                <w:sz w:val="16"/>
                <w:szCs w:val="16"/>
              </w:rPr>
            </w:pPr>
            <w:r w:rsidRPr="00B93EE1">
              <w:rPr>
                <w:sz w:val="16"/>
                <w:szCs w:val="16"/>
              </w:rPr>
              <w:t>China</w:t>
            </w:r>
          </w:p>
        </w:tc>
        <w:tc>
          <w:tcPr>
            <w:tcW w:w="3260" w:type="dxa"/>
          </w:tcPr>
          <w:p w14:paraId="3E12BCB4" w14:textId="77777777" w:rsidR="00120717" w:rsidRPr="00B93EE1" w:rsidRDefault="00120717" w:rsidP="00364BAC">
            <w:pPr>
              <w:jc w:val="left"/>
              <w:rPr>
                <w:sz w:val="16"/>
                <w:szCs w:val="16"/>
              </w:rPr>
            </w:pPr>
            <w:r w:rsidRPr="00B93EE1">
              <w:rPr>
                <w:sz w:val="16"/>
                <w:szCs w:val="16"/>
              </w:rPr>
              <w:t>Preserved peaches</w:t>
            </w:r>
          </w:p>
        </w:tc>
        <w:tc>
          <w:tcPr>
            <w:tcW w:w="3119" w:type="dxa"/>
          </w:tcPr>
          <w:p w14:paraId="6FDE28D1" w14:textId="77777777" w:rsidR="00120717" w:rsidRPr="00B93EE1" w:rsidRDefault="00120717" w:rsidP="00364BAC">
            <w:pPr>
              <w:jc w:val="left"/>
              <w:rPr>
                <w:sz w:val="16"/>
                <w:szCs w:val="16"/>
              </w:rPr>
            </w:pPr>
            <w:r w:rsidRPr="00B93EE1">
              <w:rPr>
                <w:sz w:val="16"/>
                <w:szCs w:val="16"/>
              </w:rPr>
              <w:t>Dumping reconsideration of review</w:t>
            </w:r>
          </w:p>
          <w:p w14:paraId="38D0DB8D" w14:textId="77777777" w:rsidR="00120717" w:rsidRPr="00B93EE1" w:rsidRDefault="00120717" w:rsidP="00364BAC">
            <w:pPr>
              <w:jc w:val="left"/>
              <w:rPr>
                <w:sz w:val="16"/>
                <w:szCs w:val="16"/>
              </w:rPr>
            </w:pPr>
            <w:r w:rsidRPr="00B93EE1">
              <w:rPr>
                <w:sz w:val="16"/>
                <w:szCs w:val="16"/>
              </w:rPr>
              <w:t>No duty applied</w:t>
            </w:r>
          </w:p>
        </w:tc>
      </w:tr>
      <w:tr w:rsidR="00120717" w:rsidRPr="00B93EE1" w14:paraId="583876D5" w14:textId="77777777" w:rsidTr="00E06DFD">
        <w:tc>
          <w:tcPr>
            <w:tcW w:w="704" w:type="dxa"/>
          </w:tcPr>
          <w:p w14:paraId="35B8C973"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2019</w:t>
            </w:r>
          </w:p>
        </w:tc>
        <w:tc>
          <w:tcPr>
            <w:tcW w:w="2268" w:type="dxa"/>
          </w:tcPr>
          <w:p w14:paraId="0D150DE2" w14:textId="77777777" w:rsidR="00120717" w:rsidRPr="00B93EE1" w:rsidRDefault="00120717" w:rsidP="00364BAC">
            <w:pPr>
              <w:jc w:val="left"/>
              <w:rPr>
                <w:sz w:val="16"/>
                <w:szCs w:val="16"/>
              </w:rPr>
            </w:pPr>
            <w:r w:rsidRPr="00B93EE1">
              <w:rPr>
                <w:sz w:val="16"/>
                <w:szCs w:val="16"/>
              </w:rPr>
              <w:t>South Africa</w:t>
            </w:r>
          </w:p>
        </w:tc>
        <w:tc>
          <w:tcPr>
            <w:tcW w:w="3260" w:type="dxa"/>
          </w:tcPr>
          <w:p w14:paraId="7BC2470D" w14:textId="77777777" w:rsidR="00120717" w:rsidRPr="00B93EE1" w:rsidRDefault="00120717" w:rsidP="00364BAC">
            <w:pPr>
              <w:jc w:val="left"/>
              <w:rPr>
                <w:sz w:val="16"/>
                <w:szCs w:val="16"/>
              </w:rPr>
            </w:pPr>
            <w:r w:rsidRPr="00B93EE1">
              <w:rPr>
                <w:sz w:val="16"/>
                <w:szCs w:val="16"/>
              </w:rPr>
              <w:t>Canned peaches</w:t>
            </w:r>
          </w:p>
        </w:tc>
        <w:tc>
          <w:tcPr>
            <w:tcW w:w="3119" w:type="dxa"/>
          </w:tcPr>
          <w:p w14:paraId="672CC784" w14:textId="77777777" w:rsidR="00120717" w:rsidRPr="00B93EE1" w:rsidRDefault="00120717" w:rsidP="00364BAC">
            <w:pPr>
              <w:jc w:val="left"/>
              <w:rPr>
                <w:sz w:val="16"/>
                <w:szCs w:val="16"/>
              </w:rPr>
            </w:pPr>
            <w:r w:rsidRPr="00B93EE1">
              <w:rPr>
                <w:sz w:val="16"/>
                <w:szCs w:val="16"/>
              </w:rPr>
              <w:t>Review of AD duties</w:t>
            </w:r>
          </w:p>
          <w:p w14:paraId="3BEEEE4B" w14:textId="77777777" w:rsidR="00120717" w:rsidRPr="00B93EE1" w:rsidRDefault="00120717" w:rsidP="00364BAC">
            <w:pPr>
              <w:jc w:val="left"/>
              <w:rPr>
                <w:sz w:val="16"/>
                <w:szCs w:val="16"/>
              </w:rPr>
            </w:pPr>
            <w:r w:rsidRPr="00B93EE1">
              <w:rPr>
                <w:sz w:val="16"/>
                <w:szCs w:val="16"/>
              </w:rPr>
              <w:t>Reassessed duties applied</w:t>
            </w:r>
          </w:p>
        </w:tc>
      </w:tr>
      <w:tr w:rsidR="00120717" w:rsidRPr="00B93EE1" w14:paraId="4555C198" w14:textId="77777777" w:rsidTr="00CA64E6">
        <w:trPr>
          <w:cnfStyle w:val="000000010000" w:firstRow="0" w:lastRow="0" w:firstColumn="0" w:lastColumn="0" w:oddVBand="0" w:evenVBand="0" w:oddHBand="0" w:evenHBand="1" w:firstRowFirstColumn="0" w:firstRowLastColumn="0" w:lastRowFirstColumn="0" w:lastRowLastColumn="0"/>
          <w:trHeight w:val="399"/>
        </w:trPr>
        <w:tc>
          <w:tcPr>
            <w:tcW w:w="704" w:type="dxa"/>
          </w:tcPr>
          <w:p w14:paraId="09339D14" w14:textId="77777777" w:rsidR="00120717" w:rsidRPr="00B93EE1" w:rsidRDefault="00120717" w:rsidP="00364BAC">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2020</w:t>
            </w:r>
          </w:p>
        </w:tc>
        <w:tc>
          <w:tcPr>
            <w:tcW w:w="2268" w:type="dxa"/>
          </w:tcPr>
          <w:p w14:paraId="1C1DB79F" w14:textId="77777777" w:rsidR="00120717" w:rsidRPr="00B93EE1" w:rsidRDefault="00120717" w:rsidP="00364BAC">
            <w:pPr>
              <w:jc w:val="left"/>
              <w:rPr>
                <w:sz w:val="16"/>
                <w:szCs w:val="16"/>
              </w:rPr>
            </w:pPr>
            <w:r w:rsidRPr="00B93EE1">
              <w:rPr>
                <w:sz w:val="16"/>
                <w:szCs w:val="16"/>
              </w:rPr>
              <w:t>Malaysia</w:t>
            </w:r>
          </w:p>
        </w:tc>
        <w:tc>
          <w:tcPr>
            <w:tcW w:w="3260" w:type="dxa"/>
          </w:tcPr>
          <w:p w14:paraId="3B1A20CF" w14:textId="77777777" w:rsidR="00120717" w:rsidRPr="00B93EE1" w:rsidRDefault="00120717" w:rsidP="00364BAC">
            <w:pPr>
              <w:jc w:val="left"/>
              <w:rPr>
                <w:sz w:val="16"/>
                <w:szCs w:val="16"/>
              </w:rPr>
            </w:pPr>
            <w:r w:rsidRPr="00B93EE1">
              <w:rPr>
                <w:sz w:val="16"/>
                <w:szCs w:val="16"/>
              </w:rPr>
              <w:t>Galvanized wire</w:t>
            </w:r>
          </w:p>
        </w:tc>
        <w:tc>
          <w:tcPr>
            <w:tcW w:w="3119" w:type="dxa"/>
          </w:tcPr>
          <w:p w14:paraId="74697B10" w14:textId="77777777" w:rsidR="00120717" w:rsidRPr="00B93EE1" w:rsidRDefault="00120717" w:rsidP="00364BAC">
            <w:pPr>
              <w:jc w:val="left"/>
              <w:rPr>
                <w:sz w:val="16"/>
                <w:szCs w:val="16"/>
              </w:rPr>
            </w:pPr>
            <w:r w:rsidRPr="00B93EE1">
              <w:rPr>
                <w:sz w:val="16"/>
                <w:szCs w:val="16"/>
              </w:rPr>
              <w:t>Full review of AD duties</w:t>
            </w:r>
          </w:p>
          <w:p w14:paraId="0DA31B2A" w14:textId="77777777" w:rsidR="00120717" w:rsidRPr="00B93EE1" w:rsidRDefault="00120717" w:rsidP="00364BAC">
            <w:pPr>
              <w:jc w:val="left"/>
              <w:rPr>
                <w:sz w:val="16"/>
                <w:szCs w:val="16"/>
              </w:rPr>
            </w:pPr>
            <w:r w:rsidRPr="00B93EE1">
              <w:rPr>
                <w:sz w:val="16"/>
                <w:szCs w:val="16"/>
              </w:rPr>
              <w:t>Reassessed duties applied</w:t>
            </w:r>
          </w:p>
        </w:tc>
      </w:tr>
      <w:tr w:rsidR="00120717" w:rsidRPr="00B93EE1" w14:paraId="7B5962DD" w14:textId="77777777" w:rsidTr="00AC2313">
        <w:trPr>
          <w:trHeight w:val="399"/>
        </w:trPr>
        <w:tc>
          <w:tcPr>
            <w:tcW w:w="704" w:type="dxa"/>
          </w:tcPr>
          <w:p w14:paraId="05F0CBEC" w14:textId="77777777" w:rsidR="00120717" w:rsidRPr="00B93EE1" w:rsidRDefault="00120717" w:rsidP="00364BAC">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lastRenderedPageBreak/>
              <w:t>2021</w:t>
            </w:r>
          </w:p>
        </w:tc>
        <w:tc>
          <w:tcPr>
            <w:tcW w:w="2268" w:type="dxa"/>
          </w:tcPr>
          <w:p w14:paraId="01CBDF33" w14:textId="77777777" w:rsidR="00120717" w:rsidRPr="00B93EE1" w:rsidRDefault="00120717" w:rsidP="00364BAC">
            <w:pPr>
              <w:keepNext/>
              <w:keepLines/>
              <w:jc w:val="left"/>
              <w:rPr>
                <w:sz w:val="16"/>
                <w:szCs w:val="16"/>
              </w:rPr>
            </w:pPr>
            <w:r w:rsidRPr="00B93EE1">
              <w:rPr>
                <w:sz w:val="16"/>
                <w:szCs w:val="16"/>
              </w:rPr>
              <w:t>China and Indonesia</w:t>
            </w:r>
          </w:p>
        </w:tc>
        <w:tc>
          <w:tcPr>
            <w:tcW w:w="3260" w:type="dxa"/>
          </w:tcPr>
          <w:p w14:paraId="053E5F6E" w14:textId="77777777" w:rsidR="00120717" w:rsidRPr="00B93EE1" w:rsidRDefault="00120717" w:rsidP="00364BAC">
            <w:pPr>
              <w:keepNext/>
              <w:keepLines/>
              <w:jc w:val="left"/>
              <w:rPr>
                <w:sz w:val="16"/>
                <w:szCs w:val="16"/>
              </w:rPr>
            </w:pPr>
            <w:r w:rsidRPr="00B93EE1">
              <w:rPr>
                <w:sz w:val="16"/>
                <w:szCs w:val="16"/>
              </w:rPr>
              <w:t>Galvanized wire</w:t>
            </w:r>
          </w:p>
        </w:tc>
        <w:tc>
          <w:tcPr>
            <w:tcW w:w="3119" w:type="dxa"/>
          </w:tcPr>
          <w:p w14:paraId="44DF9F68" w14:textId="77777777" w:rsidR="00120717" w:rsidRPr="00B93EE1" w:rsidRDefault="00120717" w:rsidP="00364BAC">
            <w:pPr>
              <w:keepNext/>
              <w:keepLines/>
              <w:jc w:val="left"/>
              <w:rPr>
                <w:sz w:val="16"/>
                <w:szCs w:val="16"/>
              </w:rPr>
            </w:pPr>
            <w:r w:rsidRPr="00B93EE1">
              <w:rPr>
                <w:sz w:val="16"/>
                <w:szCs w:val="16"/>
              </w:rPr>
              <w:t>Dumping investigation</w:t>
            </w:r>
          </w:p>
          <w:p w14:paraId="51F33C33" w14:textId="77777777" w:rsidR="00120717" w:rsidRPr="00B93EE1" w:rsidRDefault="00120717" w:rsidP="00364BAC">
            <w:pPr>
              <w:keepNext/>
              <w:keepLines/>
              <w:jc w:val="left"/>
              <w:rPr>
                <w:sz w:val="16"/>
                <w:szCs w:val="16"/>
              </w:rPr>
            </w:pPr>
            <w:r w:rsidRPr="00B93EE1">
              <w:rPr>
                <w:sz w:val="16"/>
                <w:szCs w:val="16"/>
              </w:rPr>
              <w:t>Duties applied</w:t>
            </w:r>
          </w:p>
        </w:tc>
      </w:tr>
      <w:tr w:rsidR="00120717" w:rsidRPr="00B93EE1" w14:paraId="0CF2D540" w14:textId="77777777" w:rsidTr="00E06DFD">
        <w:trPr>
          <w:cnfStyle w:val="000000010000" w:firstRow="0" w:lastRow="0" w:firstColumn="0" w:lastColumn="0" w:oddVBand="0" w:evenVBand="0" w:oddHBand="0" w:evenHBand="1" w:firstRowFirstColumn="0" w:firstRowLastColumn="0" w:lastRowFirstColumn="0" w:lastRowLastColumn="0"/>
        </w:trPr>
        <w:tc>
          <w:tcPr>
            <w:tcW w:w="704" w:type="dxa"/>
          </w:tcPr>
          <w:p w14:paraId="2F32BF88" w14:textId="77777777" w:rsidR="00120717" w:rsidRPr="00B93EE1" w:rsidRDefault="00120717" w:rsidP="00364BAC">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2021</w:t>
            </w:r>
          </w:p>
        </w:tc>
        <w:tc>
          <w:tcPr>
            <w:tcW w:w="2268" w:type="dxa"/>
          </w:tcPr>
          <w:p w14:paraId="48EA9900" w14:textId="77777777" w:rsidR="00120717" w:rsidRPr="00B93EE1" w:rsidRDefault="00120717" w:rsidP="00364BAC">
            <w:pPr>
              <w:keepNext/>
              <w:keepLines/>
              <w:jc w:val="left"/>
              <w:rPr>
                <w:sz w:val="16"/>
                <w:szCs w:val="16"/>
              </w:rPr>
            </w:pPr>
            <w:r w:rsidRPr="00B93EE1">
              <w:rPr>
                <w:sz w:val="16"/>
                <w:szCs w:val="16"/>
              </w:rPr>
              <w:t>Greece</w:t>
            </w:r>
          </w:p>
        </w:tc>
        <w:tc>
          <w:tcPr>
            <w:tcW w:w="3260" w:type="dxa"/>
          </w:tcPr>
          <w:p w14:paraId="6AFC719C" w14:textId="77777777" w:rsidR="00120717" w:rsidRPr="00B93EE1" w:rsidRDefault="00120717" w:rsidP="00364BAC">
            <w:pPr>
              <w:keepNext/>
              <w:keepLines/>
              <w:jc w:val="left"/>
              <w:rPr>
                <w:sz w:val="16"/>
                <w:szCs w:val="16"/>
              </w:rPr>
            </w:pPr>
            <w:r w:rsidRPr="00B93EE1">
              <w:rPr>
                <w:sz w:val="16"/>
                <w:szCs w:val="16"/>
              </w:rPr>
              <w:t>Canned peaches</w:t>
            </w:r>
          </w:p>
        </w:tc>
        <w:tc>
          <w:tcPr>
            <w:tcW w:w="3119" w:type="dxa"/>
          </w:tcPr>
          <w:p w14:paraId="719F5AFD" w14:textId="77777777" w:rsidR="00120717" w:rsidRPr="00B93EE1" w:rsidRDefault="00120717" w:rsidP="00364BAC">
            <w:pPr>
              <w:keepNext/>
              <w:keepLines/>
              <w:jc w:val="left"/>
              <w:rPr>
                <w:sz w:val="16"/>
                <w:szCs w:val="16"/>
              </w:rPr>
            </w:pPr>
            <w:r w:rsidRPr="00B93EE1">
              <w:rPr>
                <w:sz w:val="16"/>
                <w:szCs w:val="16"/>
              </w:rPr>
              <w:t>Full review of AD duties</w:t>
            </w:r>
          </w:p>
          <w:p w14:paraId="09729CB7" w14:textId="77777777" w:rsidR="00120717" w:rsidRPr="00B93EE1" w:rsidRDefault="00120717" w:rsidP="00364BAC">
            <w:pPr>
              <w:keepNext/>
              <w:keepLines/>
              <w:jc w:val="left"/>
              <w:rPr>
                <w:sz w:val="16"/>
                <w:szCs w:val="16"/>
              </w:rPr>
            </w:pPr>
            <w:r w:rsidRPr="00B93EE1">
              <w:rPr>
                <w:sz w:val="16"/>
                <w:szCs w:val="16"/>
              </w:rPr>
              <w:t>Duties applied</w:t>
            </w:r>
          </w:p>
        </w:tc>
      </w:tr>
      <w:tr w:rsidR="00120717" w:rsidRPr="00B93EE1" w14:paraId="0598F633" w14:textId="77777777" w:rsidTr="00E06DFD">
        <w:tc>
          <w:tcPr>
            <w:tcW w:w="704" w:type="dxa"/>
          </w:tcPr>
          <w:p w14:paraId="5AEBB7A3" w14:textId="77777777" w:rsidR="00120717" w:rsidRPr="00B93EE1" w:rsidRDefault="00120717" w:rsidP="00364BAC">
            <w:pPr>
              <w:keepNext/>
              <w:keepLines/>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2021</w:t>
            </w:r>
          </w:p>
        </w:tc>
        <w:tc>
          <w:tcPr>
            <w:tcW w:w="2268" w:type="dxa"/>
          </w:tcPr>
          <w:p w14:paraId="1FF0DBAE" w14:textId="77777777" w:rsidR="00120717" w:rsidRPr="00B93EE1" w:rsidRDefault="00120717" w:rsidP="00364BAC">
            <w:pPr>
              <w:keepNext/>
              <w:keepLines/>
              <w:jc w:val="left"/>
              <w:rPr>
                <w:sz w:val="16"/>
                <w:szCs w:val="16"/>
              </w:rPr>
            </w:pPr>
            <w:r w:rsidRPr="00B93EE1">
              <w:rPr>
                <w:sz w:val="16"/>
                <w:szCs w:val="16"/>
              </w:rPr>
              <w:t>Belgium and the Netherlands</w:t>
            </w:r>
          </w:p>
        </w:tc>
        <w:tc>
          <w:tcPr>
            <w:tcW w:w="3260" w:type="dxa"/>
          </w:tcPr>
          <w:p w14:paraId="76287886" w14:textId="77777777" w:rsidR="00120717" w:rsidRPr="00B93EE1" w:rsidRDefault="00120717" w:rsidP="00364BAC">
            <w:pPr>
              <w:keepNext/>
              <w:keepLines/>
              <w:jc w:val="left"/>
              <w:rPr>
                <w:sz w:val="16"/>
                <w:szCs w:val="16"/>
              </w:rPr>
            </w:pPr>
            <w:r w:rsidRPr="00B93EE1">
              <w:rPr>
                <w:sz w:val="16"/>
                <w:szCs w:val="16"/>
              </w:rPr>
              <w:t>Frozen potato fries and wedges</w:t>
            </w:r>
          </w:p>
        </w:tc>
        <w:tc>
          <w:tcPr>
            <w:tcW w:w="3119" w:type="dxa"/>
          </w:tcPr>
          <w:p w14:paraId="09A4B67A" w14:textId="77777777" w:rsidR="00120717" w:rsidRPr="00B93EE1" w:rsidRDefault="00120717" w:rsidP="00364BAC">
            <w:pPr>
              <w:keepNext/>
              <w:keepLines/>
              <w:jc w:val="left"/>
              <w:rPr>
                <w:sz w:val="16"/>
                <w:szCs w:val="16"/>
              </w:rPr>
            </w:pPr>
            <w:r w:rsidRPr="00B93EE1">
              <w:rPr>
                <w:sz w:val="16"/>
                <w:szCs w:val="16"/>
              </w:rPr>
              <w:t>Dumping investigation</w:t>
            </w:r>
          </w:p>
          <w:p w14:paraId="0EF91B4C" w14:textId="77777777" w:rsidR="00120717" w:rsidRPr="00B93EE1" w:rsidRDefault="00120717" w:rsidP="00364BAC">
            <w:pPr>
              <w:keepNext/>
              <w:keepLines/>
              <w:jc w:val="left"/>
              <w:rPr>
                <w:sz w:val="16"/>
                <w:szCs w:val="16"/>
              </w:rPr>
            </w:pPr>
            <w:r w:rsidRPr="00B93EE1">
              <w:rPr>
                <w:sz w:val="16"/>
                <w:szCs w:val="16"/>
              </w:rPr>
              <w:t>No duty applied</w:t>
            </w:r>
          </w:p>
        </w:tc>
      </w:tr>
    </w:tbl>
    <w:p w14:paraId="5829AFDC" w14:textId="77777777" w:rsidR="00120717" w:rsidRPr="00B93EE1" w:rsidRDefault="00120717" w:rsidP="00364BAC">
      <w:pPr>
        <w:pStyle w:val="NoteText"/>
        <w:keepNext/>
        <w:keepLines/>
        <w:spacing w:before="120"/>
      </w:pPr>
      <w:r w:rsidRPr="00B93EE1">
        <w:t>AD</w:t>
      </w:r>
      <w:r w:rsidRPr="00B93EE1">
        <w:tab/>
        <w:t>Anti-dumping.</w:t>
      </w:r>
    </w:p>
    <w:p w14:paraId="524C60A4" w14:textId="77777777" w:rsidR="00120717" w:rsidRPr="00B93EE1" w:rsidRDefault="00120717" w:rsidP="00364BAC">
      <w:pPr>
        <w:pStyle w:val="NoteText"/>
        <w:keepNext/>
        <w:keepLines/>
        <w:spacing w:before="120" w:after="240"/>
        <w:rPr>
          <w:rStyle w:val="Hyperlink"/>
        </w:rPr>
      </w:pPr>
      <w:r w:rsidRPr="00B93EE1">
        <w:t>Source:</w:t>
      </w:r>
      <w:r w:rsidRPr="00B93EE1">
        <w:tab/>
      </w:r>
      <w:proofErr w:type="spellStart"/>
      <w:r w:rsidRPr="00B93EE1">
        <w:t>MBIE</w:t>
      </w:r>
      <w:proofErr w:type="spellEnd"/>
      <w:r w:rsidRPr="00B93EE1">
        <w:t xml:space="preserve">, </w:t>
      </w:r>
      <w:r w:rsidRPr="00B93EE1">
        <w:rPr>
          <w:i/>
          <w:iCs/>
        </w:rPr>
        <w:t>Trade Remedy Investigations</w:t>
      </w:r>
      <w:r w:rsidRPr="00B93EE1">
        <w:t>. Viewed at: </w:t>
      </w:r>
      <w:hyperlink r:id="rId34" w:history="1">
        <w:r w:rsidRPr="00B93EE1">
          <w:rPr>
            <w:rStyle w:val="Hyperlink"/>
          </w:rPr>
          <w:t>https://www.mbie.govt.nz/business-and-employment/business/trade-and-tariffs/trade-remedies/trade-remedy-investigations/</w:t>
        </w:r>
      </w:hyperlink>
      <w:r w:rsidRPr="00D20DEF">
        <w:rPr>
          <w:rStyle w:val="Hyperlink"/>
          <w:color w:val="auto"/>
          <w:u w:val="none"/>
        </w:rPr>
        <w:t>.</w:t>
      </w:r>
    </w:p>
    <w:p w14:paraId="572445A0" w14:textId="77777777" w:rsidR="00120717" w:rsidRPr="00F64A35" w:rsidRDefault="00120717" w:rsidP="00596AC1">
      <w:pPr>
        <w:pStyle w:val="BodyText"/>
      </w:pPr>
      <w:r w:rsidRPr="00B93EE1">
        <w:t>As of end</w:t>
      </w:r>
      <w:r w:rsidRPr="00B93EE1">
        <w:noBreakHyphen/>
        <w:t>December 2021, New Zealand maintained definitive anti-dumping measures against China, Greece, Malaysia, South Africa, and Spain (Table 3.8).</w:t>
      </w:r>
    </w:p>
    <w:p w14:paraId="258FE0FF" w14:textId="1F48E9EB" w:rsidR="00120717" w:rsidRPr="00B93EE1" w:rsidRDefault="00D37A97" w:rsidP="00D37A97">
      <w:pPr>
        <w:pStyle w:val="Caption"/>
      </w:pPr>
      <w:bookmarkStart w:id="114" w:name="_Toc418783241"/>
      <w:bookmarkStart w:id="115" w:name="_Toc97793394"/>
      <w:r>
        <w:t xml:space="preserve">Table </w:t>
      </w:r>
      <w:r w:rsidR="0012793B">
        <w:fldChar w:fldCharType="begin"/>
      </w:r>
      <w:r w:rsidR="0012793B">
        <w:instrText xml:space="preserve"> 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8</w:t>
      </w:r>
      <w:r w:rsidR="0012793B">
        <w:rPr>
          <w:noProof/>
        </w:rPr>
        <w:fldChar w:fldCharType="end"/>
      </w:r>
      <w:r>
        <w:t xml:space="preserve"> </w:t>
      </w:r>
      <w:r w:rsidR="00120717" w:rsidRPr="00B93EE1">
        <w:t>Definitive anti-dumping measures, as of 31 December 2021</w:t>
      </w:r>
      <w:bookmarkEnd w:id="114"/>
      <w:bookmarkEnd w:id="115"/>
    </w:p>
    <w:tbl>
      <w:tblPr>
        <w:tblStyle w:val="WTOTable1"/>
        <w:tblW w:w="9067" w:type="dxa"/>
        <w:tblLayout w:type="fixed"/>
        <w:tblLook w:val="0060" w:firstRow="1" w:lastRow="1" w:firstColumn="0" w:lastColumn="0" w:noHBand="0" w:noVBand="0"/>
      </w:tblPr>
      <w:tblGrid>
        <w:gridCol w:w="1555"/>
        <w:gridCol w:w="2268"/>
        <w:gridCol w:w="2693"/>
        <w:gridCol w:w="2551"/>
      </w:tblGrid>
      <w:tr w:rsidR="00120717" w:rsidRPr="00B93EE1" w14:paraId="296E77A2" w14:textId="77777777" w:rsidTr="00E06DFD">
        <w:trPr>
          <w:cnfStyle w:val="100000000000" w:firstRow="1" w:lastRow="0" w:firstColumn="0" w:lastColumn="0" w:oddVBand="0" w:evenVBand="0" w:oddHBand="0" w:evenHBand="0" w:firstRowFirstColumn="0" w:firstRowLastColumn="0" w:lastRowFirstColumn="0" w:lastRowLastColumn="0"/>
        </w:trPr>
        <w:tc>
          <w:tcPr>
            <w:tcW w:w="1555" w:type="dxa"/>
          </w:tcPr>
          <w:p w14:paraId="1BB75042" w14:textId="77777777" w:rsidR="00120717" w:rsidRPr="00B93EE1" w:rsidRDefault="00120717" w:rsidP="00185006">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val="0"/>
                <w:sz w:val="16"/>
              </w:rPr>
            </w:pPr>
            <w:r w:rsidRPr="00B93EE1">
              <w:rPr>
                <w:sz w:val="16"/>
              </w:rPr>
              <w:t>Country</w:t>
            </w:r>
          </w:p>
        </w:tc>
        <w:tc>
          <w:tcPr>
            <w:tcW w:w="2268" w:type="dxa"/>
          </w:tcPr>
          <w:p w14:paraId="628EC19A" w14:textId="77777777" w:rsidR="00120717" w:rsidRPr="00B93EE1" w:rsidRDefault="00120717" w:rsidP="00185006">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rPr>
            </w:pPr>
            <w:r w:rsidRPr="00B93EE1">
              <w:rPr>
                <w:sz w:val="16"/>
              </w:rPr>
              <w:t>Product</w:t>
            </w:r>
          </w:p>
        </w:tc>
        <w:tc>
          <w:tcPr>
            <w:tcW w:w="2693" w:type="dxa"/>
          </w:tcPr>
          <w:p w14:paraId="19A611AE" w14:textId="77777777" w:rsidR="00120717" w:rsidRPr="00B93EE1" w:rsidRDefault="00120717" w:rsidP="00185006">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val="0"/>
                <w:sz w:val="16"/>
              </w:rPr>
            </w:pPr>
            <w:r w:rsidRPr="00B93EE1">
              <w:rPr>
                <w:sz w:val="16"/>
              </w:rPr>
              <w:t>Date of original imposition</w:t>
            </w:r>
          </w:p>
        </w:tc>
        <w:tc>
          <w:tcPr>
            <w:tcW w:w="2551" w:type="dxa"/>
          </w:tcPr>
          <w:p w14:paraId="130106CC" w14:textId="77777777" w:rsidR="00120717" w:rsidRPr="00B93EE1" w:rsidRDefault="00120717" w:rsidP="00185006">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b w:val="0"/>
                <w:sz w:val="16"/>
              </w:rPr>
            </w:pPr>
            <w:r w:rsidRPr="00B93EE1">
              <w:rPr>
                <w:sz w:val="16"/>
              </w:rPr>
              <w:t>Date duties cease</w:t>
            </w:r>
          </w:p>
        </w:tc>
      </w:tr>
      <w:tr w:rsidR="00120717" w:rsidRPr="00B93EE1" w14:paraId="41053BE5" w14:textId="77777777" w:rsidTr="00E06DFD">
        <w:tc>
          <w:tcPr>
            <w:tcW w:w="1555" w:type="dxa"/>
          </w:tcPr>
          <w:p w14:paraId="0DF04C2F" w14:textId="77777777" w:rsidR="00120717" w:rsidRPr="00B93EE1" w:rsidRDefault="00120717" w:rsidP="00185006">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China</w:t>
            </w:r>
          </w:p>
        </w:tc>
        <w:tc>
          <w:tcPr>
            <w:tcW w:w="2268" w:type="dxa"/>
          </w:tcPr>
          <w:p w14:paraId="56A761BE" w14:textId="77777777" w:rsidR="00120717" w:rsidRPr="00B93EE1" w:rsidRDefault="00120717" w:rsidP="00185006">
            <w:pPr>
              <w:jc w:val="left"/>
              <w:rPr>
                <w:sz w:val="16"/>
                <w:szCs w:val="16"/>
              </w:rPr>
            </w:pPr>
            <w:r w:rsidRPr="00B93EE1">
              <w:rPr>
                <w:sz w:val="16"/>
                <w:szCs w:val="16"/>
              </w:rPr>
              <w:t>Galvanized wire</w:t>
            </w:r>
          </w:p>
        </w:tc>
        <w:tc>
          <w:tcPr>
            <w:tcW w:w="2693" w:type="dxa"/>
          </w:tcPr>
          <w:p w14:paraId="6E5D987A" w14:textId="77777777" w:rsidR="00120717" w:rsidRPr="00B93EE1" w:rsidRDefault="00120717" w:rsidP="00185006">
            <w:pPr>
              <w:jc w:val="left"/>
              <w:rPr>
                <w:sz w:val="16"/>
                <w:szCs w:val="16"/>
              </w:rPr>
            </w:pPr>
            <w:r w:rsidRPr="00B93EE1">
              <w:rPr>
                <w:sz w:val="16"/>
                <w:szCs w:val="16"/>
              </w:rPr>
              <w:t>12 March 2021</w:t>
            </w:r>
          </w:p>
        </w:tc>
        <w:tc>
          <w:tcPr>
            <w:tcW w:w="2551" w:type="dxa"/>
          </w:tcPr>
          <w:p w14:paraId="17AF7416" w14:textId="77777777" w:rsidR="00120717" w:rsidRPr="00B93EE1" w:rsidRDefault="00120717" w:rsidP="00185006">
            <w:pPr>
              <w:jc w:val="left"/>
              <w:rPr>
                <w:sz w:val="16"/>
                <w:szCs w:val="16"/>
              </w:rPr>
            </w:pPr>
            <w:r w:rsidRPr="00B93EE1">
              <w:rPr>
                <w:sz w:val="16"/>
                <w:szCs w:val="16"/>
              </w:rPr>
              <w:t>12 March 2026</w:t>
            </w:r>
          </w:p>
        </w:tc>
      </w:tr>
      <w:tr w:rsidR="00120717" w:rsidRPr="00B93EE1" w14:paraId="1CAAEAD0" w14:textId="77777777" w:rsidTr="00E06DFD">
        <w:trPr>
          <w:cnfStyle w:val="000000010000" w:firstRow="0" w:lastRow="0" w:firstColumn="0" w:lastColumn="0" w:oddVBand="0" w:evenVBand="0" w:oddHBand="0" w:evenHBand="1" w:firstRowFirstColumn="0" w:firstRowLastColumn="0" w:lastRowFirstColumn="0" w:lastRowLastColumn="0"/>
        </w:trPr>
        <w:tc>
          <w:tcPr>
            <w:tcW w:w="1555" w:type="dxa"/>
          </w:tcPr>
          <w:p w14:paraId="00D79A1C" w14:textId="77777777" w:rsidR="00120717" w:rsidRPr="00B93EE1" w:rsidRDefault="00120717" w:rsidP="00185006">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Greece</w:t>
            </w:r>
          </w:p>
        </w:tc>
        <w:tc>
          <w:tcPr>
            <w:tcW w:w="2268" w:type="dxa"/>
          </w:tcPr>
          <w:p w14:paraId="6A3FD672" w14:textId="77777777" w:rsidR="00120717" w:rsidRPr="00B93EE1" w:rsidRDefault="00120717" w:rsidP="00185006">
            <w:pPr>
              <w:jc w:val="left"/>
              <w:rPr>
                <w:sz w:val="16"/>
                <w:szCs w:val="16"/>
              </w:rPr>
            </w:pPr>
            <w:r w:rsidRPr="00B93EE1">
              <w:rPr>
                <w:sz w:val="16"/>
                <w:szCs w:val="16"/>
              </w:rPr>
              <w:t>Canned peaches</w:t>
            </w:r>
          </w:p>
        </w:tc>
        <w:tc>
          <w:tcPr>
            <w:tcW w:w="2693" w:type="dxa"/>
          </w:tcPr>
          <w:p w14:paraId="2E12CF0C" w14:textId="77777777" w:rsidR="00120717" w:rsidRPr="00B93EE1" w:rsidRDefault="00120717" w:rsidP="00185006">
            <w:pPr>
              <w:jc w:val="left"/>
              <w:rPr>
                <w:sz w:val="16"/>
                <w:szCs w:val="16"/>
              </w:rPr>
            </w:pPr>
            <w:r w:rsidRPr="00B93EE1">
              <w:rPr>
                <w:sz w:val="16"/>
                <w:szCs w:val="16"/>
              </w:rPr>
              <w:t>9 March 1998</w:t>
            </w:r>
          </w:p>
        </w:tc>
        <w:tc>
          <w:tcPr>
            <w:tcW w:w="2551" w:type="dxa"/>
          </w:tcPr>
          <w:p w14:paraId="229DD96D" w14:textId="77777777" w:rsidR="00120717" w:rsidRPr="00B93EE1" w:rsidRDefault="00120717" w:rsidP="00185006">
            <w:pPr>
              <w:jc w:val="left"/>
              <w:rPr>
                <w:sz w:val="16"/>
                <w:szCs w:val="16"/>
              </w:rPr>
            </w:pPr>
            <w:r w:rsidRPr="00B93EE1">
              <w:rPr>
                <w:sz w:val="16"/>
                <w:szCs w:val="16"/>
              </w:rPr>
              <w:t>28 April 2026</w:t>
            </w:r>
          </w:p>
        </w:tc>
      </w:tr>
      <w:tr w:rsidR="00120717" w:rsidRPr="00B93EE1" w14:paraId="3A73EEB1" w14:textId="77777777" w:rsidTr="00E06DFD">
        <w:tc>
          <w:tcPr>
            <w:tcW w:w="1555" w:type="dxa"/>
          </w:tcPr>
          <w:p w14:paraId="63FEFA96" w14:textId="77777777" w:rsidR="00120717" w:rsidRPr="00B93EE1" w:rsidRDefault="00120717" w:rsidP="00185006">
            <w:pPr>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Malaysia</w:t>
            </w:r>
          </w:p>
        </w:tc>
        <w:tc>
          <w:tcPr>
            <w:tcW w:w="2268" w:type="dxa"/>
          </w:tcPr>
          <w:p w14:paraId="47E04234" w14:textId="77777777" w:rsidR="00120717" w:rsidRPr="00B93EE1" w:rsidRDefault="00120717" w:rsidP="00185006">
            <w:pPr>
              <w:jc w:val="left"/>
              <w:rPr>
                <w:sz w:val="16"/>
                <w:szCs w:val="16"/>
              </w:rPr>
            </w:pPr>
            <w:r w:rsidRPr="00B93EE1">
              <w:rPr>
                <w:sz w:val="16"/>
                <w:szCs w:val="16"/>
              </w:rPr>
              <w:t>Galvanized wire</w:t>
            </w:r>
          </w:p>
        </w:tc>
        <w:tc>
          <w:tcPr>
            <w:tcW w:w="2693" w:type="dxa"/>
          </w:tcPr>
          <w:p w14:paraId="0158AC72" w14:textId="77777777" w:rsidR="00120717" w:rsidRPr="00B93EE1" w:rsidRDefault="00120717" w:rsidP="00185006">
            <w:pPr>
              <w:jc w:val="left"/>
              <w:rPr>
                <w:sz w:val="16"/>
                <w:szCs w:val="16"/>
              </w:rPr>
            </w:pPr>
            <w:r w:rsidRPr="00B93EE1">
              <w:rPr>
                <w:sz w:val="16"/>
                <w:szCs w:val="16"/>
              </w:rPr>
              <w:t>27 April 2004</w:t>
            </w:r>
          </w:p>
        </w:tc>
        <w:tc>
          <w:tcPr>
            <w:tcW w:w="2551" w:type="dxa"/>
          </w:tcPr>
          <w:p w14:paraId="41DC45F0" w14:textId="77777777" w:rsidR="00120717" w:rsidRPr="00B93EE1" w:rsidRDefault="00120717" w:rsidP="00185006">
            <w:pPr>
              <w:jc w:val="left"/>
              <w:rPr>
                <w:sz w:val="16"/>
                <w:szCs w:val="16"/>
              </w:rPr>
            </w:pPr>
            <w:r w:rsidRPr="00B93EE1">
              <w:rPr>
                <w:sz w:val="16"/>
                <w:szCs w:val="16"/>
              </w:rPr>
              <w:t>17 December 2025</w:t>
            </w:r>
          </w:p>
        </w:tc>
      </w:tr>
      <w:tr w:rsidR="00120717" w:rsidRPr="00B93EE1" w14:paraId="3E063C21" w14:textId="77777777" w:rsidTr="00E06DFD">
        <w:trPr>
          <w:cnfStyle w:val="000000010000" w:firstRow="0" w:lastRow="0" w:firstColumn="0" w:lastColumn="0" w:oddVBand="0" w:evenVBand="0" w:oddHBand="0" w:evenHBand="1" w:firstRowFirstColumn="0" w:firstRowLastColumn="0" w:lastRowFirstColumn="0" w:lastRowLastColumn="0"/>
        </w:trPr>
        <w:tc>
          <w:tcPr>
            <w:tcW w:w="1555" w:type="dxa"/>
          </w:tcPr>
          <w:p w14:paraId="0C98CDD4" w14:textId="77777777" w:rsidR="00120717" w:rsidRPr="00B93EE1" w:rsidRDefault="00120717" w:rsidP="006860C6">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South Africa</w:t>
            </w:r>
          </w:p>
        </w:tc>
        <w:tc>
          <w:tcPr>
            <w:tcW w:w="2268" w:type="dxa"/>
          </w:tcPr>
          <w:p w14:paraId="5D1CE31B" w14:textId="77777777" w:rsidR="00120717" w:rsidRPr="00B93EE1" w:rsidRDefault="00120717" w:rsidP="006860C6">
            <w:pPr>
              <w:keepNext/>
              <w:jc w:val="left"/>
              <w:rPr>
                <w:sz w:val="16"/>
                <w:szCs w:val="16"/>
              </w:rPr>
            </w:pPr>
            <w:r w:rsidRPr="00B93EE1">
              <w:rPr>
                <w:sz w:val="16"/>
                <w:szCs w:val="16"/>
              </w:rPr>
              <w:t>Canned peaches</w:t>
            </w:r>
          </w:p>
        </w:tc>
        <w:tc>
          <w:tcPr>
            <w:tcW w:w="2693" w:type="dxa"/>
          </w:tcPr>
          <w:p w14:paraId="38415947" w14:textId="77777777" w:rsidR="00120717" w:rsidRPr="00B93EE1" w:rsidRDefault="00120717" w:rsidP="006860C6">
            <w:pPr>
              <w:keepNext/>
              <w:jc w:val="left"/>
              <w:rPr>
                <w:sz w:val="16"/>
                <w:szCs w:val="16"/>
              </w:rPr>
            </w:pPr>
            <w:r w:rsidRPr="00B93EE1">
              <w:rPr>
                <w:sz w:val="16"/>
                <w:szCs w:val="16"/>
              </w:rPr>
              <w:t>2 August 1996</w:t>
            </w:r>
          </w:p>
        </w:tc>
        <w:tc>
          <w:tcPr>
            <w:tcW w:w="2551" w:type="dxa"/>
          </w:tcPr>
          <w:p w14:paraId="3E0AC3CC" w14:textId="77777777" w:rsidR="00120717" w:rsidRPr="00B93EE1" w:rsidRDefault="00120717" w:rsidP="006860C6">
            <w:pPr>
              <w:keepNext/>
              <w:jc w:val="left"/>
              <w:rPr>
                <w:sz w:val="16"/>
                <w:szCs w:val="16"/>
              </w:rPr>
            </w:pPr>
            <w:r w:rsidRPr="00B93EE1">
              <w:rPr>
                <w:sz w:val="16"/>
                <w:szCs w:val="16"/>
              </w:rPr>
              <w:t>13 March 2025</w:t>
            </w:r>
          </w:p>
        </w:tc>
      </w:tr>
      <w:tr w:rsidR="00120717" w:rsidRPr="00B93EE1" w14:paraId="5A229B7B" w14:textId="77777777" w:rsidTr="00E06DFD">
        <w:tc>
          <w:tcPr>
            <w:tcW w:w="1555" w:type="dxa"/>
          </w:tcPr>
          <w:p w14:paraId="103DA1B9" w14:textId="77777777" w:rsidR="00120717" w:rsidRPr="00B93EE1" w:rsidRDefault="00120717" w:rsidP="00185006">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B93EE1">
              <w:rPr>
                <w:sz w:val="16"/>
                <w:szCs w:val="16"/>
              </w:rPr>
              <w:t>Spain</w:t>
            </w:r>
          </w:p>
        </w:tc>
        <w:tc>
          <w:tcPr>
            <w:tcW w:w="2268" w:type="dxa"/>
          </w:tcPr>
          <w:p w14:paraId="2771E09E" w14:textId="77777777" w:rsidR="00120717" w:rsidRPr="00B93EE1" w:rsidRDefault="00120717" w:rsidP="00185006">
            <w:pPr>
              <w:keepNext/>
              <w:jc w:val="left"/>
              <w:rPr>
                <w:sz w:val="16"/>
                <w:szCs w:val="16"/>
              </w:rPr>
            </w:pPr>
            <w:r w:rsidRPr="00B93EE1">
              <w:rPr>
                <w:sz w:val="16"/>
                <w:szCs w:val="16"/>
              </w:rPr>
              <w:t xml:space="preserve">Preserved </w:t>
            </w:r>
            <w:proofErr w:type="spellStart"/>
            <w:r w:rsidRPr="00B93EE1">
              <w:rPr>
                <w:sz w:val="16"/>
                <w:szCs w:val="16"/>
              </w:rPr>
              <w:t>peaches</w:t>
            </w:r>
            <w:r w:rsidRPr="00B93EE1">
              <w:rPr>
                <w:sz w:val="16"/>
                <w:szCs w:val="16"/>
                <w:vertAlign w:val="superscript"/>
              </w:rPr>
              <w:t>a</w:t>
            </w:r>
            <w:proofErr w:type="spellEnd"/>
          </w:p>
        </w:tc>
        <w:tc>
          <w:tcPr>
            <w:tcW w:w="2693" w:type="dxa"/>
          </w:tcPr>
          <w:p w14:paraId="56C2DFE5" w14:textId="77777777" w:rsidR="00120717" w:rsidRPr="00B93EE1" w:rsidRDefault="00120717" w:rsidP="00185006">
            <w:pPr>
              <w:keepNext/>
              <w:jc w:val="left"/>
              <w:rPr>
                <w:sz w:val="16"/>
                <w:szCs w:val="16"/>
              </w:rPr>
            </w:pPr>
            <w:r w:rsidRPr="00B93EE1">
              <w:rPr>
                <w:sz w:val="16"/>
                <w:szCs w:val="16"/>
              </w:rPr>
              <w:t>11 August 2011</w:t>
            </w:r>
          </w:p>
        </w:tc>
        <w:tc>
          <w:tcPr>
            <w:tcW w:w="2551" w:type="dxa"/>
          </w:tcPr>
          <w:p w14:paraId="0D142D82" w14:textId="77777777" w:rsidR="00120717" w:rsidRPr="00B93EE1" w:rsidRDefault="00120717" w:rsidP="00185006">
            <w:pPr>
              <w:keepNext/>
              <w:jc w:val="left"/>
              <w:rPr>
                <w:sz w:val="16"/>
                <w:szCs w:val="16"/>
              </w:rPr>
            </w:pPr>
            <w:r w:rsidRPr="00B93EE1">
              <w:rPr>
                <w:sz w:val="16"/>
                <w:szCs w:val="16"/>
              </w:rPr>
              <w:t>Under review</w:t>
            </w:r>
          </w:p>
        </w:tc>
      </w:tr>
    </w:tbl>
    <w:p w14:paraId="7CB3B3EB" w14:textId="77777777" w:rsidR="00120717" w:rsidRPr="00B93EE1" w:rsidRDefault="00120717" w:rsidP="00AF569F">
      <w:pPr>
        <w:pStyle w:val="NoteText"/>
        <w:spacing w:before="120"/>
      </w:pPr>
      <w:proofErr w:type="spellStart"/>
      <w:r w:rsidRPr="00B93EE1">
        <w:t>a</w:t>
      </w:r>
      <w:proofErr w:type="spellEnd"/>
      <w:r w:rsidRPr="00B93EE1">
        <w:tab/>
        <w:t>These duties were terminated in March 2017 upon completion of a five-year "sunset" review but later restored as a result of a reconsideration of that sunset review. The reconsideration was initiated at the direction of the High Court of New Zealand and completed on 27 August 2019. Anti</w:t>
      </w:r>
      <w:r w:rsidRPr="00B93EE1">
        <w:noBreakHyphen/>
        <w:t>dumping duties were restored with effect from 28 August 2019.</w:t>
      </w:r>
    </w:p>
    <w:p w14:paraId="150A3057" w14:textId="77777777" w:rsidR="00120717" w:rsidRPr="00B93EE1" w:rsidRDefault="00120717" w:rsidP="00AF569F">
      <w:pPr>
        <w:pStyle w:val="NoteText"/>
        <w:spacing w:before="120" w:after="240"/>
      </w:pPr>
      <w:r w:rsidRPr="00B93EE1">
        <w:t>Source:</w:t>
      </w:r>
      <w:r w:rsidRPr="00B93EE1">
        <w:tab/>
      </w:r>
      <w:proofErr w:type="spellStart"/>
      <w:r w:rsidRPr="00B93EE1">
        <w:t>MBIE</w:t>
      </w:r>
      <w:proofErr w:type="spellEnd"/>
      <w:r w:rsidRPr="00B93EE1">
        <w:t xml:space="preserve">, </w:t>
      </w:r>
      <w:r w:rsidRPr="00B93EE1">
        <w:rPr>
          <w:i/>
          <w:iCs/>
        </w:rPr>
        <w:t>Imported Goods Subject to Anti-dumping and Countervailing Duties</w:t>
      </w:r>
      <w:r w:rsidRPr="00B93EE1">
        <w:t xml:space="preserve">. Viewed at: </w:t>
      </w:r>
      <w:hyperlink r:id="rId35" w:history="1">
        <w:r w:rsidRPr="00B93EE1">
          <w:rPr>
            <w:rStyle w:val="Hyperlink"/>
          </w:rPr>
          <w:t>https://www.mbie.govt.nz/business-and-employment/business/trade-and-tariffs/trade-remedies/imported-goods-subject-to-anti-dumping-and-countervailing-duties/</w:t>
        </w:r>
      </w:hyperlink>
      <w:r w:rsidRPr="00B93EE1">
        <w:t>.</w:t>
      </w:r>
    </w:p>
    <w:p w14:paraId="42ED37B9" w14:textId="77777777" w:rsidR="00120717" w:rsidRPr="00F64A35" w:rsidRDefault="00120717" w:rsidP="00185006">
      <w:pPr>
        <w:pStyle w:val="BodyText"/>
      </w:pPr>
      <w:r w:rsidRPr="00B93EE1">
        <w:t>During the review period, New Zealand initiated countervailing investigations against China regarding the following products: galvanized steel coil; reinforcing steel bar and coil; and hollow steel sections.</w:t>
      </w:r>
      <w:r w:rsidRPr="00B93EE1">
        <w:rPr>
          <w:vertAlign w:val="superscript"/>
        </w:rPr>
        <w:footnoteReference w:id="158"/>
      </w:r>
      <w:r w:rsidRPr="00B93EE1">
        <w:t xml:space="preserve"> New Zealand has not imposed any countervailing duties since its last Review.</w:t>
      </w:r>
    </w:p>
    <w:p w14:paraId="217F7DF0" w14:textId="77777777" w:rsidR="00120717" w:rsidRPr="00F64A35" w:rsidRDefault="00120717" w:rsidP="00E962FF">
      <w:pPr>
        <w:pStyle w:val="Heading4"/>
        <w:numPr>
          <w:ilvl w:val="3"/>
          <w:numId w:val="28"/>
        </w:numPr>
      </w:pPr>
      <w:bookmarkStart w:id="116" w:name="_Toc415735875"/>
      <w:bookmarkStart w:id="117" w:name="_Toc97800146"/>
      <w:r w:rsidRPr="00B93EE1">
        <w:t>Safeguards</w:t>
      </w:r>
      <w:bookmarkEnd w:id="116"/>
      <w:bookmarkEnd w:id="117"/>
    </w:p>
    <w:p w14:paraId="330F2FD6" w14:textId="77777777" w:rsidR="00120717" w:rsidRPr="00F64A35" w:rsidRDefault="00120717" w:rsidP="00185006">
      <w:pPr>
        <w:pStyle w:val="BodyText"/>
      </w:pPr>
      <w:r w:rsidRPr="00B93EE1">
        <w:t>The Trade (Safeguard Measures) Act 2014 No. 66 was enacted at the end of 2014 and put in place a new safeguards regime repealing the Temporary Safeguard Authorities Act 1987.</w:t>
      </w:r>
      <w:r w:rsidRPr="00B93EE1">
        <w:rPr>
          <w:bCs/>
        </w:rPr>
        <w:t xml:space="preserve"> The 2014 Act requires New Zealand to apply safeguard measures following WTO rules.</w:t>
      </w:r>
    </w:p>
    <w:p w14:paraId="68AB01CD" w14:textId="3CEAB2C3" w:rsidR="00120717" w:rsidRPr="00F64A35" w:rsidRDefault="00120717" w:rsidP="00185006">
      <w:pPr>
        <w:pStyle w:val="BodyText"/>
      </w:pPr>
      <w:r w:rsidRPr="00B93EE1">
        <w:t xml:space="preserve">The 2014 Act includes, </w:t>
      </w:r>
      <w:r w:rsidRPr="00B93EE1">
        <w:rPr>
          <w:i/>
          <w:iCs/>
        </w:rPr>
        <w:t>inter alia</w:t>
      </w:r>
      <w:r w:rsidRPr="00B93EE1">
        <w:t>, the following measures: authorizes the Commerce and Consumer Affairs Minister to impose separate provisional and final safeguard duties to allow safeguard action to be taken quickly; criteria for determining whether the imposition of a safeguard measure is in the public interest; extends the time</w:t>
      </w:r>
      <w:r w:rsidR="00A56655">
        <w:t>-</w:t>
      </w:r>
      <w:r w:rsidRPr="00B93EE1">
        <w:t>frame for completing a safeguard investigation from 30 to 75 working days; and allows safeguard duties to be refunded if the investigation finds the measures were not required.</w:t>
      </w:r>
    </w:p>
    <w:p w14:paraId="0371063E" w14:textId="77777777" w:rsidR="00120717" w:rsidRPr="00F64A35" w:rsidRDefault="00120717" w:rsidP="00185006">
      <w:pPr>
        <w:pStyle w:val="BodyText"/>
      </w:pPr>
      <w:r w:rsidRPr="00B93EE1">
        <w:t>New Zealand did not impose any safeguard measures or undertake any safeguard investigations during the review period.</w:t>
      </w:r>
    </w:p>
    <w:p w14:paraId="22093A2A" w14:textId="77777777" w:rsidR="00120717" w:rsidRPr="00F64A35" w:rsidRDefault="00120717" w:rsidP="00185006">
      <w:pPr>
        <w:pStyle w:val="BodyText"/>
      </w:pPr>
      <w:r w:rsidRPr="00B93EE1">
        <w:t>All of New Zealand's FTAs contain provisions on global safeguard measures, even if that is only to reconfirm or maintain WTO provisions. The ASEAN-Australia-New Zealand Free Trade Area (</w:t>
      </w:r>
      <w:proofErr w:type="spellStart"/>
      <w:r w:rsidRPr="00B93EE1">
        <w:t>AANZFTA</w:t>
      </w:r>
      <w:proofErr w:type="spellEnd"/>
      <w:r w:rsidRPr="00B93EE1">
        <w:t>), the New Zealand</w:t>
      </w:r>
      <w:r w:rsidRPr="00B93EE1">
        <w:noBreakHyphen/>
        <w:t>Thailand Closer Economic Partnership Agreement, the New Zealand</w:t>
      </w:r>
      <w:r w:rsidRPr="00B93EE1">
        <w:noBreakHyphen/>
        <w:t xml:space="preserve">China FTA Upgrade, the New Zealand-Malaysia FTA, the New Zealand-Korea FTA, the RCEP, and the </w:t>
      </w:r>
      <w:proofErr w:type="spellStart"/>
      <w:r w:rsidRPr="00B93EE1">
        <w:t>CPTPP</w:t>
      </w:r>
      <w:proofErr w:type="spellEnd"/>
      <w:r w:rsidRPr="00B93EE1">
        <w:t xml:space="preserve"> include a bilateral transitional safeguard mechanism that allows each Party to impose a bilateral transitional safeguard on imports</w:t>
      </w:r>
      <w:r w:rsidRPr="00B93EE1">
        <w:rPr>
          <w:color w:val="1F497D"/>
        </w:rPr>
        <w:t xml:space="preserve"> </w:t>
      </w:r>
      <w:r w:rsidRPr="00B93EE1">
        <w:t xml:space="preserve">from the other Party during the period tariffs are being phased out for any particular good and for a limited period. Such a transitional safeguard mechanism can be imposed to address situations of serious injury or threats of serious injury to a domestic industry caused by increased imports as a result of tariff reductions under the FTA. In </w:t>
      </w:r>
      <w:r w:rsidRPr="00B93EE1">
        <w:lastRenderedPageBreak/>
        <w:t>these situations, action can include suspending further tariff reductions or reverting to higher tariffs for a certain period.</w:t>
      </w:r>
    </w:p>
    <w:p w14:paraId="5709153A" w14:textId="77777777" w:rsidR="00120717" w:rsidRPr="00F64A35" w:rsidRDefault="00120717" w:rsidP="00BD2533">
      <w:pPr>
        <w:pStyle w:val="BodyText"/>
      </w:pPr>
      <w:r w:rsidRPr="00B93EE1">
        <w:t>The Closer Economic Partnership between New Zealand and Hong Kong, China and the Economic Cooperation Agreement between New Zealand and Chinese Taipei, both include a provision where, if either Party imposes a WTO safeguards measure, it shall exclude imports from the other party if such imports are not a cause of serious injury or threat thereof. The New Zealand</w:t>
      </w:r>
      <w:r w:rsidRPr="00B93EE1">
        <w:noBreakHyphen/>
        <w:t>Thailand Closer Economic Partnership Agreement, the New Zealand</w:t>
      </w:r>
      <w:r w:rsidRPr="00B93EE1">
        <w:noBreakHyphen/>
        <w:t>China FTA Upgrade, the New Zealand</w:t>
      </w:r>
      <w:r w:rsidRPr="00B93EE1">
        <w:noBreakHyphen/>
        <w:t xml:space="preserve">Malaysia FTA, the </w:t>
      </w:r>
      <w:proofErr w:type="spellStart"/>
      <w:r w:rsidRPr="00B93EE1">
        <w:t>CPTPP</w:t>
      </w:r>
      <w:proofErr w:type="spellEnd"/>
      <w:r w:rsidRPr="00B93EE1">
        <w:t>, and the New Zealand-Korea FTA provide that a Party applying a global safeguard measure may exclude imports from the other Parties where those imports are not cause of serious injury. Under the Australia</w:t>
      </w:r>
      <w:r w:rsidRPr="00B93EE1">
        <w:noBreakHyphen/>
        <w:t>New Zealand Closer Economic Relations Agreement and the New Zealand–Singapore Closer Economic Partnership Agreement, a Party imposing a global safeguard measure must exclude imports originating from another Party from the measure. PACER Plus allows for a developing country Party to impose a transitional safeguard measure, during the transition period only, on imports</w:t>
      </w:r>
      <w:r w:rsidRPr="00B93EE1">
        <w:rPr>
          <w:color w:val="1F497D"/>
        </w:rPr>
        <w:t xml:space="preserve"> </w:t>
      </w:r>
      <w:r w:rsidRPr="00B93EE1">
        <w:t>from another Party. Such a transitional safeguard mechanism can be imposed to address situations of serious injury or threats of serious injury to a domestic industry caused by increased imports as a result of tariff reductions under the agreement.</w:t>
      </w:r>
    </w:p>
    <w:p w14:paraId="12804636" w14:textId="77777777" w:rsidR="00120717" w:rsidRPr="00F64A35" w:rsidRDefault="00120717" w:rsidP="00185006">
      <w:pPr>
        <w:pStyle w:val="Heading2"/>
      </w:pPr>
      <w:bookmarkStart w:id="118" w:name="_Toc415735878"/>
      <w:bookmarkStart w:id="119" w:name="_Toc97800147"/>
      <w:r w:rsidRPr="00B93EE1">
        <w:t>Measures Directly Affecting Exports</w:t>
      </w:r>
      <w:bookmarkEnd w:id="118"/>
      <w:bookmarkEnd w:id="119"/>
    </w:p>
    <w:p w14:paraId="5E124DEC" w14:textId="77777777" w:rsidR="00120717" w:rsidRPr="00F64A35" w:rsidRDefault="00120717" w:rsidP="00E962FF">
      <w:pPr>
        <w:pStyle w:val="Heading3"/>
        <w:numPr>
          <w:ilvl w:val="2"/>
          <w:numId w:val="29"/>
        </w:numPr>
      </w:pPr>
      <w:bookmarkStart w:id="120" w:name="_Toc415735879"/>
      <w:bookmarkStart w:id="121" w:name="_Toc97800148"/>
      <w:r w:rsidRPr="00B93EE1">
        <w:t>Customs procedures and requirements</w:t>
      </w:r>
      <w:bookmarkEnd w:id="120"/>
      <w:bookmarkEnd w:id="121"/>
    </w:p>
    <w:p w14:paraId="7F443B6F" w14:textId="77777777" w:rsidR="00120717" w:rsidRPr="00F64A35" w:rsidRDefault="00120717" w:rsidP="00185006">
      <w:pPr>
        <w:pStyle w:val="BodyText"/>
      </w:pPr>
      <w:r w:rsidRPr="00B93EE1">
        <w:t xml:space="preserve">Customs procedures and requirements regarding exports are now regulated through the Customs and Excise Act 2018. All export declarations must be lodged and cleared electronically before goods are loaded for export. Goods valued at less than NZD 1,000 and passenger effects are exempt from this requirement. Under the Secure Export Scheme, a voluntary arrangement between exporters and the </w:t>
      </w:r>
      <w:proofErr w:type="spellStart"/>
      <w:r w:rsidRPr="00B93EE1">
        <w:t>NZCS</w:t>
      </w:r>
      <w:proofErr w:type="spellEnd"/>
      <w:r w:rsidRPr="00B93EE1">
        <w:t xml:space="preserve">, the exporters' international supply chain is protected against tampering, sabotage, smuggling, and other transnational crime. This scheme offers several advantages, such as </w:t>
      </w:r>
      <w:proofErr w:type="spellStart"/>
      <w:r w:rsidRPr="00B93EE1">
        <w:t>NZCS</w:t>
      </w:r>
      <w:proofErr w:type="spellEnd"/>
      <w:r w:rsidRPr="00B93EE1">
        <w:t xml:space="preserve"> advice, assistance for unexpected issues, and a reduced export entry transaction fee of NZD 12.01 (inclusive of GST) are offered to registered exporters.</w:t>
      </w:r>
      <w:r w:rsidRPr="00B93EE1">
        <w:rPr>
          <w:vertAlign w:val="superscript"/>
        </w:rPr>
        <w:footnoteReference w:id="159"/>
      </w:r>
    </w:p>
    <w:p w14:paraId="77A91652" w14:textId="77777777" w:rsidR="00120717" w:rsidRPr="00F64A35" w:rsidRDefault="00120717" w:rsidP="00185006">
      <w:pPr>
        <w:pStyle w:val="BodyText"/>
      </w:pPr>
      <w:r w:rsidRPr="00B93EE1">
        <w:t>According to the World Bank, in 2020 the time needed to export goods from New Zealand was 37 hours at a cost of USD 337, compared to an average of 12.7 hours and USD 136.8, respectively for OECD high-income countries.</w:t>
      </w:r>
      <w:r w:rsidRPr="00B93EE1">
        <w:rPr>
          <w:vertAlign w:val="superscript"/>
        </w:rPr>
        <w:footnoteReference w:id="160"/>
      </w:r>
    </w:p>
    <w:p w14:paraId="2CCA3184" w14:textId="77777777" w:rsidR="00120717" w:rsidRPr="00F64A35" w:rsidRDefault="00120717" w:rsidP="00185006">
      <w:pPr>
        <w:pStyle w:val="Heading3"/>
      </w:pPr>
      <w:bookmarkStart w:id="122" w:name="_Toc415735880"/>
      <w:bookmarkStart w:id="123" w:name="_Toc97800149"/>
      <w:r w:rsidRPr="00B93EE1">
        <w:t>Taxes, charges, and levies</w:t>
      </w:r>
      <w:bookmarkEnd w:id="122"/>
      <w:bookmarkEnd w:id="123"/>
    </w:p>
    <w:p w14:paraId="63DA53D1" w14:textId="77777777" w:rsidR="00120717" w:rsidRPr="00F64A35" w:rsidRDefault="00120717" w:rsidP="00185006">
      <w:pPr>
        <w:pStyle w:val="BodyText"/>
      </w:pPr>
      <w:r w:rsidRPr="00B93EE1">
        <w:t>New Zealand does not impose export taxes or duties on exports.</w:t>
      </w:r>
    </w:p>
    <w:p w14:paraId="49CE61FA" w14:textId="77777777" w:rsidR="00120717" w:rsidRPr="00F64A35" w:rsidRDefault="00120717" w:rsidP="00185006">
      <w:pPr>
        <w:pStyle w:val="BodyText"/>
      </w:pPr>
      <w:r w:rsidRPr="00B93EE1">
        <w:t>New Zealand customs legislation does not contain a framework governing the valuation of goods for export purposes.</w:t>
      </w:r>
    </w:p>
    <w:p w14:paraId="0D9180A0" w14:textId="77777777" w:rsidR="00120717" w:rsidRPr="00F64A35" w:rsidRDefault="00120717" w:rsidP="00185006">
      <w:pPr>
        <w:pStyle w:val="Heading3"/>
      </w:pPr>
      <w:bookmarkStart w:id="124" w:name="_Toc415735881"/>
      <w:bookmarkStart w:id="125" w:name="_Toc97800150"/>
      <w:r w:rsidRPr="00B93EE1">
        <w:t>Export prohibitions, restrictions, and licensing</w:t>
      </w:r>
      <w:bookmarkEnd w:id="124"/>
      <w:bookmarkEnd w:id="125"/>
    </w:p>
    <w:p w14:paraId="22003492" w14:textId="77777777" w:rsidR="00120717" w:rsidRPr="00F64A35" w:rsidRDefault="00120717" w:rsidP="000B2F76">
      <w:pPr>
        <w:pStyle w:val="BodyText"/>
      </w:pPr>
      <w:r w:rsidRPr="00B93EE1">
        <w:t xml:space="preserve">Export prohibitions, restrictions, and licensing are regulated under the </w:t>
      </w:r>
      <w:hyperlink r:id="rId36" w:history="1">
        <w:r w:rsidRPr="00B93EE1">
          <w:t>Customs and Excise Act 2018</w:t>
        </w:r>
      </w:hyperlink>
      <w:r w:rsidRPr="00B93EE1">
        <w:t xml:space="preserve"> or legislation administered by the government department responsible for particular controls. New Zealand imposes restrictions, licensing requirements, controls, and prohibitions on a variety of exports mostly for health and safety reasons, or to comply with international obligations. Some prohibitions/restrictions can be waived, subject to prior approval/exemption from the relevant government departments or agencies (e.g. the </w:t>
      </w:r>
      <w:proofErr w:type="spellStart"/>
      <w:r w:rsidRPr="00B93EE1">
        <w:t>MPI</w:t>
      </w:r>
      <w:proofErr w:type="spellEnd"/>
      <w:r w:rsidRPr="00B93EE1">
        <w:t xml:space="preserve">, the Ministry of Health, the Environmental Protection Authority, or the Ministry of Foreign Affairs and Trade) prior to exportation. Some export prohibitions and restrictions are covered by export alerts on the </w:t>
      </w:r>
      <w:proofErr w:type="spellStart"/>
      <w:r w:rsidRPr="00B93EE1">
        <w:t>NZCS</w:t>
      </w:r>
      <w:proofErr w:type="spellEnd"/>
      <w:r w:rsidRPr="00B93EE1">
        <w:t xml:space="preserve"> computerized entry processing system and are subject to electronic compliance checks. These relate to, </w:t>
      </w:r>
      <w:r w:rsidRPr="00B93EE1">
        <w:rPr>
          <w:i/>
        </w:rPr>
        <w:t>inter alia</w:t>
      </w:r>
      <w:r w:rsidRPr="00B93EE1">
        <w:t xml:space="preserve">, certain horticultural products, protected objects, chemicals, controlled drugs, explosives, firearms, and hazardous waste. A comprehensive list of these products may be found on the </w:t>
      </w:r>
      <w:proofErr w:type="spellStart"/>
      <w:r w:rsidRPr="00B93EE1">
        <w:t>NZCS</w:t>
      </w:r>
      <w:proofErr w:type="spellEnd"/>
      <w:r w:rsidRPr="00B93EE1">
        <w:t xml:space="preserve"> website. Exports of certain goods may be restricted for a range of reasons, such as ensuring New Zealand's </w:t>
      </w:r>
      <w:r w:rsidRPr="00B93EE1">
        <w:lastRenderedPageBreak/>
        <w:t xml:space="preserve">compliance with international conventions (such as the Convention on International Trade in Endangered Species (CITES), the Montreal Protocol, and the Stockholm Convention), conservation of goods of cultural status / </w:t>
      </w:r>
      <w:proofErr w:type="spellStart"/>
      <w:r w:rsidRPr="00B93EE1">
        <w:rPr>
          <w:iCs/>
        </w:rPr>
        <w:t>tāonga</w:t>
      </w:r>
      <w:proofErr w:type="spellEnd"/>
      <w:r w:rsidRPr="00B93EE1">
        <w:t xml:space="preserve"> such as pounamu and </w:t>
      </w:r>
      <w:proofErr w:type="spellStart"/>
      <w:r w:rsidRPr="00B93EE1">
        <w:t>t</w:t>
      </w:r>
      <w:r w:rsidRPr="00B93EE1">
        <w:rPr>
          <w:rFonts w:ascii="Arial" w:hAnsi="Arial" w:cs="Arial"/>
        </w:rPr>
        <w:t>ῡ</w:t>
      </w:r>
      <w:r w:rsidRPr="00B93EE1">
        <w:t>turu</w:t>
      </w:r>
      <w:proofErr w:type="spellEnd"/>
      <w:r w:rsidRPr="00B93EE1">
        <w:t>, or ensuring that products meet requirements under relevant New Zealand legislation.</w:t>
      </w:r>
    </w:p>
    <w:p w14:paraId="7CED9296" w14:textId="77777777" w:rsidR="00120717" w:rsidRPr="00F64A35" w:rsidRDefault="00120717" w:rsidP="00185006">
      <w:pPr>
        <w:pStyle w:val="BodyText"/>
      </w:pPr>
      <w:r w:rsidRPr="00B93EE1">
        <w:t xml:space="preserve">The </w:t>
      </w:r>
      <w:proofErr w:type="spellStart"/>
      <w:r w:rsidRPr="00B93EE1">
        <w:t>NZCS</w:t>
      </w:r>
      <w:proofErr w:type="spellEnd"/>
      <w:r w:rsidRPr="00B93EE1">
        <w:t xml:space="preserve"> maintains a list of goods subject to export prohibitions, restrictions, and licensing on its website.</w:t>
      </w:r>
      <w:r w:rsidRPr="00B93EE1">
        <w:rPr>
          <w:vertAlign w:val="superscript"/>
        </w:rPr>
        <w:footnoteReference w:id="161"/>
      </w:r>
    </w:p>
    <w:p w14:paraId="411D849F" w14:textId="77777777" w:rsidR="00120717" w:rsidRPr="00F64A35" w:rsidRDefault="00120717" w:rsidP="00185006">
      <w:pPr>
        <w:pStyle w:val="Heading3"/>
      </w:pPr>
      <w:bookmarkStart w:id="126" w:name="_Toc415735882"/>
      <w:bookmarkStart w:id="127" w:name="_Toc97800151"/>
      <w:r w:rsidRPr="00B93EE1">
        <w:t>Export support and promotion</w:t>
      </w:r>
      <w:bookmarkEnd w:id="126"/>
      <w:bookmarkEnd w:id="127"/>
    </w:p>
    <w:p w14:paraId="2475929E" w14:textId="77777777" w:rsidR="00120717" w:rsidRPr="00F64A35" w:rsidRDefault="00120717" w:rsidP="00185006">
      <w:pPr>
        <w:pStyle w:val="BodyText"/>
      </w:pPr>
      <w:r w:rsidRPr="00B93EE1">
        <w:t>Under the Goods and Services Tax Act 1985 and the Customs and Excise Act 2018, exporters continue to be eligible for duty drawback on import duties, excise taxes and, in certain cases GST, paid on imported goods.</w:t>
      </w:r>
      <w:r w:rsidRPr="00B93EE1">
        <w:rPr>
          <w:vertAlign w:val="superscript"/>
        </w:rPr>
        <w:footnoteReference w:id="162"/>
      </w:r>
      <w:r w:rsidRPr="00B93EE1">
        <w:t xml:space="preserve"> Exporters can claim a refund of duties for: (</w:t>
      </w:r>
      <w:proofErr w:type="spellStart"/>
      <w:r w:rsidRPr="00B93EE1">
        <w:t>i</w:t>
      </w:r>
      <w:proofErr w:type="spellEnd"/>
      <w:r w:rsidRPr="00B93EE1">
        <w:t>) goods imported into New Zealand that are later exported; (ii) goods manufactured and exported from New Zealand; (iii) imported parts used for goods manufactured in New Zealand and subsequently exported; and (iv) imported materials, except fuel or plant equipment, used in the manufacture of goods in New Zealand and exported. Re-import of goods exported under drawback provisions is allowed (subject to payment of corresponding customs duty).</w:t>
      </w:r>
    </w:p>
    <w:p w14:paraId="4D867C7B" w14:textId="77777777" w:rsidR="00120717" w:rsidRPr="00F64A35" w:rsidRDefault="00120717" w:rsidP="00185006">
      <w:pPr>
        <w:pStyle w:val="BodyText"/>
      </w:pPr>
      <w:r w:rsidRPr="00B93EE1">
        <w:t>The minimum amount of drawback that can be claimed for commercial goods is NZD 50. There is no minimum amount for private exporters.</w:t>
      </w:r>
    </w:p>
    <w:p w14:paraId="3B6266A8" w14:textId="77777777" w:rsidR="00120717" w:rsidRPr="00F64A35" w:rsidRDefault="00120717" w:rsidP="00185006">
      <w:pPr>
        <w:pStyle w:val="BodyText"/>
      </w:pPr>
      <w:r w:rsidRPr="00B93EE1">
        <w:t>The amount of duties refunded under the drawback scheme stood at NZD 78 million in 2020/21, up from NZD 44 million in 2013/14.</w:t>
      </w:r>
    </w:p>
    <w:p w14:paraId="49090B0E" w14:textId="77777777" w:rsidR="00120717" w:rsidRPr="00F64A35" w:rsidRDefault="00120717" w:rsidP="00185006">
      <w:pPr>
        <w:pStyle w:val="BodyText"/>
      </w:pPr>
      <w:r w:rsidRPr="00B93EE1">
        <w:t xml:space="preserve">Duties may be waived for temporary imports if the goods are re-exported or packed for export in a customs-controlled area or destroyed within 12 months from the date of importation. In addition, duty remissions are available for goods held in customs-controlled areas (export warehouses and duty-free shops) duly licensed by the </w:t>
      </w:r>
      <w:proofErr w:type="spellStart"/>
      <w:r w:rsidRPr="00B93EE1">
        <w:t>NZCS</w:t>
      </w:r>
      <w:proofErr w:type="spellEnd"/>
      <w:r w:rsidRPr="00B93EE1">
        <w:t>.</w:t>
      </w:r>
    </w:p>
    <w:p w14:paraId="7AF9F19F" w14:textId="77777777" w:rsidR="00120717" w:rsidRPr="00F64A35" w:rsidRDefault="00120717" w:rsidP="00F64A35">
      <w:pPr>
        <w:pStyle w:val="BodyText"/>
      </w:pPr>
      <w:r w:rsidRPr="00B93EE1">
        <w:t>Since the previous Review, there has been further investment in New Zealand's export promotion framework. New Zealand Trade and Enterprise (</w:t>
      </w:r>
      <w:proofErr w:type="spellStart"/>
      <w:r w:rsidRPr="00B93EE1">
        <w:t>NZTE</w:t>
      </w:r>
      <w:proofErr w:type="spellEnd"/>
      <w:r w:rsidRPr="00B93EE1">
        <w:t xml:space="preserve">) received additional funding and resource to support New Zealand's trade recovery. The </w:t>
      </w:r>
      <w:proofErr w:type="spellStart"/>
      <w:r w:rsidRPr="00B93EE1">
        <w:t>NZTE</w:t>
      </w:r>
      <w:proofErr w:type="spellEnd"/>
      <w:r w:rsidRPr="00B93EE1">
        <w:t xml:space="preserve"> has the responsibility to extend companies' international reach by focusing assistance on them and mobilizing capital to support business growth. Its activities include strategic advice; facilitating access to networks, research, and market intelligence for new export companies; and support for enterprises that already export.</w:t>
      </w:r>
      <w:r w:rsidRPr="00B93EE1">
        <w:rPr>
          <w:vertAlign w:val="superscript"/>
        </w:rPr>
        <w:footnoteReference w:id="163"/>
      </w:r>
      <w:r w:rsidRPr="00B93EE1">
        <w:t xml:space="preserve"> The additional resource has enabled a doubling of the number of companies it works with, launching a new My </w:t>
      </w:r>
      <w:proofErr w:type="spellStart"/>
      <w:r w:rsidRPr="00B93EE1">
        <w:t>NZTE</w:t>
      </w:r>
      <w:proofErr w:type="spellEnd"/>
      <w:r w:rsidRPr="00B93EE1">
        <w:t xml:space="preserve"> online portal to reach more businesses, and greater support on the ground for exporters who are not able to travel.</w:t>
      </w:r>
    </w:p>
    <w:p w14:paraId="61B76349" w14:textId="77777777" w:rsidR="00120717" w:rsidRPr="00F64A35" w:rsidRDefault="00120717" w:rsidP="00185006">
      <w:pPr>
        <w:pStyle w:val="BodyText"/>
      </w:pPr>
      <w:r w:rsidRPr="00B93EE1">
        <w:t>The International Growth Fund (</w:t>
      </w:r>
      <w:proofErr w:type="spellStart"/>
      <w:r w:rsidRPr="00B93EE1">
        <w:t>IGF</w:t>
      </w:r>
      <w:proofErr w:type="spellEnd"/>
      <w:r w:rsidRPr="00B93EE1">
        <w:t>) of NZD 60 million (as at November 2021) provides support to assist firms that have the potential to contribute to New Zealand's long-term economic growth and acquire key capabilities for business growth, including:</w:t>
      </w:r>
    </w:p>
    <w:p w14:paraId="5368D18B" w14:textId="77777777" w:rsidR="00120717" w:rsidRPr="00B93EE1" w:rsidRDefault="00120717" w:rsidP="00AF569F">
      <w:pPr>
        <w:pStyle w:val="ListBullet2"/>
        <w:contextualSpacing w:val="0"/>
      </w:pPr>
      <w:r w:rsidRPr="00B93EE1">
        <w:t>gaining knowledge of new markets;</w:t>
      </w:r>
    </w:p>
    <w:p w14:paraId="773B9C28" w14:textId="77777777" w:rsidR="00120717" w:rsidRPr="00B93EE1" w:rsidRDefault="00120717" w:rsidP="00AF569F">
      <w:pPr>
        <w:pStyle w:val="ListBullet2"/>
        <w:contextualSpacing w:val="0"/>
      </w:pPr>
      <w:r w:rsidRPr="00B93EE1">
        <w:t>business and management capability;</w:t>
      </w:r>
    </w:p>
    <w:p w14:paraId="44E2A27E" w14:textId="77777777" w:rsidR="00120717" w:rsidRPr="00B93EE1" w:rsidRDefault="00120717" w:rsidP="00AF569F">
      <w:pPr>
        <w:pStyle w:val="ListBullet2"/>
        <w:contextualSpacing w:val="0"/>
      </w:pPr>
      <w:r w:rsidRPr="00B93EE1">
        <w:t>ability to innovate and manage the commercialization of research and development; and</w:t>
      </w:r>
    </w:p>
    <w:p w14:paraId="45808E45" w14:textId="77777777" w:rsidR="00120717" w:rsidRPr="00B93EE1" w:rsidRDefault="00120717" w:rsidP="00AF569F">
      <w:pPr>
        <w:pStyle w:val="ListBullet2"/>
        <w:contextualSpacing w:val="0"/>
      </w:pPr>
      <w:r w:rsidRPr="00B93EE1">
        <w:lastRenderedPageBreak/>
        <w:t>ability to access and raise finance for future opportunities.</w:t>
      </w:r>
    </w:p>
    <w:p w14:paraId="6FDEC661" w14:textId="77777777" w:rsidR="00120717" w:rsidRPr="00F64A35" w:rsidRDefault="00120717" w:rsidP="00185006">
      <w:pPr>
        <w:pStyle w:val="BodyText"/>
      </w:pPr>
      <w:r w:rsidRPr="00B93EE1">
        <w:t xml:space="preserve">The New Zealand Story (NZ Story) has built resources to promote the good reputation of export products by sharing success stories on some New Zealand products and services, managing the </w:t>
      </w:r>
      <w:proofErr w:type="spellStart"/>
      <w:r w:rsidRPr="00B93EE1">
        <w:t>FernMark</w:t>
      </w:r>
      <w:proofErr w:type="spellEnd"/>
      <w:r w:rsidRPr="00B93EE1">
        <w:t xml:space="preserve"> programme (a country of origin mark), and working with exporters to reflect the values and images of New Zealand in their international marketing. The NZ Story Secretariat is housed within </w:t>
      </w:r>
      <w:proofErr w:type="spellStart"/>
      <w:r w:rsidRPr="00B93EE1">
        <w:t>NZTE</w:t>
      </w:r>
      <w:proofErr w:type="spellEnd"/>
      <w:r w:rsidRPr="00B93EE1">
        <w:t>.</w:t>
      </w:r>
    </w:p>
    <w:p w14:paraId="506D64DC" w14:textId="77777777" w:rsidR="00120717" w:rsidRPr="00F64A35" w:rsidRDefault="00120717" w:rsidP="00185006">
      <w:pPr>
        <w:pStyle w:val="Heading3"/>
      </w:pPr>
      <w:bookmarkStart w:id="128" w:name="_Toc415735884"/>
      <w:bookmarkStart w:id="129" w:name="_Toc97800152"/>
      <w:r w:rsidRPr="00B93EE1">
        <w:t>Export finance, insurance, and guarantees</w:t>
      </w:r>
      <w:bookmarkEnd w:id="128"/>
      <w:bookmarkEnd w:id="129"/>
    </w:p>
    <w:p w14:paraId="0FC31BE0" w14:textId="77777777" w:rsidR="00120717" w:rsidRPr="00F64A35" w:rsidRDefault="00120717" w:rsidP="00185006">
      <w:pPr>
        <w:pStyle w:val="BodyText"/>
      </w:pPr>
      <w:r w:rsidRPr="00B93EE1">
        <w:t>The New Zealand Export Credit Office (</w:t>
      </w:r>
      <w:proofErr w:type="spellStart"/>
      <w:r w:rsidRPr="00B93EE1">
        <w:t>NZECO</w:t>
      </w:r>
      <w:proofErr w:type="spellEnd"/>
      <w:r w:rsidRPr="00B93EE1">
        <w:t>), under the Treasury, provides trade credit insurance and financial guarantee products that complement those available in the private sector for exporters and banks, including against the risk of non</w:t>
      </w:r>
      <w:r w:rsidRPr="00B93EE1">
        <w:noBreakHyphen/>
        <w:t>payment arising from defined political or commercial risks (up to 100% cover).</w:t>
      </w:r>
      <w:r w:rsidRPr="00B93EE1">
        <w:rPr>
          <w:vertAlign w:val="superscript"/>
        </w:rPr>
        <w:footnoteReference w:id="164"/>
      </w:r>
    </w:p>
    <w:p w14:paraId="4B110C95" w14:textId="6944844E" w:rsidR="00120717" w:rsidRPr="00F64A35" w:rsidRDefault="00120717" w:rsidP="00185006">
      <w:pPr>
        <w:pStyle w:val="BodyText"/>
      </w:pPr>
      <w:proofErr w:type="spellStart"/>
      <w:r w:rsidRPr="00B93EE1">
        <w:t>NZECO</w:t>
      </w:r>
      <w:proofErr w:type="spellEnd"/>
      <w:r w:rsidRPr="00B93EE1">
        <w:t xml:space="preserve"> charges risk-weighted premiums for its products, and its obligations to third parties are guaranteed by the Government. The Government's maximum liability under the scheme is NZD 740 million. To be eligible for </w:t>
      </w:r>
      <w:proofErr w:type="spellStart"/>
      <w:r w:rsidRPr="00B93EE1">
        <w:t>NZECO's</w:t>
      </w:r>
      <w:proofErr w:type="spellEnd"/>
      <w:r w:rsidRPr="00B93EE1">
        <w:t xml:space="preserve"> guarantees, an exporter must be either a New Zealand registered company, or a subsidiary of a New Zealand registered company located abroad, and an economic benefit to New Zealand must exist from the transaction. </w:t>
      </w:r>
      <w:proofErr w:type="spellStart"/>
      <w:r w:rsidRPr="00B93EE1">
        <w:t>NZECO's</w:t>
      </w:r>
      <w:proofErr w:type="spellEnd"/>
      <w:r w:rsidRPr="00B93EE1">
        <w:t xml:space="preserve"> solutions can also be provided to a New Zealand firm that is providing goods or services that are integral to a New Zealand exporter's supply chain.</w:t>
      </w:r>
    </w:p>
    <w:p w14:paraId="681C9069" w14:textId="77777777" w:rsidR="00120717" w:rsidRPr="00F64A35" w:rsidRDefault="00120717" w:rsidP="00185006">
      <w:pPr>
        <w:pStyle w:val="BodyText"/>
      </w:pPr>
      <w:proofErr w:type="spellStart"/>
      <w:r w:rsidRPr="00B93EE1">
        <w:t>NZECO's</w:t>
      </w:r>
      <w:proofErr w:type="spellEnd"/>
      <w:r w:rsidRPr="00B93EE1">
        <w:t xml:space="preserve"> products relate to short (less than one year), and medium/long-term financing (between 1 and 14 years). </w:t>
      </w:r>
      <w:proofErr w:type="spellStart"/>
      <w:r w:rsidRPr="00B93EE1">
        <w:t>NZECO</w:t>
      </w:r>
      <w:proofErr w:type="spellEnd"/>
      <w:r w:rsidRPr="00B93EE1">
        <w:t xml:space="preserve"> is not mandated to compete with the private insurers and can only provide this product for non-marketable risks and/or where the insurers lack the capacity. During the 2020/21 financial year, </w:t>
      </w:r>
      <w:proofErr w:type="spellStart"/>
      <w:r w:rsidRPr="00B93EE1">
        <w:t>NZECO</w:t>
      </w:r>
      <w:proofErr w:type="spellEnd"/>
      <w:r w:rsidRPr="00B93EE1">
        <w:t xml:space="preserve"> underwrote NZD 174 million of new exposure, in support of 68 exporting companies. This support included co-insurance (top-up cover) policies to support the private insurers' capacity.</w:t>
      </w:r>
    </w:p>
    <w:p w14:paraId="2ADCF5A5" w14:textId="77777777" w:rsidR="00120717" w:rsidRPr="00F64A35" w:rsidRDefault="00120717" w:rsidP="00B82512">
      <w:pPr>
        <w:pStyle w:val="BodyText"/>
      </w:pPr>
      <w:r w:rsidRPr="00B93EE1">
        <w:t xml:space="preserve">According to the authorities, </w:t>
      </w:r>
      <w:proofErr w:type="spellStart"/>
      <w:r w:rsidRPr="00B93EE1">
        <w:t>NZECO</w:t>
      </w:r>
      <w:proofErr w:type="spellEnd"/>
      <w:r w:rsidRPr="00B93EE1">
        <w:t xml:space="preserve"> follows the OECD Arrangement on export credits and pricing, as well as its own Crown-mandated criteria and prudential limits. Pursuant to the OECD Arrangement, New Zealand does not provide officially supported export credits or tied aid for unabated coal-fired power plants.</w:t>
      </w:r>
    </w:p>
    <w:p w14:paraId="79C88B30" w14:textId="77777777" w:rsidR="00120717" w:rsidRPr="00F64A35" w:rsidRDefault="00120717" w:rsidP="00185006">
      <w:pPr>
        <w:pStyle w:val="Heading2"/>
      </w:pPr>
      <w:bookmarkStart w:id="130" w:name="_Toc415735885"/>
      <w:bookmarkStart w:id="131" w:name="_Toc97800153"/>
      <w:r w:rsidRPr="00B93EE1">
        <w:t>Measures Affecting Production and Trade</w:t>
      </w:r>
      <w:bookmarkEnd w:id="130"/>
      <w:bookmarkEnd w:id="131"/>
    </w:p>
    <w:p w14:paraId="1D909EE2" w14:textId="77777777" w:rsidR="00120717" w:rsidRPr="00F64A35" w:rsidRDefault="00120717" w:rsidP="00E962FF">
      <w:pPr>
        <w:pStyle w:val="Heading3"/>
        <w:numPr>
          <w:ilvl w:val="2"/>
          <w:numId w:val="30"/>
        </w:numPr>
      </w:pPr>
      <w:bookmarkStart w:id="132" w:name="_Toc415735886"/>
      <w:bookmarkStart w:id="133" w:name="_Toc97800154"/>
      <w:r w:rsidRPr="00B93EE1">
        <w:t>Incentives</w:t>
      </w:r>
      <w:bookmarkEnd w:id="132"/>
      <w:bookmarkEnd w:id="133"/>
    </w:p>
    <w:p w14:paraId="502C140D" w14:textId="77777777" w:rsidR="00120717" w:rsidRPr="00F64A35" w:rsidRDefault="00120717" w:rsidP="00185006">
      <w:pPr>
        <w:pStyle w:val="BodyText"/>
      </w:pPr>
      <w:r w:rsidRPr="00B93EE1">
        <w:t xml:space="preserve">New Zealand provides various forms of incentives to firms with a strong emphasis on innovation and capacity-building; however, these are not targeted at specific sectors. Incentive programmes are delivered through Callaghan Innovation and </w:t>
      </w:r>
      <w:proofErr w:type="spellStart"/>
      <w:r w:rsidRPr="00B93EE1">
        <w:t>NZTE</w:t>
      </w:r>
      <w:proofErr w:type="spellEnd"/>
      <w:r w:rsidRPr="00B93EE1">
        <w:t>. Callaghan Innovation, a stand</w:t>
      </w:r>
      <w:r w:rsidRPr="00B93EE1">
        <w:noBreakHyphen/>
        <w:t>alone Crown entity established in 2013, is New Zealand's innovation agency. It accelerates the commercialization of innovation by firms, funds business R&amp;D, advises business on innovation, and provides some research and technical services.</w:t>
      </w:r>
      <w:r w:rsidRPr="00B93EE1">
        <w:rPr>
          <w:szCs w:val="20"/>
          <w:vertAlign w:val="superscript"/>
        </w:rPr>
        <w:footnoteReference w:id="165"/>
      </w:r>
    </w:p>
    <w:p w14:paraId="460A094B" w14:textId="77777777" w:rsidR="00120717" w:rsidRPr="00F64A35" w:rsidRDefault="00120717" w:rsidP="00C513B5">
      <w:pPr>
        <w:pStyle w:val="BodyText"/>
      </w:pPr>
      <w:r w:rsidRPr="00B93EE1">
        <w:rPr>
          <w:color w:val="000000"/>
          <w:szCs w:val="20"/>
        </w:rPr>
        <w:t>Callaghan Innovation has a mixed delivery model of six products available to New Zealand businesses. According to the authorities, the intent is to build the innovation skills needed to take ideas through to valued products and services.</w:t>
      </w:r>
      <w:r w:rsidRPr="00B93EE1">
        <w:rPr>
          <w:rStyle w:val="FootnoteReference"/>
          <w:color w:val="000000"/>
          <w:szCs w:val="20"/>
        </w:rPr>
        <w:footnoteReference w:id="166"/>
      </w:r>
      <w:r w:rsidRPr="00B93EE1">
        <w:rPr>
          <w:color w:val="000000"/>
          <w:szCs w:val="20"/>
        </w:rPr>
        <w:t xml:space="preserve"> These products include the following:</w:t>
      </w:r>
    </w:p>
    <w:p w14:paraId="0A136288" w14:textId="77777777" w:rsidR="00120717" w:rsidRPr="00B93EE1" w:rsidRDefault="00120717" w:rsidP="00F2289F">
      <w:pPr>
        <w:pStyle w:val="ListBullet2"/>
        <w:keepNext/>
        <w:keepLines/>
        <w:contextualSpacing w:val="0"/>
      </w:pPr>
      <w:r w:rsidRPr="00B93EE1">
        <w:lastRenderedPageBreak/>
        <w:t>Lean: a workshop and coaching programme for businesses to help boost competitiveness and performance. It can include co-funding of 40% or up to NZD 20,000 towards consultant costs for implementation in the first 12 months after the workshop.</w:t>
      </w:r>
    </w:p>
    <w:p w14:paraId="24B7BE8B" w14:textId="77777777" w:rsidR="00120717" w:rsidRPr="00B93EE1" w:rsidRDefault="00120717" w:rsidP="00AF569F">
      <w:pPr>
        <w:pStyle w:val="ListBullet2"/>
        <w:contextualSpacing w:val="0"/>
      </w:pPr>
      <w:r w:rsidRPr="00B93EE1">
        <w:t>Digital Lean: a capability-building programme similar to Lean that also teaches strategies related to new technologies.</w:t>
      </w:r>
    </w:p>
    <w:p w14:paraId="3815AABF" w14:textId="77777777" w:rsidR="00120717" w:rsidRPr="00B93EE1" w:rsidRDefault="00120717" w:rsidP="00AF569F">
      <w:pPr>
        <w:pStyle w:val="ListBullet2"/>
        <w:contextualSpacing w:val="0"/>
      </w:pPr>
      <w:r w:rsidRPr="00B93EE1">
        <w:t>Beyond IP: a programme that teaches businesses about intellectual property strategy.</w:t>
      </w:r>
    </w:p>
    <w:p w14:paraId="32442978" w14:textId="77777777" w:rsidR="00120717" w:rsidRPr="00B93EE1" w:rsidRDefault="00120717" w:rsidP="00AF569F">
      <w:pPr>
        <w:pStyle w:val="ListBullet2"/>
        <w:contextualSpacing w:val="0"/>
      </w:pPr>
      <w:r w:rsidRPr="00B93EE1">
        <w:t>Technology Incubators: a programme that supports the commercialization of deep tech start-ups. Support can include a NZD 750,000 repayable loan.</w:t>
      </w:r>
    </w:p>
    <w:p w14:paraId="7BF7B064" w14:textId="77777777" w:rsidR="00120717" w:rsidRPr="00B93EE1" w:rsidRDefault="00120717" w:rsidP="00AF569F">
      <w:pPr>
        <w:pStyle w:val="ListBullet2"/>
        <w:contextualSpacing w:val="0"/>
      </w:pPr>
      <w:r w:rsidRPr="00B93EE1">
        <w:t>Founder Incubators &amp; Accelerators: Callaghan Innovation supports the operating funding to the value of NZD 2.87 million to a range of organizations that provide support to start</w:t>
      </w:r>
      <w:r w:rsidRPr="00B93EE1">
        <w:noBreakHyphen/>
        <w:t>ups.</w:t>
      </w:r>
    </w:p>
    <w:p w14:paraId="6836D753" w14:textId="77777777" w:rsidR="00120717" w:rsidRPr="00B93EE1" w:rsidRDefault="00120717" w:rsidP="00AF569F">
      <w:pPr>
        <w:pStyle w:val="ListBullet2"/>
        <w:contextualSpacing w:val="0"/>
      </w:pPr>
      <w:r w:rsidRPr="00B93EE1">
        <w:t>Capital Education:</w:t>
      </w:r>
      <w:r w:rsidRPr="00B93EE1">
        <w:rPr>
          <w:color w:val="000000"/>
          <w:szCs w:val="20"/>
        </w:rPr>
        <w:t xml:space="preserve"> a virtual introductory workshop on the capital-raising process.</w:t>
      </w:r>
    </w:p>
    <w:p w14:paraId="1AEF73AE" w14:textId="77777777" w:rsidR="00120717" w:rsidRPr="00F64A35" w:rsidRDefault="00120717" w:rsidP="00185006">
      <w:pPr>
        <w:pStyle w:val="BodyText"/>
      </w:pPr>
      <w:r w:rsidRPr="00B93EE1">
        <w:t xml:space="preserve">Under the Callaghan Innovation's </w:t>
      </w:r>
      <w:hyperlink r:id="rId37" w:history="1">
        <w:r w:rsidRPr="00B93EE1">
          <w:t>Business R&amp;D Funding</w:t>
        </w:r>
      </w:hyperlink>
      <w:r w:rsidRPr="00B93EE1">
        <w:t xml:space="preserve"> programme, over NZD 162 million was awarded in FY2020/21 to provide an incentive for increasing business investment in R&amp;D with a view to accelerating innovation by firms in New Zealand. The programme is implemented through the following schemes:</w:t>
      </w:r>
    </w:p>
    <w:p w14:paraId="6F359C98" w14:textId="77777777" w:rsidR="00120717" w:rsidRPr="00B93EE1" w:rsidRDefault="00120717" w:rsidP="00AF569F">
      <w:pPr>
        <w:pStyle w:val="ListBullet2"/>
        <w:contextualSpacing w:val="0"/>
      </w:pPr>
      <w:r w:rsidRPr="00B93EE1">
        <w:t>The R&amp;D Tax Incentive (</w:t>
      </w:r>
      <w:proofErr w:type="spellStart"/>
      <w:r w:rsidRPr="00B93EE1">
        <w:t>RDTI</w:t>
      </w:r>
      <w:proofErr w:type="spellEnd"/>
      <w:r w:rsidRPr="00B93EE1">
        <w:t xml:space="preserve">), run by </w:t>
      </w:r>
      <w:proofErr w:type="spellStart"/>
      <w:r w:rsidRPr="00B93EE1">
        <w:t>MBIE</w:t>
      </w:r>
      <w:proofErr w:type="spellEnd"/>
      <w:r w:rsidRPr="00B93EE1">
        <w:t xml:space="preserve">, Callaghan Innovation, and Inland Revenue. The </w:t>
      </w:r>
      <w:proofErr w:type="spellStart"/>
      <w:r w:rsidRPr="00B93EE1">
        <w:t>RDTI</w:t>
      </w:r>
      <w:proofErr w:type="spellEnd"/>
      <w:r w:rsidRPr="00B93EE1">
        <w:t xml:space="preserve"> allows businesses to claim 15% tax credit on eligible R&amp;D costs. Loss</w:t>
      </w:r>
      <w:r w:rsidRPr="00B93EE1">
        <w:noBreakHyphen/>
        <w:t xml:space="preserve">making businesses can apply to have the tax credit refunded or carried forward. The Government will invest NZD 1 billion into the </w:t>
      </w:r>
      <w:proofErr w:type="spellStart"/>
      <w:r w:rsidRPr="00B93EE1">
        <w:t>RDTI</w:t>
      </w:r>
      <w:proofErr w:type="spellEnd"/>
      <w:r w:rsidRPr="00B93EE1">
        <w:t xml:space="preserve"> over the next four years to encourage New Zealand businesses to spend more on R&amp;D.</w:t>
      </w:r>
    </w:p>
    <w:p w14:paraId="76C570DF" w14:textId="77777777" w:rsidR="00120717" w:rsidRPr="00B93EE1" w:rsidRDefault="00120717" w:rsidP="00AF569F">
      <w:pPr>
        <w:pStyle w:val="ListBullet2"/>
        <w:contextualSpacing w:val="0"/>
      </w:pPr>
      <w:r w:rsidRPr="00B93EE1">
        <w:t>Callaghan Innovation has a range of Project and Student Grants. From FY2022/23, this will become a yearly appropriation of NZD 37.5 million, including the following grants:</w:t>
      </w:r>
    </w:p>
    <w:p w14:paraId="0F880C62" w14:textId="77777777" w:rsidR="00120717" w:rsidRPr="00B93EE1" w:rsidRDefault="00120717" w:rsidP="00AF569F">
      <w:pPr>
        <w:pStyle w:val="ListBullet3"/>
        <w:contextualSpacing w:val="0"/>
      </w:pPr>
      <w:r w:rsidRPr="00B93EE1">
        <w:t>A Getting Started Grant is available for businesses at early stage or new to R&amp;D;</w:t>
      </w:r>
    </w:p>
    <w:p w14:paraId="714FB855" w14:textId="77777777" w:rsidR="00120717" w:rsidRPr="00B93EE1" w:rsidRDefault="00120717" w:rsidP="00AF569F">
      <w:pPr>
        <w:pStyle w:val="ListBullet3"/>
        <w:contextualSpacing w:val="0"/>
      </w:pPr>
      <w:r w:rsidRPr="00B93EE1">
        <w:t>An R&amp;D Experience Grant allows businesses to hire a tertiary student to support R&amp;D work over their summer break. The business receives funding of NZD 8,460 plus GST for 400 hours of full</w:t>
      </w:r>
      <w:r w:rsidRPr="00B93EE1">
        <w:noBreakHyphen/>
        <w:t>time work.</w:t>
      </w:r>
    </w:p>
    <w:p w14:paraId="1A5F7F94" w14:textId="77777777" w:rsidR="00120717" w:rsidRPr="00B93EE1" w:rsidRDefault="00120717" w:rsidP="00AF569F">
      <w:pPr>
        <w:pStyle w:val="ListBullet3"/>
        <w:contextualSpacing w:val="0"/>
      </w:pPr>
      <w:r w:rsidRPr="00B93EE1">
        <w:t>An R&amp;D Fellowship Grant provides businesses with advanced research at the PhD or master's degree level to help solve an R&amp;D problem; and</w:t>
      </w:r>
    </w:p>
    <w:p w14:paraId="5CAE1D6A" w14:textId="77777777" w:rsidR="00120717" w:rsidRPr="00B93EE1" w:rsidRDefault="00120717" w:rsidP="00AF569F">
      <w:pPr>
        <w:pStyle w:val="ListBullet3"/>
        <w:contextualSpacing w:val="0"/>
      </w:pPr>
      <w:r w:rsidRPr="00B93EE1">
        <w:t>An R&amp;D Career Grant provides funding for an internship, allowing people with a PhD or master's degree to gain six months' experience in helping to solve an R&amp;D problem.</w:t>
      </w:r>
    </w:p>
    <w:p w14:paraId="1EAB64BF" w14:textId="77777777" w:rsidR="00120717" w:rsidRPr="00B93EE1" w:rsidRDefault="00120717" w:rsidP="00AF569F">
      <w:pPr>
        <w:pStyle w:val="ListBullet2"/>
        <w:contextualSpacing w:val="0"/>
      </w:pPr>
      <w:r w:rsidRPr="00B93EE1">
        <w:t>The R&amp;D Project Grants supports companies with new or weak R&amp;D programmes.</w:t>
      </w:r>
    </w:p>
    <w:p w14:paraId="3044A2D1" w14:textId="77777777" w:rsidR="00120717" w:rsidRPr="00F64A35" w:rsidRDefault="00120717" w:rsidP="00185006">
      <w:pPr>
        <w:pStyle w:val="BodyText"/>
      </w:pPr>
      <w:r w:rsidRPr="00B93EE1">
        <w:rPr>
          <w:szCs w:val="20"/>
        </w:rPr>
        <w:t xml:space="preserve">The </w:t>
      </w:r>
      <w:proofErr w:type="spellStart"/>
      <w:r w:rsidRPr="00B93EE1">
        <w:rPr>
          <w:szCs w:val="20"/>
        </w:rPr>
        <w:t>NZTE</w:t>
      </w:r>
      <w:proofErr w:type="spellEnd"/>
      <w:r w:rsidRPr="00B93EE1">
        <w:rPr>
          <w:szCs w:val="20"/>
        </w:rPr>
        <w:t>, formed in 2003, is New Zealand's international business development agency.</w:t>
      </w:r>
      <w:r w:rsidRPr="00B93EE1">
        <w:t xml:space="preserve"> It offers strategic advice, access to networks and influencers, and research and market intelligence, and it has the responsibility to extend companies' international reach by assisting them and mobilizing capital to support business growth.</w:t>
      </w:r>
    </w:p>
    <w:p w14:paraId="542704F1" w14:textId="77777777" w:rsidR="00120717" w:rsidRPr="00F64A35" w:rsidRDefault="00120717" w:rsidP="00D7573E">
      <w:pPr>
        <w:pStyle w:val="BodyText"/>
      </w:pPr>
      <w:r w:rsidRPr="00B93EE1">
        <w:t xml:space="preserve">The </w:t>
      </w:r>
      <w:proofErr w:type="spellStart"/>
      <w:r w:rsidRPr="00B93EE1">
        <w:t>NZTE</w:t>
      </w:r>
      <w:proofErr w:type="spellEnd"/>
      <w:r w:rsidRPr="00B93EE1">
        <w:t>, through its International Growth Fund (</w:t>
      </w:r>
      <w:proofErr w:type="spellStart"/>
      <w:r w:rsidRPr="00B93EE1">
        <w:t>IGF</w:t>
      </w:r>
      <w:proofErr w:type="spellEnd"/>
      <w:r w:rsidRPr="00B93EE1">
        <w:t xml:space="preserve">), assists businesses that have the potential to contribute to New Zealand's long-term economic growth by helping them acquire key capabilities for business growth, including knowledge of new markets; business and management capability; the ability to innovate and manage the commercialization of R&amp;D; and the ability to access and raise financing for future opportunities. </w:t>
      </w:r>
      <w:proofErr w:type="spellStart"/>
      <w:r w:rsidRPr="00B93EE1">
        <w:t>IGF</w:t>
      </w:r>
      <w:proofErr w:type="spellEnd"/>
      <w:r w:rsidRPr="00B93EE1">
        <w:t xml:space="preserve"> funding increased from NZD 30 million to </w:t>
      </w:r>
      <w:r w:rsidRPr="00B93EE1">
        <w:lastRenderedPageBreak/>
        <w:t>NZD 60 million per year for the next four years (2022-26) as part of New Zealand's response to COVID</w:t>
      </w:r>
      <w:r w:rsidRPr="00B93EE1">
        <w:noBreakHyphen/>
        <w:t>19 disruptions.</w:t>
      </w:r>
      <w:r w:rsidRPr="00B93EE1">
        <w:rPr>
          <w:szCs w:val="20"/>
          <w:vertAlign w:val="superscript"/>
        </w:rPr>
        <w:footnoteReference w:id="167"/>
      </w:r>
      <w:r w:rsidRPr="00B93EE1">
        <w:t xml:space="preserve"> </w:t>
      </w:r>
    </w:p>
    <w:p w14:paraId="77F5634B" w14:textId="77777777" w:rsidR="00120717" w:rsidRPr="00F64A35" w:rsidRDefault="00120717" w:rsidP="00185006">
      <w:pPr>
        <w:pStyle w:val="Heading3"/>
      </w:pPr>
      <w:bookmarkStart w:id="135" w:name="_Toc415735887"/>
      <w:bookmarkStart w:id="136" w:name="_Toc97800155"/>
      <w:r w:rsidRPr="00B93EE1">
        <w:t>Subsidies and other government assistance</w:t>
      </w:r>
      <w:bookmarkEnd w:id="135"/>
      <w:bookmarkEnd w:id="136"/>
    </w:p>
    <w:p w14:paraId="1BEF3AF8" w14:textId="77777777" w:rsidR="00120717" w:rsidRPr="00F64A35" w:rsidRDefault="00120717" w:rsidP="00185006">
      <w:pPr>
        <w:pStyle w:val="BodyText"/>
      </w:pPr>
      <w:r w:rsidRPr="00B93EE1">
        <w:t>In its latest notification to the WTO, New Zealand reported 3 subsidy schemes (down from 11 programmes in 2011) that aim to promote R&amp;D, industry innovation, business capabilities, jobs, sustainable economic development, and environmental sustainability (Table 3.9).</w:t>
      </w:r>
      <w:r w:rsidRPr="00B93EE1">
        <w:rPr>
          <w:vertAlign w:val="superscript"/>
        </w:rPr>
        <w:footnoteReference w:id="168"/>
      </w:r>
    </w:p>
    <w:p w14:paraId="43B60659" w14:textId="67452E2F" w:rsidR="00120717" w:rsidRPr="00B93EE1" w:rsidRDefault="00D37A97" w:rsidP="00D37A97">
      <w:pPr>
        <w:pStyle w:val="Caption"/>
      </w:pPr>
      <w:bookmarkStart w:id="137" w:name="_Toc418783245"/>
      <w:bookmarkStart w:id="138" w:name="_Toc97793395"/>
      <w:r>
        <w:t xml:space="preserve">Table </w:t>
      </w:r>
      <w:r w:rsidR="0012793B">
        <w:fldChar w:fldCharType="begin"/>
      </w:r>
      <w:r w:rsidR="0012793B">
        <w:instrText xml:space="preserve"> 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9</w:t>
      </w:r>
      <w:r w:rsidR="0012793B">
        <w:rPr>
          <w:noProof/>
        </w:rPr>
        <w:fldChar w:fldCharType="end"/>
      </w:r>
      <w:r>
        <w:t xml:space="preserve"> </w:t>
      </w:r>
      <w:r w:rsidR="00120717" w:rsidRPr="00B93EE1">
        <w:t>Subsidy schemes, 2021</w:t>
      </w:r>
      <w:bookmarkEnd w:id="137"/>
      <w:bookmarkEnd w:id="138"/>
    </w:p>
    <w:tbl>
      <w:tblPr>
        <w:tblStyle w:val="WTOTable1"/>
        <w:tblW w:w="9101" w:type="dxa"/>
        <w:tblLook w:val="04A0" w:firstRow="1" w:lastRow="0" w:firstColumn="1" w:lastColumn="0" w:noHBand="0" w:noVBand="1"/>
      </w:tblPr>
      <w:tblGrid>
        <w:gridCol w:w="2127"/>
        <w:gridCol w:w="1588"/>
        <w:gridCol w:w="1809"/>
        <w:gridCol w:w="1701"/>
        <w:gridCol w:w="1876"/>
      </w:tblGrid>
      <w:tr w:rsidR="00120717" w:rsidRPr="00B93EE1" w14:paraId="12BC3C76" w14:textId="77777777" w:rsidTr="00461BC7">
        <w:trPr>
          <w:cnfStyle w:val="100000000000" w:firstRow="1" w:lastRow="0" w:firstColumn="0" w:lastColumn="0" w:oddVBand="0" w:evenVBand="0" w:oddHBand="0" w:evenHBand="0" w:firstRowFirstColumn="0" w:firstRowLastColumn="0" w:lastRowFirstColumn="0" w:lastRowLastColumn="0"/>
        </w:trPr>
        <w:tc>
          <w:tcPr>
            <w:tcW w:w="2127" w:type="dxa"/>
            <w:vAlign w:val="center"/>
          </w:tcPr>
          <w:p w14:paraId="391E5E66" w14:textId="77777777" w:rsidR="00120717" w:rsidRPr="00B93EE1" w:rsidRDefault="00120717" w:rsidP="00185006">
            <w:pPr>
              <w:keepNext/>
              <w:jc w:val="left"/>
              <w:rPr>
                <w:bCs/>
                <w:sz w:val="15"/>
                <w:szCs w:val="15"/>
              </w:rPr>
            </w:pPr>
            <w:r w:rsidRPr="00B93EE1">
              <w:rPr>
                <w:bCs/>
                <w:sz w:val="15"/>
                <w:szCs w:val="15"/>
              </w:rPr>
              <w:t>Subsidy scheme</w:t>
            </w:r>
          </w:p>
        </w:tc>
        <w:tc>
          <w:tcPr>
            <w:tcW w:w="1588" w:type="dxa"/>
            <w:vAlign w:val="center"/>
          </w:tcPr>
          <w:p w14:paraId="5D182F44" w14:textId="77777777" w:rsidR="00120717" w:rsidRPr="00B93EE1" w:rsidRDefault="00120717" w:rsidP="00185006">
            <w:pPr>
              <w:keepNext/>
              <w:jc w:val="left"/>
              <w:rPr>
                <w:bCs/>
                <w:sz w:val="15"/>
                <w:szCs w:val="15"/>
              </w:rPr>
            </w:pPr>
            <w:r w:rsidRPr="00B93EE1">
              <w:rPr>
                <w:bCs/>
                <w:sz w:val="15"/>
                <w:szCs w:val="15"/>
              </w:rPr>
              <w:t>Purpose</w:t>
            </w:r>
          </w:p>
        </w:tc>
        <w:tc>
          <w:tcPr>
            <w:tcW w:w="1809" w:type="dxa"/>
            <w:vAlign w:val="center"/>
          </w:tcPr>
          <w:p w14:paraId="03DA3719" w14:textId="77777777" w:rsidR="00120717" w:rsidRPr="00B93EE1" w:rsidRDefault="00120717" w:rsidP="00185006">
            <w:pPr>
              <w:keepNext/>
              <w:jc w:val="left"/>
              <w:rPr>
                <w:bCs/>
                <w:sz w:val="15"/>
                <w:szCs w:val="15"/>
              </w:rPr>
            </w:pPr>
            <w:r w:rsidRPr="00B93EE1">
              <w:rPr>
                <w:bCs/>
                <w:sz w:val="15"/>
                <w:szCs w:val="15"/>
              </w:rPr>
              <w:t>Form of assistance</w:t>
            </w:r>
          </w:p>
        </w:tc>
        <w:tc>
          <w:tcPr>
            <w:tcW w:w="1701" w:type="dxa"/>
            <w:vAlign w:val="center"/>
          </w:tcPr>
          <w:p w14:paraId="65806311" w14:textId="77777777" w:rsidR="00120717" w:rsidRPr="00B93EE1" w:rsidRDefault="00120717" w:rsidP="00185006">
            <w:pPr>
              <w:keepNext/>
              <w:jc w:val="left"/>
              <w:rPr>
                <w:bCs/>
                <w:sz w:val="15"/>
                <w:szCs w:val="15"/>
              </w:rPr>
            </w:pPr>
            <w:r w:rsidRPr="00B93EE1">
              <w:rPr>
                <w:bCs/>
                <w:sz w:val="15"/>
                <w:szCs w:val="15"/>
              </w:rPr>
              <w:t xml:space="preserve">Duration </w:t>
            </w:r>
          </w:p>
        </w:tc>
        <w:tc>
          <w:tcPr>
            <w:tcW w:w="1876" w:type="dxa"/>
            <w:vAlign w:val="center"/>
          </w:tcPr>
          <w:p w14:paraId="09656ABB" w14:textId="77777777" w:rsidR="00120717" w:rsidRPr="00B93EE1" w:rsidRDefault="00120717" w:rsidP="00185006">
            <w:pPr>
              <w:keepNext/>
              <w:jc w:val="left"/>
              <w:rPr>
                <w:bCs/>
                <w:sz w:val="15"/>
                <w:szCs w:val="15"/>
              </w:rPr>
            </w:pPr>
            <w:r w:rsidRPr="00B93EE1">
              <w:rPr>
                <w:bCs/>
                <w:sz w:val="15"/>
                <w:szCs w:val="15"/>
              </w:rPr>
              <w:t>Annual budget (NZD million)</w:t>
            </w:r>
          </w:p>
        </w:tc>
      </w:tr>
      <w:tr w:rsidR="00120717" w:rsidRPr="00B93EE1" w14:paraId="20B0492B" w14:textId="77777777" w:rsidTr="00461BC7">
        <w:tc>
          <w:tcPr>
            <w:tcW w:w="2127" w:type="dxa"/>
          </w:tcPr>
          <w:p w14:paraId="5A683B01" w14:textId="77777777" w:rsidR="00120717" w:rsidRPr="00B93EE1" w:rsidRDefault="00120717" w:rsidP="00185006">
            <w:pPr>
              <w:jc w:val="left"/>
              <w:rPr>
                <w:sz w:val="15"/>
                <w:szCs w:val="15"/>
              </w:rPr>
            </w:pPr>
            <w:r w:rsidRPr="00B93EE1">
              <w:rPr>
                <w:sz w:val="15"/>
                <w:szCs w:val="15"/>
              </w:rPr>
              <w:t>Primary Growth Partnership (PGP)</w:t>
            </w:r>
          </w:p>
        </w:tc>
        <w:tc>
          <w:tcPr>
            <w:tcW w:w="1588" w:type="dxa"/>
          </w:tcPr>
          <w:p w14:paraId="6BAC81C8" w14:textId="77777777" w:rsidR="00120717" w:rsidRPr="00B93EE1" w:rsidRDefault="00120717" w:rsidP="00185006">
            <w:pPr>
              <w:jc w:val="left"/>
              <w:rPr>
                <w:sz w:val="15"/>
                <w:szCs w:val="15"/>
              </w:rPr>
            </w:pPr>
            <w:r w:rsidRPr="00B93EE1">
              <w:rPr>
                <w:sz w:val="15"/>
                <w:szCs w:val="15"/>
              </w:rPr>
              <w:t>Research and innovation</w:t>
            </w:r>
          </w:p>
        </w:tc>
        <w:tc>
          <w:tcPr>
            <w:tcW w:w="1809" w:type="dxa"/>
          </w:tcPr>
          <w:p w14:paraId="53FBCF7D" w14:textId="77777777" w:rsidR="00120717" w:rsidRPr="00B93EE1" w:rsidRDefault="00120717" w:rsidP="00185006">
            <w:pPr>
              <w:jc w:val="left"/>
              <w:rPr>
                <w:sz w:val="15"/>
                <w:szCs w:val="15"/>
              </w:rPr>
            </w:pPr>
            <w:r w:rsidRPr="00B93EE1">
              <w:rPr>
                <w:sz w:val="15"/>
                <w:szCs w:val="15"/>
              </w:rPr>
              <w:t xml:space="preserve">Grants for up to 40% of eligible </w:t>
            </w:r>
            <w:proofErr w:type="spellStart"/>
            <w:r w:rsidRPr="00B93EE1">
              <w:rPr>
                <w:sz w:val="15"/>
                <w:szCs w:val="15"/>
              </w:rPr>
              <w:t>costs</w:t>
            </w:r>
            <w:r w:rsidRPr="00B93EE1">
              <w:rPr>
                <w:sz w:val="16"/>
                <w:szCs w:val="16"/>
                <w:vertAlign w:val="superscript"/>
              </w:rPr>
              <w:t>a</w:t>
            </w:r>
            <w:proofErr w:type="spellEnd"/>
          </w:p>
        </w:tc>
        <w:tc>
          <w:tcPr>
            <w:tcW w:w="1701" w:type="dxa"/>
          </w:tcPr>
          <w:p w14:paraId="7E53D5BC" w14:textId="77777777" w:rsidR="00120717" w:rsidRPr="00B93EE1" w:rsidRDefault="00120717" w:rsidP="00185006">
            <w:pPr>
              <w:jc w:val="left"/>
              <w:rPr>
                <w:sz w:val="15"/>
                <w:szCs w:val="15"/>
              </w:rPr>
            </w:pPr>
            <w:r w:rsidRPr="00B93EE1">
              <w:rPr>
                <w:sz w:val="15"/>
                <w:szCs w:val="15"/>
              </w:rPr>
              <w:t>Final contract payments by 2026</w:t>
            </w:r>
          </w:p>
        </w:tc>
        <w:tc>
          <w:tcPr>
            <w:tcW w:w="1876" w:type="dxa"/>
          </w:tcPr>
          <w:p w14:paraId="713B79A4" w14:textId="77777777" w:rsidR="00120717" w:rsidRPr="00B93EE1" w:rsidRDefault="00120717" w:rsidP="00185006">
            <w:pPr>
              <w:jc w:val="left"/>
              <w:rPr>
                <w:sz w:val="15"/>
                <w:szCs w:val="15"/>
              </w:rPr>
            </w:pPr>
            <w:r w:rsidRPr="00B93EE1">
              <w:rPr>
                <w:sz w:val="15"/>
                <w:szCs w:val="15"/>
              </w:rPr>
              <w:t>FY2018/19: 29.83</w:t>
            </w:r>
          </w:p>
          <w:p w14:paraId="11B67B99" w14:textId="77777777" w:rsidR="00120717" w:rsidRPr="00B93EE1" w:rsidRDefault="00120717" w:rsidP="00185006">
            <w:pPr>
              <w:jc w:val="left"/>
              <w:rPr>
                <w:sz w:val="15"/>
                <w:szCs w:val="15"/>
              </w:rPr>
            </w:pPr>
            <w:r w:rsidRPr="00B93EE1">
              <w:rPr>
                <w:sz w:val="15"/>
                <w:szCs w:val="15"/>
              </w:rPr>
              <w:t>FY2019/20: 7.27</w:t>
            </w:r>
          </w:p>
        </w:tc>
      </w:tr>
      <w:tr w:rsidR="00120717" w:rsidRPr="00B93EE1" w14:paraId="65F93AB5" w14:textId="77777777" w:rsidTr="00461BC7">
        <w:trPr>
          <w:cnfStyle w:val="000000010000" w:firstRow="0" w:lastRow="0" w:firstColumn="0" w:lastColumn="0" w:oddVBand="0" w:evenVBand="0" w:oddHBand="0" w:evenHBand="1" w:firstRowFirstColumn="0" w:firstRowLastColumn="0" w:lastRowFirstColumn="0" w:lastRowLastColumn="0"/>
        </w:trPr>
        <w:tc>
          <w:tcPr>
            <w:tcW w:w="2127" w:type="dxa"/>
          </w:tcPr>
          <w:p w14:paraId="25F3AD05" w14:textId="77777777" w:rsidR="00120717" w:rsidRPr="00B93EE1" w:rsidRDefault="00120717" w:rsidP="00185006">
            <w:pPr>
              <w:jc w:val="left"/>
              <w:rPr>
                <w:sz w:val="15"/>
                <w:szCs w:val="15"/>
              </w:rPr>
            </w:pPr>
            <w:r w:rsidRPr="00B93EE1">
              <w:rPr>
                <w:sz w:val="15"/>
                <w:szCs w:val="15"/>
              </w:rPr>
              <w:t>Sustainable Food and Fibre Future (</w:t>
            </w:r>
            <w:proofErr w:type="spellStart"/>
            <w:r w:rsidRPr="00B93EE1">
              <w:rPr>
                <w:sz w:val="15"/>
                <w:szCs w:val="15"/>
              </w:rPr>
              <w:t>SFFF</w:t>
            </w:r>
            <w:proofErr w:type="spellEnd"/>
            <w:r w:rsidRPr="00B93EE1">
              <w:rPr>
                <w:sz w:val="15"/>
                <w:szCs w:val="15"/>
              </w:rPr>
              <w:t>)</w:t>
            </w:r>
          </w:p>
        </w:tc>
        <w:tc>
          <w:tcPr>
            <w:tcW w:w="1588" w:type="dxa"/>
          </w:tcPr>
          <w:p w14:paraId="10416DB7" w14:textId="77777777" w:rsidR="00120717" w:rsidRPr="00B93EE1" w:rsidRDefault="00120717" w:rsidP="00185006">
            <w:pPr>
              <w:jc w:val="left"/>
              <w:rPr>
                <w:sz w:val="15"/>
                <w:szCs w:val="15"/>
              </w:rPr>
            </w:pPr>
            <w:r w:rsidRPr="00B93EE1">
              <w:rPr>
                <w:sz w:val="15"/>
                <w:szCs w:val="15"/>
              </w:rPr>
              <w:t>Industry innovation and capability-building</w:t>
            </w:r>
          </w:p>
        </w:tc>
        <w:tc>
          <w:tcPr>
            <w:tcW w:w="1809" w:type="dxa"/>
          </w:tcPr>
          <w:p w14:paraId="391AB13D" w14:textId="77777777" w:rsidR="00120717" w:rsidRPr="00B93EE1" w:rsidRDefault="00120717" w:rsidP="00185006">
            <w:pPr>
              <w:jc w:val="left"/>
              <w:rPr>
                <w:sz w:val="15"/>
                <w:szCs w:val="15"/>
              </w:rPr>
            </w:pPr>
            <w:r w:rsidRPr="00B93EE1">
              <w:rPr>
                <w:sz w:val="15"/>
                <w:szCs w:val="15"/>
              </w:rPr>
              <w:t>Government and non</w:t>
            </w:r>
            <w:r w:rsidRPr="00B93EE1">
              <w:rPr>
                <w:sz w:val="15"/>
                <w:szCs w:val="15"/>
              </w:rPr>
              <w:noBreakHyphen/>
              <w:t>government investment fund</w:t>
            </w:r>
          </w:p>
        </w:tc>
        <w:tc>
          <w:tcPr>
            <w:tcW w:w="1701" w:type="dxa"/>
          </w:tcPr>
          <w:p w14:paraId="500E4DFF" w14:textId="77777777" w:rsidR="00120717" w:rsidRPr="00B93EE1" w:rsidRDefault="00120717" w:rsidP="00185006">
            <w:pPr>
              <w:jc w:val="left"/>
              <w:rPr>
                <w:sz w:val="15"/>
                <w:szCs w:val="15"/>
              </w:rPr>
            </w:pPr>
            <w:r w:rsidRPr="00B93EE1">
              <w:rPr>
                <w:sz w:val="15"/>
                <w:szCs w:val="15"/>
              </w:rPr>
              <w:t>No fixed duration</w:t>
            </w:r>
          </w:p>
        </w:tc>
        <w:tc>
          <w:tcPr>
            <w:tcW w:w="1876" w:type="dxa"/>
          </w:tcPr>
          <w:p w14:paraId="4FD30B80" w14:textId="77777777" w:rsidR="00120717" w:rsidRPr="00B93EE1" w:rsidRDefault="00120717" w:rsidP="00185006">
            <w:pPr>
              <w:jc w:val="left"/>
              <w:rPr>
                <w:sz w:val="15"/>
                <w:szCs w:val="15"/>
              </w:rPr>
            </w:pPr>
            <w:r w:rsidRPr="00B93EE1">
              <w:rPr>
                <w:sz w:val="15"/>
                <w:szCs w:val="15"/>
              </w:rPr>
              <w:t>FY2018/19: 34.00</w:t>
            </w:r>
          </w:p>
          <w:p w14:paraId="6E6CFB7F" w14:textId="77777777" w:rsidR="00120717" w:rsidRPr="00B93EE1" w:rsidRDefault="00120717" w:rsidP="00185006">
            <w:pPr>
              <w:jc w:val="left"/>
              <w:rPr>
                <w:sz w:val="15"/>
                <w:szCs w:val="15"/>
              </w:rPr>
            </w:pPr>
            <w:r w:rsidRPr="00B93EE1">
              <w:rPr>
                <w:sz w:val="15"/>
                <w:szCs w:val="15"/>
              </w:rPr>
              <w:t>FY2019/20: 25.04</w:t>
            </w:r>
          </w:p>
        </w:tc>
      </w:tr>
      <w:tr w:rsidR="00120717" w:rsidRPr="00B93EE1" w14:paraId="6BB6F614" w14:textId="77777777" w:rsidTr="00461BC7">
        <w:tc>
          <w:tcPr>
            <w:tcW w:w="2127" w:type="dxa"/>
          </w:tcPr>
          <w:p w14:paraId="254E3076" w14:textId="77777777" w:rsidR="00120717" w:rsidRPr="00B93EE1" w:rsidRDefault="00120717" w:rsidP="00185006">
            <w:pPr>
              <w:keepNext/>
              <w:jc w:val="left"/>
              <w:rPr>
                <w:sz w:val="15"/>
                <w:szCs w:val="15"/>
              </w:rPr>
            </w:pPr>
            <w:r w:rsidRPr="00B93EE1">
              <w:rPr>
                <w:sz w:val="15"/>
                <w:szCs w:val="15"/>
              </w:rPr>
              <w:t>Provincial Growth Fund (</w:t>
            </w:r>
            <w:proofErr w:type="spellStart"/>
            <w:r w:rsidRPr="00B93EE1">
              <w:rPr>
                <w:sz w:val="15"/>
                <w:szCs w:val="15"/>
              </w:rPr>
              <w:t>PGF</w:t>
            </w:r>
            <w:proofErr w:type="spellEnd"/>
            <w:r w:rsidRPr="00B93EE1">
              <w:rPr>
                <w:sz w:val="15"/>
                <w:szCs w:val="15"/>
              </w:rPr>
              <w:t>)</w:t>
            </w:r>
          </w:p>
        </w:tc>
        <w:tc>
          <w:tcPr>
            <w:tcW w:w="1588" w:type="dxa"/>
          </w:tcPr>
          <w:p w14:paraId="43A5D843" w14:textId="77777777" w:rsidR="00120717" w:rsidRPr="00B93EE1" w:rsidRDefault="00120717" w:rsidP="00185006">
            <w:pPr>
              <w:keepNext/>
              <w:jc w:val="left"/>
              <w:rPr>
                <w:sz w:val="15"/>
                <w:szCs w:val="15"/>
              </w:rPr>
            </w:pPr>
            <w:r w:rsidRPr="00B93EE1">
              <w:rPr>
                <w:sz w:val="15"/>
                <w:szCs w:val="15"/>
              </w:rPr>
              <w:t>Jobs, economic development, environmental sustainability</w:t>
            </w:r>
          </w:p>
        </w:tc>
        <w:tc>
          <w:tcPr>
            <w:tcW w:w="1809" w:type="dxa"/>
          </w:tcPr>
          <w:p w14:paraId="4C66616C" w14:textId="77777777" w:rsidR="00120717" w:rsidRPr="00B93EE1" w:rsidRDefault="00120717" w:rsidP="00185006">
            <w:pPr>
              <w:keepNext/>
              <w:jc w:val="left"/>
              <w:rPr>
                <w:sz w:val="15"/>
                <w:szCs w:val="15"/>
              </w:rPr>
            </w:pPr>
            <w:r w:rsidRPr="00B93EE1">
              <w:rPr>
                <w:sz w:val="15"/>
                <w:szCs w:val="15"/>
              </w:rPr>
              <w:t>Loans, grants, or equity</w:t>
            </w:r>
          </w:p>
        </w:tc>
        <w:tc>
          <w:tcPr>
            <w:tcW w:w="1701" w:type="dxa"/>
          </w:tcPr>
          <w:p w14:paraId="0EB45955" w14:textId="77777777" w:rsidR="00120717" w:rsidRPr="00B93EE1" w:rsidRDefault="00120717" w:rsidP="00185006">
            <w:pPr>
              <w:keepNext/>
              <w:jc w:val="left"/>
              <w:rPr>
                <w:sz w:val="15"/>
                <w:szCs w:val="15"/>
              </w:rPr>
            </w:pPr>
            <w:r w:rsidRPr="00B93EE1">
              <w:rPr>
                <w:sz w:val="15"/>
                <w:szCs w:val="15"/>
              </w:rPr>
              <w:t>Until 2027/28</w:t>
            </w:r>
          </w:p>
        </w:tc>
        <w:tc>
          <w:tcPr>
            <w:tcW w:w="1876" w:type="dxa"/>
          </w:tcPr>
          <w:p w14:paraId="37D3D757" w14:textId="77777777" w:rsidR="00120717" w:rsidRPr="00B93EE1" w:rsidRDefault="00120717" w:rsidP="00185006">
            <w:pPr>
              <w:jc w:val="left"/>
              <w:rPr>
                <w:sz w:val="15"/>
                <w:szCs w:val="15"/>
              </w:rPr>
            </w:pPr>
            <w:r w:rsidRPr="00B93EE1">
              <w:rPr>
                <w:sz w:val="15"/>
                <w:szCs w:val="15"/>
              </w:rPr>
              <w:t>FY2018/19: 220.181</w:t>
            </w:r>
          </w:p>
          <w:p w14:paraId="54F8E6B1" w14:textId="77777777" w:rsidR="00120717" w:rsidRPr="00B93EE1" w:rsidRDefault="00120717" w:rsidP="00185006">
            <w:pPr>
              <w:keepNext/>
              <w:jc w:val="left"/>
              <w:rPr>
                <w:sz w:val="15"/>
                <w:szCs w:val="15"/>
              </w:rPr>
            </w:pPr>
            <w:r w:rsidRPr="00B93EE1">
              <w:rPr>
                <w:sz w:val="15"/>
                <w:szCs w:val="15"/>
              </w:rPr>
              <w:t>FY2019/20: 439.657</w:t>
            </w:r>
          </w:p>
        </w:tc>
      </w:tr>
    </w:tbl>
    <w:p w14:paraId="650B5F0A" w14:textId="77777777" w:rsidR="00120717" w:rsidRPr="00B93EE1" w:rsidRDefault="00120717" w:rsidP="00AF569F">
      <w:pPr>
        <w:pStyle w:val="NoteText"/>
        <w:spacing w:before="120"/>
      </w:pPr>
      <w:proofErr w:type="spellStart"/>
      <w:r w:rsidRPr="00B93EE1">
        <w:t>a</w:t>
      </w:r>
      <w:proofErr w:type="spellEnd"/>
      <w:r w:rsidRPr="00B93EE1">
        <w:tab/>
        <w:t>Programmes approved before December 2015 were eligible for up to 50% Crown funding.</w:t>
      </w:r>
    </w:p>
    <w:p w14:paraId="0049F38E" w14:textId="77777777" w:rsidR="00120717" w:rsidRPr="00B93EE1" w:rsidRDefault="00120717" w:rsidP="00AF569F">
      <w:pPr>
        <w:pStyle w:val="NoteText"/>
        <w:spacing w:before="120" w:after="240"/>
      </w:pPr>
      <w:r w:rsidRPr="00B93EE1">
        <w:t>Source:</w:t>
      </w:r>
      <w:r w:rsidRPr="00B93EE1">
        <w:tab/>
        <w:t>WTO Secretariat, based on WTO document G/</w:t>
      </w:r>
      <w:proofErr w:type="spellStart"/>
      <w:r w:rsidRPr="00B93EE1">
        <w:t>SCM</w:t>
      </w:r>
      <w:proofErr w:type="spellEnd"/>
      <w:r w:rsidRPr="00B93EE1">
        <w:t>/N/372/NZL, 30 June 2021.</w:t>
      </w:r>
    </w:p>
    <w:p w14:paraId="301137CC" w14:textId="77777777" w:rsidR="00120717" w:rsidRPr="00F64A35" w:rsidRDefault="00120717" w:rsidP="00185006">
      <w:pPr>
        <w:pStyle w:val="BodyText"/>
      </w:pPr>
      <w:r w:rsidRPr="00B93EE1">
        <w:t>The Primary Growth Partnership (PGP) is a government-industry partnership scheme (industry contributions must be at least 60% of the total programme funding), administered by the Ministry for Primary Industries. Primary, forestry, and food sector industries are eligible to participate. The PGP has been replaced by the Sustainable Food and Fibre Futures (</w:t>
      </w:r>
      <w:proofErr w:type="spellStart"/>
      <w:r w:rsidRPr="00B93EE1">
        <w:t>SFFF</w:t>
      </w:r>
      <w:proofErr w:type="spellEnd"/>
      <w:r w:rsidRPr="00B93EE1">
        <w:t>) programme.</w:t>
      </w:r>
      <w:r w:rsidRPr="00B93EE1">
        <w:rPr>
          <w:vertAlign w:val="superscript"/>
        </w:rPr>
        <w:footnoteReference w:id="169"/>
      </w:r>
    </w:p>
    <w:p w14:paraId="1F966335" w14:textId="77777777" w:rsidR="00120717" w:rsidRPr="00F64A35" w:rsidRDefault="00120717" w:rsidP="00185006">
      <w:pPr>
        <w:pStyle w:val="BodyText"/>
      </w:pPr>
      <w:r w:rsidRPr="00B93EE1">
        <w:t xml:space="preserve">The </w:t>
      </w:r>
      <w:proofErr w:type="spellStart"/>
      <w:r w:rsidRPr="00B93EE1">
        <w:t>SFFF</w:t>
      </w:r>
      <w:proofErr w:type="spellEnd"/>
      <w:r w:rsidRPr="00B93EE1">
        <w:t xml:space="preserve">, introduced in October 2018, is a merger of two pre-existing funds: the PGP and the Sustainable Farming Fund. The </w:t>
      </w:r>
      <w:proofErr w:type="spellStart"/>
      <w:r w:rsidRPr="00B93EE1">
        <w:t>SFFF</w:t>
      </w:r>
      <w:proofErr w:type="spellEnd"/>
      <w:r w:rsidRPr="00B93EE1">
        <w:t>, also administered by the Ministry for Primary Industries, funds transformative programmes through partnerships and grants to create more value, develop capabilities, and deliver economic, social, cultural, and environmental benefits.</w:t>
      </w:r>
      <w:r w:rsidRPr="00B93EE1">
        <w:rPr>
          <w:vertAlign w:val="superscript"/>
        </w:rPr>
        <w:footnoteReference w:id="170"/>
      </w:r>
    </w:p>
    <w:p w14:paraId="67689ECD" w14:textId="77777777" w:rsidR="00120717" w:rsidRPr="00F64A35" w:rsidRDefault="00120717" w:rsidP="00185006">
      <w:pPr>
        <w:pStyle w:val="BodyText"/>
      </w:pPr>
      <w:r w:rsidRPr="00B93EE1">
        <w:t>The Provincial Growth Fund (</w:t>
      </w:r>
      <w:proofErr w:type="spellStart"/>
      <w:r w:rsidRPr="00B93EE1">
        <w:t>PGF</w:t>
      </w:r>
      <w:proofErr w:type="spellEnd"/>
      <w:r w:rsidRPr="00B93EE1">
        <w:t xml:space="preserve">), approved by the Cabinet in December 2017, is administered by the </w:t>
      </w:r>
      <w:proofErr w:type="spellStart"/>
      <w:r w:rsidRPr="00B93EE1">
        <w:t>MBIE</w:t>
      </w:r>
      <w:proofErr w:type="spellEnd"/>
      <w:r w:rsidRPr="00B93EE1">
        <w:t>. Local authorities</w:t>
      </w:r>
      <w:r w:rsidRPr="00B93EE1">
        <w:rPr>
          <w:vertAlign w:val="superscript"/>
        </w:rPr>
        <w:footnoteReference w:id="171"/>
      </w:r>
      <w:r w:rsidRPr="00B93EE1">
        <w:t>, government departments, charitable trusts, companies, incorporated societies, Māori trusts, and partnerships are eligible for this fund.</w:t>
      </w:r>
    </w:p>
    <w:p w14:paraId="33A1014E" w14:textId="77777777" w:rsidR="00120717" w:rsidRPr="00F64A35" w:rsidRDefault="00120717" w:rsidP="00185006">
      <w:pPr>
        <w:pStyle w:val="Heading3"/>
      </w:pPr>
      <w:bookmarkStart w:id="139" w:name="_Toc415735876"/>
      <w:bookmarkStart w:id="140" w:name="_Toc97800156"/>
      <w:r w:rsidRPr="00B93EE1">
        <w:t>Standards and other technical requirements</w:t>
      </w:r>
      <w:bookmarkEnd w:id="139"/>
      <w:bookmarkEnd w:id="140"/>
    </w:p>
    <w:p w14:paraId="42BBD737" w14:textId="77777777" w:rsidR="00120717" w:rsidRPr="00F64A35" w:rsidRDefault="00120717" w:rsidP="00E962FF">
      <w:pPr>
        <w:pStyle w:val="Heading4"/>
        <w:numPr>
          <w:ilvl w:val="3"/>
          <w:numId w:val="31"/>
        </w:numPr>
      </w:pPr>
      <w:bookmarkStart w:id="141" w:name="_Toc97800157"/>
      <w:r w:rsidRPr="00B93EE1">
        <w:t>Standardization</w:t>
      </w:r>
      <w:bookmarkEnd w:id="141"/>
    </w:p>
    <w:p w14:paraId="3B3C3691" w14:textId="77777777" w:rsidR="00120717" w:rsidRPr="00F64A35" w:rsidRDefault="00120717" w:rsidP="00323B40">
      <w:pPr>
        <w:pStyle w:val="BodyText"/>
      </w:pPr>
      <w:r w:rsidRPr="00B93EE1">
        <w:t>During the review period, New Zealand made some institutional reforms to its standards and conformance system through the adoption of the Standards and Accreditation Act 2015.</w:t>
      </w:r>
      <w:r w:rsidRPr="00B93EE1">
        <w:rPr>
          <w:rStyle w:val="FootnoteReference"/>
        </w:rPr>
        <w:footnoteReference w:id="172"/>
      </w:r>
      <w:r w:rsidRPr="00B93EE1">
        <w:t xml:space="preserve"> These reforms affected mainly the administrative process for the approval of standards, and the management structure of the country's accreditation authority (see below). The new Act was adopted in October 2015 following a review that started in 2012 seeking to strengthen the functioning of the system and reduce its costs. The Standards and Accreditation Act 2015 repeals and replaces the Standards Act 1988 and Testing Laboratory Registration Act 1972, and has been since its adoption the main legal instrument regulating the development and adoption of standards and conformity assessments. The Act entered into force on 1 March 2016.</w:t>
      </w:r>
    </w:p>
    <w:p w14:paraId="10062D7F" w14:textId="77777777" w:rsidR="00120717" w:rsidRPr="00F64A35" w:rsidRDefault="00120717" w:rsidP="00323B40">
      <w:pPr>
        <w:pStyle w:val="BodyText"/>
      </w:pPr>
      <w:r w:rsidRPr="00B93EE1">
        <w:lastRenderedPageBreak/>
        <w:t xml:space="preserve">Prior to the </w:t>
      </w:r>
      <w:r w:rsidRPr="00B93EE1">
        <w:rPr>
          <w:shd w:val="clear" w:color="auto" w:fill="FFFFFF" w:themeFill="background1"/>
        </w:rPr>
        <w:t xml:space="preserve">adoption of the </w:t>
      </w:r>
      <w:r w:rsidRPr="00B93EE1">
        <w:t>Standards and Accreditation Act 2015, the New Zealand Standards Council and its operational arm Standards New Zealand, both Crown entities, were the main institutions in charge of the development and adoption of standards in New Zealand. The New Zealand</w:t>
      </w:r>
      <w:r w:rsidRPr="00B93EE1">
        <w:rPr>
          <w:shd w:val="clear" w:color="auto" w:fill="FFFFFF" w:themeFill="background1"/>
        </w:rPr>
        <w:t xml:space="preserve"> Standards Council used to oversee their development and adoption, and was responsible for approving or rejecting them. </w:t>
      </w:r>
      <w:r w:rsidRPr="00B93EE1">
        <w:t xml:space="preserve">Under the new Act, </w:t>
      </w:r>
      <w:r w:rsidRPr="00B93EE1">
        <w:rPr>
          <w:shd w:val="clear" w:color="auto" w:fill="FFFFFF" w:themeFill="background1"/>
        </w:rPr>
        <w:t xml:space="preserve">the </w:t>
      </w:r>
      <w:r w:rsidRPr="00B93EE1">
        <w:t>New Zealand</w:t>
      </w:r>
      <w:r w:rsidRPr="00B93EE1">
        <w:rPr>
          <w:shd w:val="clear" w:color="auto" w:fill="FFFFFF" w:themeFill="background1"/>
        </w:rPr>
        <w:t xml:space="preserve"> Standards Council</w:t>
      </w:r>
      <w:r w:rsidRPr="00B93EE1">
        <w:t xml:space="preserve"> was dismantled, and most of its functions were transferred to an official appointed as New Zealand Standards Executive in the </w:t>
      </w:r>
      <w:proofErr w:type="spellStart"/>
      <w:r w:rsidRPr="00B93EE1">
        <w:t>MBIE</w:t>
      </w:r>
      <w:proofErr w:type="spellEnd"/>
      <w:r w:rsidRPr="00B93EE1">
        <w:t xml:space="preserve">. Standards New Zealand is now the operational arm of the New Zealand Standards Executive and a unit within the </w:t>
      </w:r>
      <w:proofErr w:type="spellStart"/>
      <w:r w:rsidRPr="00B93EE1">
        <w:t>MBIE</w:t>
      </w:r>
      <w:proofErr w:type="spellEnd"/>
      <w:r w:rsidRPr="00B93EE1">
        <w:t xml:space="preserve">. </w:t>
      </w:r>
      <w:r w:rsidRPr="00B93EE1">
        <w:rPr>
          <w:shd w:val="clear" w:color="auto" w:fill="FFFFFF" w:themeFill="background1"/>
        </w:rPr>
        <w:t xml:space="preserve">The </w:t>
      </w:r>
      <w:r w:rsidRPr="00B93EE1">
        <w:t>Standards and Accreditation Act 2015</w:t>
      </w:r>
      <w:r w:rsidRPr="00B93EE1">
        <w:rPr>
          <w:shd w:val="clear" w:color="auto" w:fill="FFFFFF" w:themeFill="background1"/>
        </w:rPr>
        <w:t xml:space="preserve"> also provides for the establishment of the New Zealand Standards Approval Board.</w:t>
      </w:r>
    </w:p>
    <w:p w14:paraId="580C2C4A" w14:textId="77777777" w:rsidR="00120717" w:rsidRPr="00F64A35" w:rsidRDefault="00120717" w:rsidP="00323B40">
      <w:pPr>
        <w:pStyle w:val="BodyText"/>
      </w:pPr>
      <w:r w:rsidRPr="00B93EE1">
        <w:t>The New Zealand Standards Executive manages and coordinates: (</w:t>
      </w:r>
      <w:proofErr w:type="spellStart"/>
      <w:r w:rsidRPr="00B93EE1">
        <w:t>i</w:t>
      </w:r>
      <w:proofErr w:type="spellEnd"/>
      <w:r w:rsidRPr="00B93EE1">
        <w:t>) the formation of standards development committees; (ii) the development of new standards by the committees; and (iii) the review of existing ones. The New Zealand Standards Executive also informs Ministers on the review or revocation of compulsory standards (i.e. technical regulations) before such a proposal is referred to the Standards Approval Board for consideration.</w:t>
      </w:r>
      <w:r w:rsidRPr="00B93EE1">
        <w:rPr>
          <w:rStyle w:val="FootnoteReference"/>
        </w:rPr>
        <w:footnoteReference w:id="173"/>
      </w:r>
      <w:r w:rsidRPr="00B93EE1">
        <w:t xml:space="preserve"> Standards are compulsory if they are cited or incorporated by reference in any Act or regulations. All products – imported or domestically produced – must comply with the corresponding technical regulation to be sold in New Zealand.</w:t>
      </w:r>
    </w:p>
    <w:p w14:paraId="660BF3D7" w14:textId="77777777" w:rsidR="00120717" w:rsidRPr="00F64A35" w:rsidRDefault="00120717" w:rsidP="00323B40">
      <w:pPr>
        <w:pStyle w:val="BodyText"/>
      </w:pPr>
      <w:r w:rsidRPr="00B93EE1">
        <w:t>The Standards Approval Board consists of five to seven members appointed by the Minister of Commerce and Consumer Affairs. Its main functions are to approve: (</w:t>
      </w:r>
      <w:proofErr w:type="spellStart"/>
      <w:r w:rsidRPr="00B93EE1">
        <w:t>i</w:t>
      </w:r>
      <w:proofErr w:type="spellEnd"/>
      <w:r w:rsidRPr="00B93EE1">
        <w:t>) the composition of the standards development committees; and (ii) the standards developed by these committees, and their amendments. The Standards Approval Board is also responsible for approving the archiving and revocation of New Zealand standards, as well as advising the Minister on priority areas for their development and review, or any other related matter.</w:t>
      </w:r>
      <w:r w:rsidRPr="00B93EE1">
        <w:rPr>
          <w:rStyle w:val="FootnoteReference"/>
        </w:rPr>
        <w:footnoteReference w:id="174"/>
      </w:r>
      <w:r w:rsidRPr="00B93EE1">
        <w:t xml:space="preserve"> With a view of streamlining the administration of standards (and their development and review), under the Standards and Accreditation Act 2015 the review or revocation of compulsory standards no longer require ministerial approval.</w:t>
      </w:r>
      <w:r w:rsidRPr="00B93EE1">
        <w:rPr>
          <w:rStyle w:val="FootnoteReference"/>
        </w:rPr>
        <w:footnoteReference w:id="175"/>
      </w:r>
    </w:p>
    <w:p w14:paraId="73965A97" w14:textId="77777777" w:rsidR="00120717" w:rsidRPr="00F64A35" w:rsidRDefault="00120717" w:rsidP="00323B40">
      <w:pPr>
        <w:pStyle w:val="BodyText"/>
      </w:pPr>
      <w:r w:rsidRPr="00B93EE1">
        <w:t>Standards New Zealand continues to be the country's national standards body, and as such is the leading developer of standards and the country's representative at the international level. It participates in the International Organization for Standardization (ISO) and the International Electrotechnical Commission (IEC). Standards New Zealand also operates the National Enquiry Point under the WTO Agreement on Technical Barriers to Trade (TBT), and in accordance with the relevant Memorandum of Understanding (MOU) with the Ministry of Foreign Affairs and Trade (</w:t>
      </w:r>
      <w:proofErr w:type="spellStart"/>
      <w:r w:rsidRPr="00B93EE1">
        <w:t>MFAT</w:t>
      </w:r>
      <w:proofErr w:type="spellEnd"/>
      <w:r w:rsidRPr="00B93EE1">
        <w:t>). Standards New Zealand is financially independent and operates on a cost recovery basis.</w:t>
      </w:r>
    </w:p>
    <w:p w14:paraId="6A1E4ABD" w14:textId="77777777" w:rsidR="00120717" w:rsidRPr="00F64A35" w:rsidRDefault="00120717" w:rsidP="00F64A35">
      <w:pPr>
        <w:pStyle w:val="BodyText"/>
      </w:pPr>
      <w:bookmarkStart w:id="142" w:name="_Toc418783242"/>
      <w:r w:rsidRPr="00B93EE1">
        <w:t>Standards New Zealand manages the development of New Zealand standards, and of joint Australian-New Zealand standards. To promote harmonization with international standards, the authorities indicate that Standards New Zealand prompts stakeholders, including regulators, to adopt existing standards (identical or with modifications), where appropriate and possible, unless a valid reason can be substantiated for a new standard. In 2021, the total number of standards in New Zealand's catalogue, which comprises New Zealand standards and joint Australia-New Zealand standards, was 2,670, down from 3,205 in 2014</w:t>
      </w:r>
      <w:r w:rsidRPr="00B93EE1">
        <w:rPr>
          <w:rStyle w:val="FootnoteReference"/>
        </w:rPr>
        <w:footnoteReference w:id="176"/>
      </w:r>
      <w:r w:rsidRPr="00B93EE1">
        <w:t>, following the withdrawal of older standards that were not replaced with new ones.</w:t>
      </w:r>
      <w:r w:rsidRPr="00B93EE1">
        <w:rPr>
          <w:rStyle w:val="FootnoteReference"/>
        </w:rPr>
        <w:footnoteReference w:id="177"/>
      </w:r>
      <w:r w:rsidRPr="00B93EE1">
        <w:t xml:space="preserve"> The majority of standards in New Zealand's catalogue are developed in partnership with Standards Australia (87% of the total number of standards in 2021) and are not cited in primary or secondary legislation, and are therefore voluntary (69%). About half of standards in New Zealand's catalogue are equivalent to international standards (Table 3.10).</w:t>
      </w:r>
    </w:p>
    <w:p w14:paraId="2726267A" w14:textId="064A58F4" w:rsidR="00120717" w:rsidRPr="00B93EE1" w:rsidRDefault="00D37A97" w:rsidP="00AF569F">
      <w:pPr>
        <w:pStyle w:val="Caption"/>
        <w:keepLines/>
      </w:pPr>
      <w:bookmarkStart w:id="143" w:name="_Toc97793396"/>
      <w:r>
        <w:lastRenderedPageBreak/>
        <w:t xml:space="preserve">Table </w:t>
      </w:r>
      <w:r w:rsidR="0012793B">
        <w:fldChar w:fldCharType="begin"/>
      </w:r>
      <w:r w:rsidR="0012793B">
        <w:instrText xml:space="preserve"> </w:instrText>
      </w:r>
      <w:r w:rsidR="0012793B">
        <w:instrText xml:space="preserve">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10</w:t>
      </w:r>
      <w:r w:rsidR="0012793B">
        <w:rPr>
          <w:noProof/>
        </w:rPr>
        <w:fldChar w:fldCharType="end"/>
      </w:r>
      <w:r>
        <w:t xml:space="preserve"> </w:t>
      </w:r>
      <w:r w:rsidR="00120717" w:rsidRPr="00B93EE1">
        <w:t>New Zealand standards, 2015-</w:t>
      </w:r>
      <w:bookmarkEnd w:id="142"/>
      <w:r w:rsidR="00120717" w:rsidRPr="00B93EE1">
        <w:t>21</w:t>
      </w:r>
      <w:bookmarkEnd w:id="143"/>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160" w:firstRow="1" w:lastRow="1" w:firstColumn="0" w:lastColumn="1" w:noHBand="0" w:noVBand="0"/>
      </w:tblPr>
      <w:tblGrid>
        <w:gridCol w:w="3145"/>
        <w:gridCol w:w="900"/>
        <w:gridCol w:w="810"/>
        <w:gridCol w:w="810"/>
        <w:gridCol w:w="810"/>
        <w:gridCol w:w="900"/>
        <w:gridCol w:w="810"/>
        <w:gridCol w:w="831"/>
      </w:tblGrid>
      <w:tr w:rsidR="00120717" w:rsidRPr="00B93EE1" w14:paraId="31A3C176" w14:textId="77777777" w:rsidTr="00364BAC">
        <w:trPr>
          <w:cantSplit/>
          <w:tblHeader/>
        </w:trPr>
        <w:tc>
          <w:tcPr>
            <w:tcW w:w="1744" w:type="pct"/>
            <w:shd w:val="clear" w:color="auto" w:fill="006283"/>
            <w:noWrap/>
          </w:tcPr>
          <w:p w14:paraId="7D9EECC9" w14:textId="77777777" w:rsidR="00120717" w:rsidRPr="00B93EE1" w:rsidRDefault="00120717" w:rsidP="00AF569F">
            <w:pPr>
              <w:keepNext/>
              <w:keepLines/>
              <w:rPr>
                <w:b/>
                <w:color w:val="FFFFFF"/>
                <w:sz w:val="16"/>
                <w:szCs w:val="16"/>
              </w:rPr>
            </w:pPr>
          </w:p>
        </w:tc>
        <w:tc>
          <w:tcPr>
            <w:tcW w:w="499" w:type="pct"/>
            <w:shd w:val="clear" w:color="auto" w:fill="006283"/>
            <w:noWrap/>
          </w:tcPr>
          <w:p w14:paraId="54EECC63" w14:textId="77777777" w:rsidR="00120717" w:rsidRPr="00B93EE1" w:rsidRDefault="00120717" w:rsidP="00AF569F">
            <w:pPr>
              <w:keepNext/>
              <w:keepLines/>
              <w:ind w:left="113"/>
              <w:jc w:val="right"/>
              <w:rPr>
                <w:b/>
                <w:color w:val="FFFFFF"/>
                <w:sz w:val="16"/>
                <w:szCs w:val="16"/>
              </w:rPr>
            </w:pPr>
            <w:r w:rsidRPr="00B93EE1">
              <w:rPr>
                <w:b/>
                <w:color w:val="FFFFFF"/>
                <w:sz w:val="16"/>
                <w:szCs w:val="16"/>
              </w:rPr>
              <w:t>2015</w:t>
            </w:r>
          </w:p>
        </w:tc>
        <w:tc>
          <w:tcPr>
            <w:tcW w:w="449" w:type="pct"/>
            <w:shd w:val="clear" w:color="auto" w:fill="006283"/>
            <w:noWrap/>
          </w:tcPr>
          <w:p w14:paraId="6823C50F" w14:textId="77777777" w:rsidR="00120717" w:rsidRPr="00B93EE1" w:rsidRDefault="00120717" w:rsidP="00AF569F">
            <w:pPr>
              <w:keepNext/>
              <w:keepLines/>
              <w:ind w:left="113"/>
              <w:jc w:val="right"/>
              <w:rPr>
                <w:b/>
                <w:color w:val="FFFFFF"/>
                <w:sz w:val="16"/>
                <w:szCs w:val="16"/>
              </w:rPr>
            </w:pPr>
            <w:r w:rsidRPr="00B93EE1">
              <w:rPr>
                <w:b/>
                <w:color w:val="FFFFFF"/>
                <w:sz w:val="16"/>
                <w:szCs w:val="16"/>
              </w:rPr>
              <w:t>2016</w:t>
            </w:r>
          </w:p>
        </w:tc>
        <w:tc>
          <w:tcPr>
            <w:tcW w:w="449" w:type="pct"/>
            <w:shd w:val="clear" w:color="auto" w:fill="006283"/>
            <w:noWrap/>
          </w:tcPr>
          <w:p w14:paraId="3F4BBB26" w14:textId="77777777" w:rsidR="00120717" w:rsidRPr="00B93EE1" w:rsidRDefault="00120717" w:rsidP="00AF569F">
            <w:pPr>
              <w:keepNext/>
              <w:keepLines/>
              <w:ind w:left="113"/>
              <w:jc w:val="right"/>
              <w:rPr>
                <w:b/>
                <w:color w:val="FFFFFF"/>
                <w:sz w:val="16"/>
                <w:szCs w:val="16"/>
              </w:rPr>
            </w:pPr>
            <w:r w:rsidRPr="00B93EE1">
              <w:rPr>
                <w:b/>
                <w:color w:val="FFFFFF"/>
                <w:sz w:val="16"/>
                <w:szCs w:val="16"/>
              </w:rPr>
              <w:t>2017</w:t>
            </w:r>
          </w:p>
        </w:tc>
        <w:tc>
          <w:tcPr>
            <w:tcW w:w="449" w:type="pct"/>
            <w:shd w:val="clear" w:color="auto" w:fill="006283"/>
            <w:noWrap/>
          </w:tcPr>
          <w:p w14:paraId="57576D75" w14:textId="77777777" w:rsidR="00120717" w:rsidRPr="00B93EE1" w:rsidRDefault="00120717" w:rsidP="00AF569F">
            <w:pPr>
              <w:keepNext/>
              <w:keepLines/>
              <w:ind w:left="113"/>
              <w:jc w:val="right"/>
              <w:rPr>
                <w:b/>
                <w:color w:val="FFFFFF"/>
                <w:sz w:val="16"/>
                <w:szCs w:val="16"/>
              </w:rPr>
            </w:pPr>
            <w:r w:rsidRPr="00B93EE1">
              <w:rPr>
                <w:b/>
                <w:color w:val="FFFFFF"/>
                <w:sz w:val="16"/>
                <w:szCs w:val="16"/>
              </w:rPr>
              <w:t>2018</w:t>
            </w:r>
          </w:p>
        </w:tc>
        <w:tc>
          <w:tcPr>
            <w:tcW w:w="499" w:type="pct"/>
            <w:shd w:val="clear" w:color="auto" w:fill="006283"/>
            <w:noWrap/>
          </w:tcPr>
          <w:p w14:paraId="500EF460" w14:textId="77777777" w:rsidR="00120717" w:rsidRPr="00B93EE1" w:rsidRDefault="00120717" w:rsidP="00AF569F">
            <w:pPr>
              <w:keepNext/>
              <w:keepLines/>
              <w:ind w:left="113"/>
              <w:jc w:val="right"/>
              <w:rPr>
                <w:b/>
                <w:color w:val="FFFFFF"/>
                <w:sz w:val="16"/>
                <w:szCs w:val="16"/>
              </w:rPr>
            </w:pPr>
            <w:r w:rsidRPr="00B93EE1">
              <w:rPr>
                <w:b/>
                <w:color w:val="FFFFFF"/>
                <w:sz w:val="16"/>
                <w:szCs w:val="16"/>
              </w:rPr>
              <w:t>2019</w:t>
            </w:r>
          </w:p>
        </w:tc>
        <w:tc>
          <w:tcPr>
            <w:tcW w:w="449" w:type="pct"/>
            <w:shd w:val="clear" w:color="auto" w:fill="006283"/>
          </w:tcPr>
          <w:p w14:paraId="68C1DCAA" w14:textId="77777777" w:rsidR="00120717" w:rsidRPr="00B93EE1" w:rsidRDefault="00120717" w:rsidP="00AF569F">
            <w:pPr>
              <w:keepNext/>
              <w:keepLines/>
              <w:ind w:left="113"/>
              <w:jc w:val="right"/>
              <w:rPr>
                <w:b/>
                <w:color w:val="FFFFFF"/>
                <w:sz w:val="16"/>
                <w:szCs w:val="16"/>
              </w:rPr>
            </w:pPr>
            <w:r w:rsidRPr="00B93EE1">
              <w:rPr>
                <w:b/>
                <w:color w:val="FFFFFF"/>
                <w:sz w:val="16"/>
                <w:szCs w:val="16"/>
              </w:rPr>
              <w:t>2020</w:t>
            </w:r>
          </w:p>
        </w:tc>
        <w:tc>
          <w:tcPr>
            <w:tcW w:w="461" w:type="pct"/>
            <w:shd w:val="clear" w:color="auto" w:fill="006283"/>
          </w:tcPr>
          <w:p w14:paraId="703B6522" w14:textId="77777777" w:rsidR="00120717" w:rsidRPr="00B93EE1" w:rsidRDefault="00120717" w:rsidP="00AF569F">
            <w:pPr>
              <w:keepNext/>
              <w:keepLines/>
              <w:ind w:left="113"/>
              <w:jc w:val="right"/>
              <w:rPr>
                <w:b/>
                <w:color w:val="FFFFFF"/>
                <w:sz w:val="16"/>
                <w:szCs w:val="16"/>
              </w:rPr>
            </w:pPr>
            <w:r w:rsidRPr="00B93EE1">
              <w:rPr>
                <w:b/>
                <w:color w:val="FFFFFF"/>
                <w:sz w:val="16"/>
                <w:szCs w:val="16"/>
              </w:rPr>
              <w:t>2021</w:t>
            </w:r>
          </w:p>
        </w:tc>
      </w:tr>
      <w:tr w:rsidR="00120717" w:rsidRPr="00B93EE1" w14:paraId="0A2A31C7" w14:textId="77777777" w:rsidTr="00EE1448">
        <w:trPr>
          <w:cantSplit/>
        </w:trPr>
        <w:tc>
          <w:tcPr>
            <w:tcW w:w="1744" w:type="pct"/>
            <w:tcBorders>
              <w:bottom w:val="nil"/>
            </w:tcBorders>
            <w:shd w:val="clear" w:color="auto" w:fill="auto"/>
            <w:noWrap/>
          </w:tcPr>
          <w:p w14:paraId="7241AC4C" w14:textId="77777777" w:rsidR="00120717" w:rsidRPr="00B93EE1" w:rsidRDefault="00120717" w:rsidP="00AF569F">
            <w:pPr>
              <w:keepNext/>
              <w:keepLines/>
              <w:jc w:val="left"/>
              <w:rPr>
                <w:sz w:val="16"/>
                <w:szCs w:val="16"/>
                <w:vertAlign w:val="superscript"/>
              </w:rPr>
            </w:pPr>
            <w:r w:rsidRPr="00B93EE1">
              <w:rPr>
                <w:sz w:val="16"/>
                <w:szCs w:val="16"/>
              </w:rPr>
              <w:t>Total number of standards</w:t>
            </w:r>
          </w:p>
        </w:tc>
        <w:tc>
          <w:tcPr>
            <w:tcW w:w="499" w:type="pct"/>
            <w:tcBorders>
              <w:bottom w:val="nil"/>
            </w:tcBorders>
            <w:shd w:val="clear" w:color="auto" w:fill="auto"/>
            <w:noWrap/>
          </w:tcPr>
          <w:p w14:paraId="5C7BD70B" w14:textId="77777777" w:rsidR="00120717" w:rsidRPr="00B93EE1" w:rsidRDefault="00120717" w:rsidP="00AF569F">
            <w:pPr>
              <w:keepNext/>
              <w:keepLines/>
              <w:ind w:left="113"/>
              <w:jc w:val="right"/>
              <w:rPr>
                <w:color w:val="000000"/>
                <w:sz w:val="16"/>
                <w:szCs w:val="16"/>
                <w:highlight w:val="yellow"/>
              </w:rPr>
            </w:pPr>
            <w:r w:rsidRPr="00B93EE1">
              <w:rPr>
                <w:color w:val="000000"/>
                <w:sz w:val="16"/>
                <w:szCs w:val="16"/>
              </w:rPr>
              <w:t>2,</w:t>
            </w:r>
            <w:r w:rsidRPr="00B93EE1">
              <w:rPr>
                <w:sz w:val="16"/>
                <w:szCs w:val="16"/>
              </w:rPr>
              <w:t>966</w:t>
            </w:r>
          </w:p>
        </w:tc>
        <w:tc>
          <w:tcPr>
            <w:tcW w:w="449" w:type="pct"/>
            <w:tcBorders>
              <w:bottom w:val="nil"/>
            </w:tcBorders>
            <w:shd w:val="clear" w:color="auto" w:fill="auto"/>
            <w:noWrap/>
          </w:tcPr>
          <w:p w14:paraId="15F5AF85" w14:textId="77777777" w:rsidR="00120717" w:rsidRPr="00B93EE1" w:rsidRDefault="00120717" w:rsidP="00AF569F">
            <w:pPr>
              <w:keepNext/>
              <w:keepLines/>
              <w:ind w:left="113"/>
              <w:jc w:val="right"/>
              <w:rPr>
                <w:sz w:val="16"/>
                <w:szCs w:val="16"/>
              </w:rPr>
            </w:pPr>
            <w:r w:rsidRPr="00B93EE1">
              <w:rPr>
                <w:sz w:val="16"/>
                <w:szCs w:val="16"/>
              </w:rPr>
              <w:t>3,004</w:t>
            </w:r>
          </w:p>
        </w:tc>
        <w:tc>
          <w:tcPr>
            <w:tcW w:w="449" w:type="pct"/>
            <w:tcBorders>
              <w:bottom w:val="nil"/>
            </w:tcBorders>
            <w:shd w:val="clear" w:color="auto" w:fill="auto"/>
            <w:noWrap/>
          </w:tcPr>
          <w:p w14:paraId="0D5B31B9" w14:textId="77777777" w:rsidR="00120717" w:rsidRPr="00B93EE1" w:rsidRDefault="00120717" w:rsidP="00AF569F">
            <w:pPr>
              <w:keepNext/>
              <w:keepLines/>
              <w:ind w:left="113"/>
              <w:jc w:val="right"/>
              <w:rPr>
                <w:sz w:val="16"/>
                <w:szCs w:val="16"/>
              </w:rPr>
            </w:pPr>
            <w:r w:rsidRPr="00B93EE1">
              <w:rPr>
                <w:sz w:val="16"/>
                <w:szCs w:val="16"/>
              </w:rPr>
              <w:t>3,049</w:t>
            </w:r>
          </w:p>
        </w:tc>
        <w:tc>
          <w:tcPr>
            <w:tcW w:w="449" w:type="pct"/>
            <w:tcBorders>
              <w:bottom w:val="nil"/>
            </w:tcBorders>
            <w:shd w:val="clear" w:color="auto" w:fill="auto"/>
            <w:noWrap/>
          </w:tcPr>
          <w:p w14:paraId="7E8F46B8" w14:textId="77777777" w:rsidR="00120717" w:rsidRPr="00B93EE1" w:rsidRDefault="00120717" w:rsidP="00AF569F">
            <w:pPr>
              <w:keepNext/>
              <w:keepLines/>
              <w:ind w:left="113"/>
              <w:jc w:val="right"/>
              <w:rPr>
                <w:sz w:val="16"/>
                <w:szCs w:val="16"/>
              </w:rPr>
            </w:pPr>
            <w:r w:rsidRPr="00B93EE1">
              <w:rPr>
                <w:sz w:val="16"/>
                <w:szCs w:val="16"/>
              </w:rPr>
              <w:t>2,724</w:t>
            </w:r>
          </w:p>
        </w:tc>
        <w:tc>
          <w:tcPr>
            <w:tcW w:w="499" w:type="pct"/>
            <w:tcBorders>
              <w:bottom w:val="nil"/>
            </w:tcBorders>
            <w:shd w:val="clear" w:color="auto" w:fill="auto"/>
            <w:noWrap/>
          </w:tcPr>
          <w:p w14:paraId="5998E9BE" w14:textId="77777777" w:rsidR="00120717" w:rsidRPr="00B93EE1" w:rsidRDefault="00120717" w:rsidP="00AF569F">
            <w:pPr>
              <w:keepNext/>
              <w:keepLines/>
              <w:ind w:left="113"/>
              <w:jc w:val="right"/>
              <w:rPr>
                <w:sz w:val="16"/>
                <w:szCs w:val="16"/>
              </w:rPr>
            </w:pPr>
            <w:r w:rsidRPr="00B93EE1">
              <w:rPr>
                <w:sz w:val="16"/>
                <w:szCs w:val="16"/>
              </w:rPr>
              <w:t>2,762</w:t>
            </w:r>
          </w:p>
        </w:tc>
        <w:tc>
          <w:tcPr>
            <w:tcW w:w="449" w:type="pct"/>
            <w:tcBorders>
              <w:bottom w:val="nil"/>
            </w:tcBorders>
            <w:shd w:val="clear" w:color="auto" w:fill="auto"/>
          </w:tcPr>
          <w:p w14:paraId="5A4C0340" w14:textId="77777777" w:rsidR="00120717" w:rsidRPr="00B93EE1" w:rsidRDefault="00120717" w:rsidP="00AF569F">
            <w:pPr>
              <w:keepNext/>
              <w:keepLines/>
              <w:ind w:left="113"/>
              <w:jc w:val="right"/>
              <w:rPr>
                <w:sz w:val="16"/>
                <w:szCs w:val="16"/>
              </w:rPr>
            </w:pPr>
            <w:r w:rsidRPr="00B93EE1">
              <w:rPr>
                <w:sz w:val="16"/>
                <w:szCs w:val="16"/>
              </w:rPr>
              <w:t>2,773</w:t>
            </w:r>
          </w:p>
        </w:tc>
        <w:tc>
          <w:tcPr>
            <w:tcW w:w="461" w:type="pct"/>
            <w:tcBorders>
              <w:bottom w:val="nil"/>
            </w:tcBorders>
          </w:tcPr>
          <w:p w14:paraId="3125974D" w14:textId="77777777" w:rsidR="00120717" w:rsidRPr="00B93EE1" w:rsidRDefault="00120717" w:rsidP="00AF569F">
            <w:pPr>
              <w:keepNext/>
              <w:keepLines/>
              <w:ind w:left="113"/>
              <w:jc w:val="right"/>
              <w:rPr>
                <w:sz w:val="16"/>
                <w:szCs w:val="16"/>
              </w:rPr>
            </w:pPr>
            <w:r w:rsidRPr="00B93EE1">
              <w:rPr>
                <w:sz w:val="16"/>
                <w:szCs w:val="16"/>
              </w:rPr>
              <w:t>2,670</w:t>
            </w:r>
          </w:p>
        </w:tc>
      </w:tr>
      <w:tr w:rsidR="00120717" w:rsidRPr="00B93EE1" w14:paraId="0A620B69" w14:textId="77777777" w:rsidTr="00EE1448">
        <w:trPr>
          <w:cantSplit/>
        </w:trPr>
        <w:tc>
          <w:tcPr>
            <w:tcW w:w="1744" w:type="pct"/>
            <w:tcBorders>
              <w:top w:val="nil"/>
              <w:bottom w:val="nil"/>
            </w:tcBorders>
            <w:shd w:val="clear" w:color="auto" w:fill="C9DED4"/>
            <w:noWrap/>
          </w:tcPr>
          <w:p w14:paraId="0FC459BE" w14:textId="77777777" w:rsidR="00120717" w:rsidRPr="00B93EE1" w:rsidRDefault="00120717" w:rsidP="00AF569F">
            <w:pPr>
              <w:keepNext/>
              <w:keepLines/>
              <w:tabs>
                <w:tab w:val="left" w:pos="250"/>
              </w:tabs>
              <w:jc w:val="left"/>
              <w:rPr>
                <w:sz w:val="16"/>
                <w:szCs w:val="16"/>
              </w:rPr>
            </w:pPr>
            <w:r w:rsidRPr="00B93EE1">
              <w:rPr>
                <w:sz w:val="16"/>
                <w:szCs w:val="16"/>
              </w:rPr>
              <w:t>-</w:t>
            </w:r>
            <w:r w:rsidRPr="00B93EE1">
              <w:rPr>
                <w:sz w:val="16"/>
                <w:szCs w:val="16"/>
              </w:rPr>
              <w:tab/>
              <w:t>of which technical regulations</w:t>
            </w:r>
          </w:p>
        </w:tc>
        <w:tc>
          <w:tcPr>
            <w:tcW w:w="499" w:type="pct"/>
            <w:tcBorders>
              <w:top w:val="nil"/>
              <w:bottom w:val="nil"/>
            </w:tcBorders>
            <w:shd w:val="clear" w:color="auto" w:fill="C9DED4"/>
            <w:noWrap/>
          </w:tcPr>
          <w:p w14:paraId="7AB37535" w14:textId="77777777" w:rsidR="00120717" w:rsidRPr="00B93EE1" w:rsidRDefault="00120717" w:rsidP="00AF569F">
            <w:pPr>
              <w:keepNext/>
              <w:keepLines/>
              <w:ind w:left="113"/>
              <w:jc w:val="right"/>
              <w:rPr>
                <w:sz w:val="16"/>
                <w:szCs w:val="16"/>
              </w:rPr>
            </w:pPr>
            <w:r w:rsidRPr="00B93EE1">
              <w:rPr>
                <w:sz w:val="16"/>
                <w:szCs w:val="16"/>
              </w:rPr>
              <w:t>1,263</w:t>
            </w:r>
          </w:p>
        </w:tc>
        <w:tc>
          <w:tcPr>
            <w:tcW w:w="449" w:type="pct"/>
            <w:tcBorders>
              <w:top w:val="nil"/>
              <w:bottom w:val="nil"/>
            </w:tcBorders>
            <w:shd w:val="clear" w:color="auto" w:fill="C9DED4"/>
            <w:noWrap/>
          </w:tcPr>
          <w:p w14:paraId="51A47261" w14:textId="77777777" w:rsidR="00120717" w:rsidRPr="00B93EE1" w:rsidRDefault="00120717" w:rsidP="00AF569F">
            <w:pPr>
              <w:keepNext/>
              <w:keepLines/>
              <w:ind w:left="113"/>
              <w:jc w:val="right"/>
              <w:rPr>
                <w:sz w:val="16"/>
                <w:szCs w:val="16"/>
              </w:rPr>
            </w:pPr>
            <w:r w:rsidRPr="00B93EE1">
              <w:rPr>
                <w:sz w:val="16"/>
                <w:szCs w:val="16"/>
              </w:rPr>
              <w:t>1,301</w:t>
            </w:r>
          </w:p>
        </w:tc>
        <w:tc>
          <w:tcPr>
            <w:tcW w:w="449" w:type="pct"/>
            <w:tcBorders>
              <w:top w:val="nil"/>
              <w:bottom w:val="nil"/>
            </w:tcBorders>
            <w:shd w:val="clear" w:color="auto" w:fill="C9DED4"/>
            <w:noWrap/>
          </w:tcPr>
          <w:p w14:paraId="2CC4E475" w14:textId="77777777" w:rsidR="00120717" w:rsidRPr="00B93EE1" w:rsidRDefault="00120717" w:rsidP="00AF569F">
            <w:pPr>
              <w:keepNext/>
              <w:keepLines/>
              <w:ind w:left="113"/>
              <w:jc w:val="right"/>
              <w:rPr>
                <w:sz w:val="16"/>
                <w:szCs w:val="16"/>
              </w:rPr>
            </w:pPr>
            <w:r w:rsidRPr="00B93EE1">
              <w:rPr>
                <w:sz w:val="16"/>
                <w:szCs w:val="16"/>
              </w:rPr>
              <w:t>1,335</w:t>
            </w:r>
          </w:p>
        </w:tc>
        <w:tc>
          <w:tcPr>
            <w:tcW w:w="449" w:type="pct"/>
            <w:tcBorders>
              <w:top w:val="nil"/>
              <w:bottom w:val="nil"/>
            </w:tcBorders>
            <w:shd w:val="clear" w:color="auto" w:fill="C9DED4"/>
            <w:noWrap/>
          </w:tcPr>
          <w:p w14:paraId="187D2197" w14:textId="77777777" w:rsidR="00120717" w:rsidRPr="00B93EE1" w:rsidRDefault="00120717" w:rsidP="00AF569F">
            <w:pPr>
              <w:keepNext/>
              <w:keepLines/>
              <w:ind w:left="113"/>
              <w:jc w:val="right"/>
              <w:rPr>
                <w:sz w:val="16"/>
                <w:szCs w:val="16"/>
              </w:rPr>
            </w:pPr>
            <w:r w:rsidRPr="00B93EE1">
              <w:rPr>
                <w:sz w:val="16"/>
                <w:szCs w:val="16"/>
              </w:rPr>
              <w:t>852</w:t>
            </w:r>
          </w:p>
        </w:tc>
        <w:tc>
          <w:tcPr>
            <w:tcW w:w="499" w:type="pct"/>
            <w:tcBorders>
              <w:top w:val="nil"/>
              <w:bottom w:val="nil"/>
            </w:tcBorders>
            <w:shd w:val="clear" w:color="auto" w:fill="C9DED4"/>
            <w:noWrap/>
          </w:tcPr>
          <w:p w14:paraId="137E6378" w14:textId="77777777" w:rsidR="00120717" w:rsidRPr="00B93EE1" w:rsidRDefault="00120717" w:rsidP="00AF569F">
            <w:pPr>
              <w:keepNext/>
              <w:keepLines/>
              <w:ind w:left="113"/>
              <w:jc w:val="right"/>
              <w:rPr>
                <w:sz w:val="16"/>
                <w:szCs w:val="16"/>
              </w:rPr>
            </w:pPr>
            <w:r w:rsidRPr="00B93EE1">
              <w:rPr>
                <w:sz w:val="16"/>
                <w:szCs w:val="16"/>
              </w:rPr>
              <w:t>815</w:t>
            </w:r>
          </w:p>
        </w:tc>
        <w:tc>
          <w:tcPr>
            <w:tcW w:w="449" w:type="pct"/>
            <w:tcBorders>
              <w:top w:val="nil"/>
              <w:bottom w:val="nil"/>
            </w:tcBorders>
            <w:shd w:val="clear" w:color="auto" w:fill="C9DED4"/>
          </w:tcPr>
          <w:p w14:paraId="72BA9C40" w14:textId="77777777" w:rsidR="00120717" w:rsidRPr="00B93EE1" w:rsidRDefault="00120717" w:rsidP="00AF569F">
            <w:pPr>
              <w:keepNext/>
              <w:keepLines/>
              <w:ind w:left="113"/>
              <w:jc w:val="right"/>
              <w:rPr>
                <w:sz w:val="16"/>
                <w:szCs w:val="16"/>
              </w:rPr>
            </w:pPr>
            <w:r w:rsidRPr="00B93EE1">
              <w:rPr>
                <w:sz w:val="16"/>
                <w:szCs w:val="16"/>
              </w:rPr>
              <w:t>807</w:t>
            </w:r>
          </w:p>
        </w:tc>
        <w:tc>
          <w:tcPr>
            <w:tcW w:w="461" w:type="pct"/>
            <w:tcBorders>
              <w:top w:val="nil"/>
              <w:bottom w:val="nil"/>
            </w:tcBorders>
            <w:shd w:val="clear" w:color="auto" w:fill="C9DED4"/>
          </w:tcPr>
          <w:p w14:paraId="7C094326" w14:textId="77777777" w:rsidR="00120717" w:rsidRPr="00B93EE1" w:rsidRDefault="00120717" w:rsidP="00AF569F">
            <w:pPr>
              <w:keepNext/>
              <w:keepLines/>
              <w:ind w:left="113"/>
              <w:jc w:val="right"/>
              <w:rPr>
                <w:sz w:val="16"/>
                <w:szCs w:val="16"/>
              </w:rPr>
            </w:pPr>
            <w:r w:rsidRPr="00B93EE1">
              <w:rPr>
                <w:sz w:val="16"/>
                <w:szCs w:val="16"/>
              </w:rPr>
              <w:t>828</w:t>
            </w:r>
          </w:p>
        </w:tc>
      </w:tr>
      <w:tr w:rsidR="00120717" w:rsidRPr="00B93EE1" w14:paraId="232D8EB6" w14:textId="77777777" w:rsidTr="00EE1448">
        <w:trPr>
          <w:cantSplit/>
        </w:trPr>
        <w:tc>
          <w:tcPr>
            <w:tcW w:w="1744" w:type="pct"/>
            <w:tcBorders>
              <w:top w:val="nil"/>
              <w:bottom w:val="nil"/>
            </w:tcBorders>
            <w:shd w:val="clear" w:color="auto" w:fill="auto"/>
            <w:noWrap/>
          </w:tcPr>
          <w:p w14:paraId="6E5C5F55" w14:textId="77777777" w:rsidR="00120717" w:rsidRPr="00B93EE1" w:rsidRDefault="00120717" w:rsidP="00AF569F">
            <w:pPr>
              <w:keepNext/>
              <w:keepLines/>
              <w:tabs>
                <w:tab w:val="left" w:pos="250"/>
              </w:tabs>
              <w:jc w:val="left"/>
              <w:rPr>
                <w:sz w:val="16"/>
                <w:szCs w:val="16"/>
              </w:rPr>
            </w:pPr>
            <w:r w:rsidRPr="00B93EE1">
              <w:rPr>
                <w:sz w:val="16"/>
                <w:szCs w:val="16"/>
              </w:rPr>
              <w:t>-</w:t>
            </w:r>
            <w:r w:rsidRPr="00B93EE1">
              <w:rPr>
                <w:sz w:val="16"/>
                <w:szCs w:val="16"/>
              </w:rPr>
              <w:tab/>
              <w:t>share developed by New Zealand</w:t>
            </w:r>
          </w:p>
        </w:tc>
        <w:tc>
          <w:tcPr>
            <w:tcW w:w="499" w:type="pct"/>
            <w:tcBorders>
              <w:top w:val="nil"/>
              <w:bottom w:val="nil"/>
            </w:tcBorders>
            <w:shd w:val="clear" w:color="auto" w:fill="auto"/>
            <w:noWrap/>
          </w:tcPr>
          <w:p w14:paraId="68C235D0" w14:textId="77777777" w:rsidR="00120717" w:rsidRPr="00B93EE1" w:rsidRDefault="00120717" w:rsidP="00AF569F">
            <w:pPr>
              <w:keepNext/>
              <w:keepLines/>
              <w:ind w:left="113"/>
              <w:jc w:val="right"/>
              <w:rPr>
                <w:sz w:val="16"/>
                <w:szCs w:val="16"/>
              </w:rPr>
            </w:pPr>
            <w:r w:rsidRPr="00B93EE1">
              <w:rPr>
                <w:sz w:val="16"/>
                <w:szCs w:val="16"/>
              </w:rPr>
              <w:t>13%</w:t>
            </w:r>
          </w:p>
        </w:tc>
        <w:tc>
          <w:tcPr>
            <w:tcW w:w="449" w:type="pct"/>
            <w:tcBorders>
              <w:top w:val="nil"/>
              <w:bottom w:val="nil"/>
            </w:tcBorders>
            <w:shd w:val="clear" w:color="auto" w:fill="auto"/>
            <w:noWrap/>
          </w:tcPr>
          <w:p w14:paraId="7D97692A" w14:textId="77777777" w:rsidR="00120717" w:rsidRPr="00B93EE1" w:rsidRDefault="00120717" w:rsidP="00AF569F">
            <w:pPr>
              <w:keepNext/>
              <w:keepLines/>
              <w:ind w:left="113"/>
              <w:jc w:val="right"/>
              <w:rPr>
                <w:sz w:val="16"/>
                <w:szCs w:val="16"/>
              </w:rPr>
            </w:pPr>
            <w:r w:rsidRPr="00B93EE1">
              <w:rPr>
                <w:sz w:val="16"/>
                <w:szCs w:val="16"/>
              </w:rPr>
              <w:t>12%</w:t>
            </w:r>
          </w:p>
        </w:tc>
        <w:tc>
          <w:tcPr>
            <w:tcW w:w="449" w:type="pct"/>
            <w:tcBorders>
              <w:top w:val="nil"/>
              <w:bottom w:val="nil"/>
            </w:tcBorders>
            <w:shd w:val="clear" w:color="auto" w:fill="auto"/>
            <w:noWrap/>
          </w:tcPr>
          <w:p w14:paraId="34AA7315" w14:textId="77777777" w:rsidR="00120717" w:rsidRPr="00B93EE1" w:rsidRDefault="00120717" w:rsidP="00AF569F">
            <w:pPr>
              <w:keepNext/>
              <w:keepLines/>
              <w:ind w:left="113"/>
              <w:jc w:val="right"/>
              <w:rPr>
                <w:sz w:val="16"/>
                <w:szCs w:val="16"/>
              </w:rPr>
            </w:pPr>
            <w:r w:rsidRPr="00B93EE1">
              <w:rPr>
                <w:sz w:val="16"/>
                <w:szCs w:val="16"/>
              </w:rPr>
              <w:t>12%</w:t>
            </w:r>
          </w:p>
        </w:tc>
        <w:tc>
          <w:tcPr>
            <w:tcW w:w="449" w:type="pct"/>
            <w:tcBorders>
              <w:top w:val="nil"/>
              <w:bottom w:val="nil"/>
            </w:tcBorders>
            <w:shd w:val="clear" w:color="auto" w:fill="auto"/>
            <w:noWrap/>
          </w:tcPr>
          <w:p w14:paraId="0A0DCC2B" w14:textId="77777777" w:rsidR="00120717" w:rsidRPr="00B93EE1" w:rsidRDefault="00120717" w:rsidP="00AF569F">
            <w:pPr>
              <w:keepNext/>
              <w:keepLines/>
              <w:ind w:left="113"/>
              <w:jc w:val="right"/>
              <w:rPr>
                <w:sz w:val="16"/>
                <w:szCs w:val="16"/>
              </w:rPr>
            </w:pPr>
            <w:r w:rsidRPr="00B93EE1">
              <w:rPr>
                <w:sz w:val="16"/>
                <w:szCs w:val="16"/>
              </w:rPr>
              <w:t>13%</w:t>
            </w:r>
          </w:p>
        </w:tc>
        <w:tc>
          <w:tcPr>
            <w:tcW w:w="499" w:type="pct"/>
            <w:tcBorders>
              <w:top w:val="nil"/>
              <w:bottom w:val="nil"/>
            </w:tcBorders>
            <w:shd w:val="clear" w:color="auto" w:fill="auto"/>
            <w:noWrap/>
          </w:tcPr>
          <w:p w14:paraId="4E5E3170" w14:textId="77777777" w:rsidR="00120717" w:rsidRPr="00B93EE1" w:rsidRDefault="00120717" w:rsidP="00AF569F">
            <w:pPr>
              <w:keepNext/>
              <w:keepLines/>
              <w:ind w:left="113"/>
              <w:jc w:val="right"/>
              <w:rPr>
                <w:sz w:val="16"/>
                <w:szCs w:val="16"/>
              </w:rPr>
            </w:pPr>
            <w:r w:rsidRPr="00B93EE1">
              <w:rPr>
                <w:sz w:val="16"/>
                <w:szCs w:val="16"/>
              </w:rPr>
              <w:t>13%</w:t>
            </w:r>
          </w:p>
        </w:tc>
        <w:tc>
          <w:tcPr>
            <w:tcW w:w="449" w:type="pct"/>
            <w:tcBorders>
              <w:top w:val="nil"/>
              <w:bottom w:val="nil"/>
            </w:tcBorders>
            <w:shd w:val="clear" w:color="auto" w:fill="auto"/>
          </w:tcPr>
          <w:p w14:paraId="0E9B68C9" w14:textId="77777777" w:rsidR="00120717" w:rsidRPr="00B93EE1" w:rsidRDefault="00120717" w:rsidP="00AF569F">
            <w:pPr>
              <w:keepNext/>
              <w:keepLines/>
              <w:ind w:left="113"/>
              <w:jc w:val="right"/>
              <w:rPr>
                <w:sz w:val="16"/>
                <w:szCs w:val="16"/>
              </w:rPr>
            </w:pPr>
            <w:r w:rsidRPr="00B93EE1">
              <w:rPr>
                <w:sz w:val="16"/>
                <w:szCs w:val="16"/>
              </w:rPr>
              <w:t>13%</w:t>
            </w:r>
          </w:p>
        </w:tc>
        <w:tc>
          <w:tcPr>
            <w:tcW w:w="461" w:type="pct"/>
            <w:tcBorders>
              <w:top w:val="nil"/>
              <w:bottom w:val="nil"/>
            </w:tcBorders>
          </w:tcPr>
          <w:p w14:paraId="7B0FAB5A" w14:textId="77777777" w:rsidR="00120717" w:rsidRPr="00B93EE1" w:rsidRDefault="00120717" w:rsidP="00AF569F">
            <w:pPr>
              <w:keepNext/>
              <w:keepLines/>
              <w:ind w:left="113"/>
              <w:jc w:val="right"/>
              <w:rPr>
                <w:sz w:val="16"/>
                <w:szCs w:val="16"/>
              </w:rPr>
            </w:pPr>
            <w:r w:rsidRPr="00B93EE1">
              <w:rPr>
                <w:sz w:val="16"/>
                <w:szCs w:val="16"/>
              </w:rPr>
              <w:t>13%</w:t>
            </w:r>
          </w:p>
        </w:tc>
      </w:tr>
      <w:tr w:rsidR="00120717" w:rsidRPr="00B93EE1" w14:paraId="40722991" w14:textId="77777777" w:rsidTr="00EE1448">
        <w:trPr>
          <w:cantSplit/>
        </w:trPr>
        <w:tc>
          <w:tcPr>
            <w:tcW w:w="1744" w:type="pct"/>
            <w:tcBorders>
              <w:top w:val="nil"/>
              <w:bottom w:val="nil"/>
            </w:tcBorders>
            <w:shd w:val="clear" w:color="auto" w:fill="C9DED4"/>
            <w:noWrap/>
          </w:tcPr>
          <w:p w14:paraId="25C8AF11" w14:textId="77777777" w:rsidR="00120717" w:rsidRPr="00B93EE1" w:rsidRDefault="00120717" w:rsidP="00AF569F">
            <w:pPr>
              <w:keepNext/>
              <w:keepLines/>
              <w:tabs>
                <w:tab w:val="left" w:pos="250"/>
              </w:tabs>
              <w:ind w:left="250" w:hanging="250"/>
              <w:jc w:val="left"/>
              <w:rPr>
                <w:sz w:val="16"/>
                <w:szCs w:val="16"/>
              </w:rPr>
            </w:pPr>
            <w:r w:rsidRPr="00B93EE1">
              <w:rPr>
                <w:sz w:val="16"/>
                <w:szCs w:val="16"/>
              </w:rPr>
              <w:t>-</w:t>
            </w:r>
            <w:r w:rsidRPr="00B93EE1">
              <w:rPr>
                <w:sz w:val="16"/>
                <w:szCs w:val="16"/>
              </w:rPr>
              <w:tab/>
              <w:t>share developed jointly by Australia and New Zealand</w:t>
            </w:r>
          </w:p>
        </w:tc>
        <w:tc>
          <w:tcPr>
            <w:tcW w:w="499" w:type="pct"/>
            <w:tcBorders>
              <w:top w:val="nil"/>
              <w:bottom w:val="nil"/>
            </w:tcBorders>
            <w:shd w:val="clear" w:color="auto" w:fill="C9DED4"/>
            <w:noWrap/>
          </w:tcPr>
          <w:p w14:paraId="1EF0D593" w14:textId="77777777" w:rsidR="00120717" w:rsidRPr="00B93EE1" w:rsidRDefault="00120717" w:rsidP="00AF569F">
            <w:pPr>
              <w:keepNext/>
              <w:keepLines/>
              <w:ind w:left="113"/>
              <w:jc w:val="right"/>
              <w:rPr>
                <w:sz w:val="16"/>
                <w:szCs w:val="16"/>
              </w:rPr>
            </w:pPr>
            <w:r w:rsidRPr="00B93EE1">
              <w:rPr>
                <w:sz w:val="16"/>
                <w:szCs w:val="16"/>
              </w:rPr>
              <w:t>87%</w:t>
            </w:r>
          </w:p>
        </w:tc>
        <w:tc>
          <w:tcPr>
            <w:tcW w:w="449" w:type="pct"/>
            <w:tcBorders>
              <w:top w:val="nil"/>
              <w:bottom w:val="nil"/>
            </w:tcBorders>
            <w:shd w:val="clear" w:color="auto" w:fill="C9DED4"/>
            <w:noWrap/>
          </w:tcPr>
          <w:p w14:paraId="183E3D4D" w14:textId="77777777" w:rsidR="00120717" w:rsidRPr="00B93EE1" w:rsidRDefault="00120717" w:rsidP="00AF569F">
            <w:pPr>
              <w:keepNext/>
              <w:keepLines/>
              <w:ind w:left="113"/>
              <w:jc w:val="right"/>
              <w:rPr>
                <w:sz w:val="16"/>
                <w:szCs w:val="16"/>
              </w:rPr>
            </w:pPr>
            <w:r w:rsidRPr="00B93EE1">
              <w:rPr>
                <w:sz w:val="16"/>
                <w:szCs w:val="16"/>
              </w:rPr>
              <w:t>88%</w:t>
            </w:r>
          </w:p>
        </w:tc>
        <w:tc>
          <w:tcPr>
            <w:tcW w:w="449" w:type="pct"/>
            <w:tcBorders>
              <w:top w:val="nil"/>
              <w:bottom w:val="nil"/>
            </w:tcBorders>
            <w:shd w:val="clear" w:color="auto" w:fill="C9DED4"/>
            <w:noWrap/>
          </w:tcPr>
          <w:p w14:paraId="26C25EBC" w14:textId="77777777" w:rsidR="00120717" w:rsidRPr="00B93EE1" w:rsidRDefault="00120717" w:rsidP="00AF569F">
            <w:pPr>
              <w:keepNext/>
              <w:keepLines/>
              <w:ind w:left="113"/>
              <w:jc w:val="right"/>
              <w:rPr>
                <w:sz w:val="16"/>
                <w:szCs w:val="16"/>
              </w:rPr>
            </w:pPr>
            <w:r w:rsidRPr="00B93EE1">
              <w:rPr>
                <w:sz w:val="16"/>
                <w:szCs w:val="16"/>
              </w:rPr>
              <w:t>88%</w:t>
            </w:r>
          </w:p>
          <w:p w14:paraId="09B908C6" w14:textId="77777777" w:rsidR="00120717" w:rsidRPr="00B93EE1" w:rsidRDefault="00120717" w:rsidP="00AF569F">
            <w:pPr>
              <w:keepNext/>
              <w:keepLines/>
              <w:ind w:left="113"/>
              <w:jc w:val="right"/>
              <w:rPr>
                <w:sz w:val="16"/>
                <w:szCs w:val="16"/>
              </w:rPr>
            </w:pPr>
          </w:p>
        </w:tc>
        <w:tc>
          <w:tcPr>
            <w:tcW w:w="449" w:type="pct"/>
            <w:tcBorders>
              <w:top w:val="nil"/>
              <w:bottom w:val="nil"/>
            </w:tcBorders>
            <w:shd w:val="clear" w:color="auto" w:fill="C9DED4"/>
            <w:noWrap/>
          </w:tcPr>
          <w:p w14:paraId="1A92496E" w14:textId="77777777" w:rsidR="00120717" w:rsidRPr="00B93EE1" w:rsidRDefault="00120717" w:rsidP="00AF569F">
            <w:pPr>
              <w:keepNext/>
              <w:keepLines/>
              <w:ind w:left="113"/>
              <w:jc w:val="right"/>
              <w:rPr>
                <w:sz w:val="16"/>
                <w:szCs w:val="16"/>
              </w:rPr>
            </w:pPr>
            <w:r w:rsidRPr="00B93EE1">
              <w:rPr>
                <w:sz w:val="16"/>
                <w:szCs w:val="16"/>
              </w:rPr>
              <w:t>87%</w:t>
            </w:r>
          </w:p>
        </w:tc>
        <w:tc>
          <w:tcPr>
            <w:tcW w:w="499" w:type="pct"/>
            <w:tcBorders>
              <w:top w:val="nil"/>
              <w:bottom w:val="nil"/>
            </w:tcBorders>
            <w:shd w:val="clear" w:color="auto" w:fill="C9DED4"/>
            <w:noWrap/>
          </w:tcPr>
          <w:p w14:paraId="7917CEF5" w14:textId="77777777" w:rsidR="00120717" w:rsidRPr="00B93EE1" w:rsidRDefault="00120717" w:rsidP="00AF569F">
            <w:pPr>
              <w:keepNext/>
              <w:keepLines/>
              <w:ind w:left="113"/>
              <w:jc w:val="right"/>
              <w:rPr>
                <w:sz w:val="16"/>
                <w:szCs w:val="16"/>
              </w:rPr>
            </w:pPr>
            <w:r w:rsidRPr="00B93EE1">
              <w:rPr>
                <w:sz w:val="16"/>
                <w:szCs w:val="16"/>
              </w:rPr>
              <w:t>87%</w:t>
            </w:r>
          </w:p>
        </w:tc>
        <w:tc>
          <w:tcPr>
            <w:tcW w:w="449" w:type="pct"/>
            <w:tcBorders>
              <w:top w:val="nil"/>
              <w:bottom w:val="nil"/>
            </w:tcBorders>
            <w:shd w:val="clear" w:color="auto" w:fill="C9DED4"/>
          </w:tcPr>
          <w:p w14:paraId="216B9095" w14:textId="77777777" w:rsidR="00120717" w:rsidRPr="00B93EE1" w:rsidRDefault="00120717" w:rsidP="00AF569F">
            <w:pPr>
              <w:keepNext/>
              <w:keepLines/>
              <w:ind w:left="113"/>
              <w:jc w:val="right"/>
              <w:rPr>
                <w:sz w:val="16"/>
                <w:szCs w:val="16"/>
              </w:rPr>
            </w:pPr>
            <w:r w:rsidRPr="00B93EE1">
              <w:rPr>
                <w:sz w:val="16"/>
                <w:szCs w:val="16"/>
              </w:rPr>
              <w:t>87%</w:t>
            </w:r>
          </w:p>
        </w:tc>
        <w:tc>
          <w:tcPr>
            <w:tcW w:w="461" w:type="pct"/>
            <w:tcBorders>
              <w:top w:val="nil"/>
              <w:bottom w:val="nil"/>
            </w:tcBorders>
            <w:shd w:val="clear" w:color="auto" w:fill="C9DED4"/>
          </w:tcPr>
          <w:p w14:paraId="3696561B" w14:textId="77777777" w:rsidR="00120717" w:rsidRPr="00B93EE1" w:rsidRDefault="00120717" w:rsidP="00AF569F">
            <w:pPr>
              <w:keepNext/>
              <w:keepLines/>
              <w:ind w:left="113"/>
              <w:jc w:val="right"/>
              <w:rPr>
                <w:sz w:val="16"/>
                <w:szCs w:val="16"/>
              </w:rPr>
            </w:pPr>
            <w:r w:rsidRPr="00B93EE1">
              <w:rPr>
                <w:sz w:val="16"/>
                <w:szCs w:val="16"/>
              </w:rPr>
              <w:t>87%</w:t>
            </w:r>
          </w:p>
        </w:tc>
      </w:tr>
      <w:tr w:rsidR="00120717" w:rsidRPr="00B93EE1" w14:paraId="43BEF4E6" w14:textId="77777777" w:rsidTr="00EE1448">
        <w:trPr>
          <w:cantSplit/>
        </w:trPr>
        <w:tc>
          <w:tcPr>
            <w:tcW w:w="1744" w:type="pct"/>
            <w:tcBorders>
              <w:top w:val="nil"/>
            </w:tcBorders>
            <w:shd w:val="clear" w:color="auto" w:fill="auto"/>
            <w:noWrap/>
          </w:tcPr>
          <w:p w14:paraId="76B17EC2" w14:textId="77777777" w:rsidR="00120717" w:rsidRPr="00B93EE1" w:rsidRDefault="00120717" w:rsidP="00AF569F">
            <w:pPr>
              <w:keepNext/>
              <w:keepLines/>
              <w:tabs>
                <w:tab w:val="left" w:pos="250"/>
              </w:tabs>
              <w:ind w:left="250" w:hanging="250"/>
              <w:jc w:val="left"/>
              <w:rPr>
                <w:sz w:val="16"/>
                <w:szCs w:val="16"/>
              </w:rPr>
            </w:pPr>
            <w:r w:rsidRPr="00B93EE1">
              <w:rPr>
                <w:sz w:val="16"/>
                <w:szCs w:val="16"/>
              </w:rPr>
              <w:t>-</w:t>
            </w:r>
            <w:r w:rsidRPr="00B93EE1">
              <w:rPr>
                <w:sz w:val="16"/>
                <w:szCs w:val="16"/>
              </w:rPr>
              <w:tab/>
              <w:t>share of total equivalent to ISO standards</w:t>
            </w:r>
          </w:p>
        </w:tc>
        <w:tc>
          <w:tcPr>
            <w:tcW w:w="499" w:type="pct"/>
            <w:tcBorders>
              <w:top w:val="nil"/>
            </w:tcBorders>
            <w:shd w:val="clear" w:color="auto" w:fill="auto"/>
            <w:noWrap/>
          </w:tcPr>
          <w:p w14:paraId="1258C593" w14:textId="77777777" w:rsidR="00120717" w:rsidRPr="00B93EE1" w:rsidRDefault="00120717" w:rsidP="00AF569F">
            <w:pPr>
              <w:keepNext/>
              <w:keepLines/>
              <w:ind w:left="113"/>
              <w:jc w:val="right"/>
              <w:rPr>
                <w:sz w:val="16"/>
                <w:szCs w:val="16"/>
              </w:rPr>
            </w:pPr>
            <w:r w:rsidRPr="00B93EE1">
              <w:rPr>
                <w:sz w:val="16"/>
                <w:szCs w:val="16"/>
              </w:rPr>
              <w:t>16%</w:t>
            </w:r>
          </w:p>
        </w:tc>
        <w:tc>
          <w:tcPr>
            <w:tcW w:w="449" w:type="pct"/>
            <w:tcBorders>
              <w:top w:val="nil"/>
            </w:tcBorders>
            <w:shd w:val="clear" w:color="auto" w:fill="auto"/>
            <w:noWrap/>
          </w:tcPr>
          <w:p w14:paraId="72A05DDC" w14:textId="77777777" w:rsidR="00120717" w:rsidRPr="00B93EE1" w:rsidRDefault="00120717" w:rsidP="00AF569F">
            <w:pPr>
              <w:keepNext/>
              <w:keepLines/>
              <w:ind w:left="113"/>
              <w:jc w:val="right"/>
              <w:rPr>
                <w:sz w:val="16"/>
                <w:szCs w:val="16"/>
              </w:rPr>
            </w:pPr>
            <w:r w:rsidRPr="00B93EE1">
              <w:rPr>
                <w:sz w:val="16"/>
                <w:szCs w:val="16"/>
              </w:rPr>
              <w:t>16%</w:t>
            </w:r>
          </w:p>
        </w:tc>
        <w:tc>
          <w:tcPr>
            <w:tcW w:w="449" w:type="pct"/>
            <w:tcBorders>
              <w:top w:val="nil"/>
            </w:tcBorders>
            <w:shd w:val="clear" w:color="auto" w:fill="auto"/>
            <w:noWrap/>
          </w:tcPr>
          <w:p w14:paraId="0D3DA960" w14:textId="77777777" w:rsidR="00120717" w:rsidRPr="00B93EE1" w:rsidRDefault="00120717" w:rsidP="00AF569F">
            <w:pPr>
              <w:keepNext/>
              <w:keepLines/>
              <w:ind w:left="113"/>
              <w:jc w:val="right"/>
              <w:rPr>
                <w:sz w:val="16"/>
                <w:szCs w:val="16"/>
              </w:rPr>
            </w:pPr>
            <w:r w:rsidRPr="00B93EE1">
              <w:rPr>
                <w:sz w:val="16"/>
                <w:szCs w:val="16"/>
              </w:rPr>
              <w:t>17%</w:t>
            </w:r>
          </w:p>
        </w:tc>
        <w:tc>
          <w:tcPr>
            <w:tcW w:w="449" w:type="pct"/>
            <w:tcBorders>
              <w:top w:val="nil"/>
            </w:tcBorders>
            <w:shd w:val="clear" w:color="auto" w:fill="auto"/>
            <w:noWrap/>
          </w:tcPr>
          <w:p w14:paraId="11978372" w14:textId="77777777" w:rsidR="00120717" w:rsidRPr="00B93EE1" w:rsidRDefault="00120717" w:rsidP="00AF569F">
            <w:pPr>
              <w:keepNext/>
              <w:keepLines/>
              <w:ind w:left="113"/>
              <w:jc w:val="right"/>
              <w:rPr>
                <w:sz w:val="16"/>
                <w:szCs w:val="16"/>
              </w:rPr>
            </w:pPr>
            <w:r w:rsidRPr="00B93EE1">
              <w:rPr>
                <w:sz w:val="16"/>
                <w:szCs w:val="16"/>
              </w:rPr>
              <w:t>17%</w:t>
            </w:r>
          </w:p>
        </w:tc>
        <w:tc>
          <w:tcPr>
            <w:tcW w:w="499" w:type="pct"/>
            <w:tcBorders>
              <w:top w:val="nil"/>
            </w:tcBorders>
            <w:shd w:val="clear" w:color="auto" w:fill="auto"/>
            <w:noWrap/>
          </w:tcPr>
          <w:p w14:paraId="7C9A6F66" w14:textId="77777777" w:rsidR="00120717" w:rsidRPr="00B93EE1" w:rsidRDefault="00120717" w:rsidP="00AF569F">
            <w:pPr>
              <w:keepNext/>
              <w:keepLines/>
              <w:ind w:left="113"/>
              <w:jc w:val="right"/>
              <w:rPr>
                <w:sz w:val="16"/>
                <w:szCs w:val="16"/>
              </w:rPr>
            </w:pPr>
            <w:r w:rsidRPr="00B93EE1">
              <w:rPr>
                <w:sz w:val="16"/>
                <w:szCs w:val="16"/>
              </w:rPr>
              <w:t>16%</w:t>
            </w:r>
          </w:p>
        </w:tc>
        <w:tc>
          <w:tcPr>
            <w:tcW w:w="449" w:type="pct"/>
            <w:tcBorders>
              <w:top w:val="nil"/>
            </w:tcBorders>
            <w:shd w:val="clear" w:color="auto" w:fill="auto"/>
          </w:tcPr>
          <w:p w14:paraId="4BB084BB" w14:textId="77777777" w:rsidR="00120717" w:rsidRPr="00B93EE1" w:rsidRDefault="00120717" w:rsidP="00AF569F">
            <w:pPr>
              <w:keepNext/>
              <w:keepLines/>
              <w:ind w:left="113"/>
              <w:jc w:val="right"/>
              <w:rPr>
                <w:sz w:val="16"/>
                <w:szCs w:val="16"/>
              </w:rPr>
            </w:pPr>
            <w:r w:rsidRPr="00B93EE1">
              <w:rPr>
                <w:sz w:val="16"/>
                <w:szCs w:val="16"/>
              </w:rPr>
              <w:t>17%</w:t>
            </w:r>
          </w:p>
        </w:tc>
        <w:tc>
          <w:tcPr>
            <w:tcW w:w="461" w:type="pct"/>
            <w:tcBorders>
              <w:top w:val="nil"/>
            </w:tcBorders>
          </w:tcPr>
          <w:p w14:paraId="4DE0CA55" w14:textId="77777777" w:rsidR="00120717" w:rsidRPr="00B93EE1" w:rsidRDefault="00120717" w:rsidP="00AF569F">
            <w:pPr>
              <w:keepNext/>
              <w:keepLines/>
              <w:ind w:left="113"/>
              <w:jc w:val="right"/>
              <w:rPr>
                <w:sz w:val="16"/>
                <w:szCs w:val="16"/>
              </w:rPr>
            </w:pPr>
            <w:r w:rsidRPr="00B93EE1">
              <w:rPr>
                <w:sz w:val="16"/>
                <w:szCs w:val="16"/>
              </w:rPr>
              <w:t>22%</w:t>
            </w:r>
          </w:p>
        </w:tc>
      </w:tr>
      <w:tr w:rsidR="00120717" w:rsidRPr="00B93EE1" w14:paraId="33294A46" w14:textId="77777777" w:rsidTr="00B06E8F">
        <w:trPr>
          <w:cantSplit/>
        </w:trPr>
        <w:tc>
          <w:tcPr>
            <w:tcW w:w="1744" w:type="pct"/>
            <w:shd w:val="clear" w:color="auto" w:fill="C9DED4"/>
            <w:noWrap/>
          </w:tcPr>
          <w:p w14:paraId="0FC5E31D" w14:textId="77777777" w:rsidR="00120717" w:rsidRPr="00B93EE1" w:rsidRDefault="00120717" w:rsidP="0085485D">
            <w:pPr>
              <w:tabs>
                <w:tab w:val="left" w:pos="250"/>
              </w:tabs>
              <w:ind w:left="250" w:hanging="250"/>
              <w:jc w:val="left"/>
              <w:rPr>
                <w:sz w:val="16"/>
                <w:szCs w:val="16"/>
              </w:rPr>
            </w:pPr>
            <w:r w:rsidRPr="00B93EE1">
              <w:rPr>
                <w:sz w:val="16"/>
                <w:szCs w:val="16"/>
              </w:rPr>
              <w:t>-</w:t>
            </w:r>
            <w:r w:rsidRPr="00B93EE1">
              <w:rPr>
                <w:sz w:val="16"/>
                <w:szCs w:val="16"/>
              </w:rPr>
              <w:tab/>
              <w:t>share of total equivalent to IEC standards</w:t>
            </w:r>
          </w:p>
        </w:tc>
        <w:tc>
          <w:tcPr>
            <w:tcW w:w="499" w:type="pct"/>
            <w:shd w:val="clear" w:color="auto" w:fill="C9DED4"/>
            <w:noWrap/>
          </w:tcPr>
          <w:p w14:paraId="35A694EB" w14:textId="77777777" w:rsidR="00120717" w:rsidRPr="00B93EE1" w:rsidRDefault="00120717" w:rsidP="00B06E8F">
            <w:pPr>
              <w:ind w:left="113"/>
              <w:jc w:val="right"/>
              <w:rPr>
                <w:sz w:val="16"/>
                <w:szCs w:val="16"/>
              </w:rPr>
            </w:pPr>
            <w:r w:rsidRPr="00B93EE1">
              <w:rPr>
                <w:sz w:val="16"/>
                <w:szCs w:val="16"/>
              </w:rPr>
              <w:t>21%</w:t>
            </w:r>
          </w:p>
        </w:tc>
        <w:tc>
          <w:tcPr>
            <w:tcW w:w="449" w:type="pct"/>
            <w:shd w:val="clear" w:color="auto" w:fill="C9DED4"/>
            <w:noWrap/>
          </w:tcPr>
          <w:p w14:paraId="52ABDCDA" w14:textId="77777777" w:rsidR="00120717" w:rsidRPr="00B93EE1" w:rsidRDefault="00120717" w:rsidP="00B06E8F">
            <w:pPr>
              <w:ind w:left="113"/>
              <w:jc w:val="right"/>
              <w:rPr>
                <w:sz w:val="16"/>
                <w:szCs w:val="16"/>
              </w:rPr>
            </w:pPr>
            <w:r w:rsidRPr="00B93EE1">
              <w:rPr>
                <w:sz w:val="16"/>
                <w:szCs w:val="16"/>
              </w:rPr>
              <w:t>22%</w:t>
            </w:r>
          </w:p>
        </w:tc>
        <w:tc>
          <w:tcPr>
            <w:tcW w:w="449" w:type="pct"/>
            <w:shd w:val="clear" w:color="auto" w:fill="C9DED4"/>
            <w:noWrap/>
          </w:tcPr>
          <w:p w14:paraId="26447D1A" w14:textId="77777777" w:rsidR="00120717" w:rsidRPr="00B93EE1" w:rsidRDefault="00120717" w:rsidP="00B06E8F">
            <w:pPr>
              <w:ind w:left="113"/>
              <w:jc w:val="right"/>
              <w:rPr>
                <w:sz w:val="16"/>
                <w:szCs w:val="16"/>
              </w:rPr>
            </w:pPr>
            <w:r w:rsidRPr="00B93EE1">
              <w:rPr>
                <w:sz w:val="16"/>
                <w:szCs w:val="16"/>
              </w:rPr>
              <w:t>19%</w:t>
            </w:r>
          </w:p>
        </w:tc>
        <w:tc>
          <w:tcPr>
            <w:tcW w:w="449" w:type="pct"/>
            <w:shd w:val="clear" w:color="auto" w:fill="C9DED4"/>
            <w:noWrap/>
          </w:tcPr>
          <w:p w14:paraId="2C80031F" w14:textId="77777777" w:rsidR="00120717" w:rsidRPr="00B93EE1" w:rsidRDefault="00120717" w:rsidP="00B06E8F">
            <w:pPr>
              <w:ind w:left="113"/>
              <w:jc w:val="right"/>
              <w:rPr>
                <w:sz w:val="16"/>
                <w:szCs w:val="16"/>
              </w:rPr>
            </w:pPr>
            <w:r w:rsidRPr="00B93EE1">
              <w:rPr>
                <w:sz w:val="16"/>
                <w:szCs w:val="16"/>
              </w:rPr>
              <w:t>20%</w:t>
            </w:r>
          </w:p>
        </w:tc>
        <w:tc>
          <w:tcPr>
            <w:tcW w:w="499" w:type="pct"/>
            <w:shd w:val="clear" w:color="auto" w:fill="C9DED4"/>
            <w:noWrap/>
          </w:tcPr>
          <w:p w14:paraId="46048A56" w14:textId="77777777" w:rsidR="00120717" w:rsidRPr="00B93EE1" w:rsidRDefault="00120717" w:rsidP="00B06E8F">
            <w:pPr>
              <w:ind w:left="113"/>
              <w:jc w:val="right"/>
              <w:rPr>
                <w:sz w:val="16"/>
                <w:szCs w:val="16"/>
              </w:rPr>
            </w:pPr>
            <w:r w:rsidRPr="00B93EE1">
              <w:rPr>
                <w:sz w:val="16"/>
                <w:szCs w:val="16"/>
              </w:rPr>
              <w:t>21%</w:t>
            </w:r>
          </w:p>
        </w:tc>
        <w:tc>
          <w:tcPr>
            <w:tcW w:w="449" w:type="pct"/>
            <w:shd w:val="clear" w:color="auto" w:fill="C9DED4"/>
          </w:tcPr>
          <w:p w14:paraId="373BE96C" w14:textId="77777777" w:rsidR="00120717" w:rsidRPr="00B93EE1" w:rsidRDefault="00120717" w:rsidP="00B06E8F">
            <w:pPr>
              <w:ind w:left="113"/>
              <w:jc w:val="right"/>
              <w:rPr>
                <w:sz w:val="16"/>
                <w:szCs w:val="16"/>
              </w:rPr>
            </w:pPr>
            <w:r w:rsidRPr="00B93EE1">
              <w:rPr>
                <w:sz w:val="16"/>
                <w:szCs w:val="16"/>
              </w:rPr>
              <w:t>21%</w:t>
            </w:r>
          </w:p>
        </w:tc>
        <w:tc>
          <w:tcPr>
            <w:tcW w:w="461" w:type="pct"/>
            <w:shd w:val="clear" w:color="auto" w:fill="C9DED4"/>
          </w:tcPr>
          <w:p w14:paraId="1076A875" w14:textId="77777777" w:rsidR="00120717" w:rsidRPr="00B93EE1" w:rsidRDefault="00120717" w:rsidP="00B06E8F">
            <w:pPr>
              <w:ind w:left="113"/>
              <w:jc w:val="right"/>
              <w:rPr>
                <w:sz w:val="16"/>
                <w:szCs w:val="16"/>
              </w:rPr>
            </w:pPr>
            <w:r w:rsidRPr="00B93EE1">
              <w:rPr>
                <w:sz w:val="16"/>
                <w:szCs w:val="16"/>
              </w:rPr>
              <w:t>27%</w:t>
            </w:r>
          </w:p>
        </w:tc>
      </w:tr>
      <w:tr w:rsidR="00120717" w:rsidRPr="00B93EE1" w14:paraId="3F6A7D8A" w14:textId="77777777" w:rsidTr="00B06E8F">
        <w:trPr>
          <w:cantSplit/>
        </w:trPr>
        <w:tc>
          <w:tcPr>
            <w:tcW w:w="1744" w:type="pct"/>
            <w:shd w:val="clear" w:color="auto" w:fill="auto"/>
            <w:noWrap/>
          </w:tcPr>
          <w:p w14:paraId="52133AFE" w14:textId="77777777" w:rsidR="00120717" w:rsidRPr="00B93EE1" w:rsidRDefault="00120717" w:rsidP="0085485D">
            <w:pPr>
              <w:tabs>
                <w:tab w:val="left" w:pos="250"/>
              </w:tabs>
              <w:ind w:left="250" w:hanging="250"/>
              <w:jc w:val="left"/>
              <w:rPr>
                <w:sz w:val="16"/>
                <w:szCs w:val="16"/>
              </w:rPr>
            </w:pPr>
            <w:r w:rsidRPr="00B93EE1">
              <w:rPr>
                <w:sz w:val="16"/>
                <w:szCs w:val="16"/>
              </w:rPr>
              <w:t>-</w:t>
            </w:r>
            <w:r w:rsidRPr="00B93EE1">
              <w:rPr>
                <w:sz w:val="16"/>
                <w:szCs w:val="16"/>
              </w:rPr>
              <w:tab/>
              <w:t>share of total equivalent to ISO and IEC (ISO/IEC)</w:t>
            </w:r>
          </w:p>
        </w:tc>
        <w:tc>
          <w:tcPr>
            <w:tcW w:w="499" w:type="pct"/>
            <w:shd w:val="clear" w:color="auto" w:fill="auto"/>
            <w:noWrap/>
          </w:tcPr>
          <w:p w14:paraId="46CAFAC3" w14:textId="77777777" w:rsidR="00120717" w:rsidRPr="00B93EE1" w:rsidRDefault="00120717" w:rsidP="00B06E8F">
            <w:pPr>
              <w:ind w:left="113"/>
              <w:jc w:val="right"/>
              <w:rPr>
                <w:sz w:val="16"/>
                <w:szCs w:val="16"/>
              </w:rPr>
            </w:pPr>
            <w:r w:rsidRPr="00B93EE1">
              <w:rPr>
                <w:sz w:val="16"/>
                <w:szCs w:val="16"/>
              </w:rPr>
              <w:t>9%</w:t>
            </w:r>
          </w:p>
        </w:tc>
        <w:tc>
          <w:tcPr>
            <w:tcW w:w="449" w:type="pct"/>
            <w:shd w:val="clear" w:color="auto" w:fill="auto"/>
            <w:noWrap/>
          </w:tcPr>
          <w:p w14:paraId="7402F888" w14:textId="77777777" w:rsidR="00120717" w:rsidRPr="00B93EE1" w:rsidRDefault="00120717" w:rsidP="00B06E8F">
            <w:pPr>
              <w:ind w:left="113"/>
              <w:jc w:val="right"/>
              <w:rPr>
                <w:sz w:val="16"/>
                <w:szCs w:val="16"/>
              </w:rPr>
            </w:pPr>
            <w:r w:rsidRPr="00B93EE1">
              <w:rPr>
                <w:sz w:val="16"/>
                <w:szCs w:val="16"/>
              </w:rPr>
              <w:t>9%</w:t>
            </w:r>
          </w:p>
        </w:tc>
        <w:tc>
          <w:tcPr>
            <w:tcW w:w="449" w:type="pct"/>
            <w:shd w:val="clear" w:color="auto" w:fill="auto"/>
            <w:noWrap/>
          </w:tcPr>
          <w:p w14:paraId="3105769D" w14:textId="77777777" w:rsidR="00120717" w:rsidRPr="00B93EE1" w:rsidRDefault="00120717" w:rsidP="00B06E8F">
            <w:pPr>
              <w:ind w:left="113"/>
              <w:jc w:val="right"/>
              <w:rPr>
                <w:sz w:val="16"/>
                <w:szCs w:val="16"/>
              </w:rPr>
            </w:pPr>
            <w:r w:rsidRPr="00B93EE1">
              <w:rPr>
                <w:sz w:val="16"/>
                <w:szCs w:val="16"/>
              </w:rPr>
              <w:t>9%</w:t>
            </w:r>
          </w:p>
        </w:tc>
        <w:tc>
          <w:tcPr>
            <w:tcW w:w="449" w:type="pct"/>
            <w:shd w:val="clear" w:color="auto" w:fill="auto"/>
            <w:noWrap/>
          </w:tcPr>
          <w:p w14:paraId="39A42C98" w14:textId="77777777" w:rsidR="00120717" w:rsidRPr="00B93EE1" w:rsidRDefault="00120717" w:rsidP="00B06E8F">
            <w:pPr>
              <w:ind w:left="113"/>
              <w:jc w:val="right"/>
              <w:rPr>
                <w:sz w:val="16"/>
                <w:szCs w:val="16"/>
              </w:rPr>
            </w:pPr>
            <w:r w:rsidRPr="00B93EE1">
              <w:rPr>
                <w:sz w:val="16"/>
                <w:szCs w:val="16"/>
              </w:rPr>
              <w:t>5%</w:t>
            </w:r>
          </w:p>
        </w:tc>
        <w:tc>
          <w:tcPr>
            <w:tcW w:w="499" w:type="pct"/>
            <w:shd w:val="clear" w:color="auto" w:fill="auto"/>
            <w:noWrap/>
          </w:tcPr>
          <w:p w14:paraId="6A4F889A" w14:textId="77777777" w:rsidR="00120717" w:rsidRPr="00B93EE1" w:rsidRDefault="00120717" w:rsidP="00B06E8F">
            <w:pPr>
              <w:ind w:left="113"/>
              <w:jc w:val="right"/>
              <w:rPr>
                <w:sz w:val="16"/>
                <w:szCs w:val="16"/>
              </w:rPr>
            </w:pPr>
            <w:r w:rsidRPr="00B93EE1">
              <w:rPr>
                <w:sz w:val="16"/>
                <w:szCs w:val="16"/>
              </w:rPr>
              <w:t>5%</w:t>
            </w:r>
          </w:p>
        </w:tc>
        <w:tc>
          <w:tcPr>
            <w:tcW w:w="449" w:type="pct"/>
            <w:shd w:val="clear" w:color="auto" w:fill="auto"/>
          </w:tcPr>
          <w:p w14:paraId="08385D6E" w14:textId="77777777" w:rsidR="00120717" w:rsidRPr="00B93EE1" w:rsidRDefault="00120717" w:rsidP="00B06E8F">
            <w:pPr>
              <w:ind w:left="113"/>
              <w:jc w:val="right"/>
              <w:rPr>
                <w:sz w:val="16"/>
                <w:szCs w:val="16"/>
              </w:rPr>
            </w:pPr>
            <w:r w:rsidRPr="00B93EE1">
              <w:rPr>
                <w:sz w:val="16"/>
                <w:szCs w:val="16"/>
              </w:rPr>
              <w:t>5%</w:t>
            </w:r>
          </w:p>
        </w:tc>
        <w:tc>
          <w:tcPr>
            <w:tcW w:w="461" w:type="pct"/>
          </w:tcPr>
          <w:p w14:paraId="7565047F" w14:textId="77777777" w:rsidR="00120717" w:rsidRPr="00B93EE1" w:rsidRDefault="00120717" w:rsidP="00B06E8F">
            <w:pPr>
              <w:ind w:left="113"/>
              <w:jc w:val="right"/>
              <w:rPr>
                <w:sz w:val="16"/>
                <w:szCs w:val="16"/>
              </w:rPr>
            </w:pPr>
            <w:r w:rsidRPr="00B93EE1">
              <w:rPr>
                <w:sz w:val="16"/>
                <w:szCs w:val="16"/>
              </w:rPr>
              <w:t>5%</w:t>
            </w:r>
          </w:p>
        </w:tc>
      </w:tr>
      <w:tr w:rsidR="00120717" w:rsidRPr="00B93EE1" w14:paraId="30728F9C" w14:textId="77777777" w:rsidTr="00B06E8F">
        <w:trPr>
          <w:cantSplit/>
        </w:trPr>
        <w:tc>
          <w:tcPr>
            <w:tcW w:w="1744" w:type="pct"/>
            <w:shd w:val="clear" w:color="auto" w:fill="C9DED4"/>
            <w:noWrap/>
          </w:tcPr>
          <w:p w14:paraId="735EE548" w14:textId="77777777" w:rsidR="00120717" w:rsidRPr="00B93EE1" w:rsidRDefault="00120717" w:rsidP="0085485D">
            <w:pPr>
              <w:tabs>
                <w:tab w:val="left" w:pos="250"/>
              </w:tabs>
              <w:ind w:left="250" w:hanging="250"/>
              <w:jc w:val="left"/>
              <w:rPr>
                <w:sz w:val="16"/>
                <w:szCs w:val="16"/>
              </w:rPr>
            </w:pPr>
            <w:r w:rsidRPr="00B93EE1">
              <w:rPr>
                <w:sz w:val="16"/>
                <w:szCs w:val="16"/>
              </w:rPr>
              <w:t>-</w:t>
            </w:r>
            <w:r w:rsidRPr="00B93EE1">
              <w:rPr>
                <w:sz w:val="16"/>
                <w:szCs w:val="16"/>
              </w:rPr>
              <w:tab/>
              <w:t>share of total for which no internationally equivalent standard available</w:t>
            </w:r>
          </w:p>
        </w:tc>
        <w:tc>
          <w:tcPr>
            <w:tcW w:w="499" w:type="pct"/>
            <w:shd w:val="clear" w:color="auto" w:fill="C9DED4"/>
            <w:noWrap/>
          </w:tcPr>
          <w:p w14:paraId="1A8EE64E" w14:textId="77777777" w:rsidR="00120717" w:rsidRPr="00B93EE1" w:rsidRDefault="00120717" w:rsidP="00B06E8F">
            <w:pPr>
              <w:ind w:left="113"/>
              <w:jc w:val="right"/>
              <w:rPr>
                <w:sz w:val="16"/>
                <w:szCs w:val="16"/>
              </w:rPr>
            </w:pPr>
            <w:r w:rsidRPr="00B93EE1">
              <w:rPr>
                <w:sz w:val="16"/>
                <w:szCs w:val="16"/>
              </w:rPr>
              <w:t>54%</w:t>
            </w:r>
          </w:p>
        </w:tc>
        <w:tc>
          <w:tcPr>
            <w:tcW w:w="449" w:type="pct"/>
            <w:shd w:val="clear" w:color="auto" w:fill="C9DED4"/>
            <w:noWrap/>
          </w:tcPr>
          <w:p w14:paraId="77260E95" w14:textId="77777777" w:rsidR="00120717" w:rsidRPr="00B93EE1" w:rsidRDefault="00120717" w:rsidP="00B06E8F">
            <w:pPr>
              <w:ind w:left="113"/>
              <w:jc w:val="right"/>
              <w:rPr>
                <w:sz w:val="16"/>
                <w:szCs w:val="16"/>
              </w:rPr>
            </w:pPr>
            <w:r w:rsidRPr="00B93EE1">
              <w:rPr>
                <w:sz w:val="16"/>
                <w:szCs w:val="16"/>
              </w:rPr>
              <w:t>53%</w:t>
            </w:r>
          </w:p>
        </w:tc>
        <w:tc>
          <w:tcPr>
            <w:tcW w:w="449" w:type="pct"/>
            <w:shd w:val="clear" w:color="auto" w:fill="C9DED4"/>
            <w:noWrap/>
          </w:tcPr>
          <w:p w14:paraId="0A0A5894" w14:textId="77777777" w:rsidR="00120717" w:rsidRPr="00B93EE1" w:rsidRDefault="00120717" w:rsidP="00B06E8F">
            <w:pPr>
              <w:ind w:left="113"/>
              <w:jc w:val="right"/>
              <w:rPr>
                <w:sz w:val="16"/>
                <w:szCs w:val="16"/>
              </w:rPr>
            </w:pPr>
            <w:r w:rsidRPr="00B93EE1">
              <w:rPr>
                <w:sz w:val="16"/>
                <w:szCs w:val="16"/>
              </w:rPr>
              <w:t>55%</w:t>
            </w:r>
          </w:p>
        </w:tc>
        <w:tc>
          <w:tcPr>
            <w:tcW w:w="449" w:type="pct"/>
            <w:shd w:val="clear" w:color="auto" w:fill="C9DED4"/>
            <w:noWrap/>
          </w:tcPr>
          <w:p w14:paraId="49F4CF5A" w14:textId="77777777" w:rsidR="00120717" w:rsidRPr="00B93EE1" w:rsidRDefault="00120717" w:rsidP="00B06E8F">
            <w:pPr>
              <w:ind w:left="113"/>
              <w:jc w:val="right"/>
              <w:rPr>
                <w:sz w:val="16"/>
                <w:szCs w:val="16"/>
              </w:rPr>
            </w:pPr>
            <w:r w:rsidRPr="00B93EE1">
              <w:rPr>
                <w:sz w:val="16"/>
                <w:szCs w:val="16"/>
              </w:rPr>
              <w:t>58%</w:t>
            </w:r>
          </w:p>
        </w:tc>
        <w:tc>
          <w:tcPr>
            <w:tcW w:w="499" w:type="pct"/>
            <w:shd w:val="clear" w:color="auto" w:fill="C9DED4"/>
            <w:noWrap/>
          </w:tcPr>
          <w:p w14:paraId="4FC38244" w14:textId="77777777" w:rsidR="00120717" w:rsidRPr="00B93EE1" w:rsidRDefault="00120717" w:rsidP="00B06E8F">
            <w:pPr>
              <w:ind w:left="113"/>
              <w:jc w:val="right"/>
              <w:rPr>
                <w:sz w:val="16"/>
                <w:szCs w:val="16"/>
              </w:rPr>
            </w:pPr>
            <w:r w:rsidRPr="00B93EE1">
              <w:rPr>
                <w:sz w:val="16"/>
                <w:szCs w:val="16"/>
              </w:rPr>
              <w:t>58%</w:t>
            </w:r>
          </w:p>
        </w:tc>
        <w:tc>
          <w:tcPr>
            <w:tcW w:w="449" w:type="pct"/>
            <w:shd w:val="clear" w:color="auto" w:fill="C9DED4"/>
          </w:tcPr>
          <w:p w14:paraId="1A694AFD" w14:textId="77777777" w:rsidR="00120717" w:rsidRPr="00B93EE1" w:rsidRDefault="00120717" w:rsidP="00B06E8F">
            <w:pPr>
              <w:ind w:left="113"/>
              <w:jc w:val="right"/>
              <w:rPr>
                <w:sz w:val="16"/>
                <w:szCs w:val="16"/>
              </w:rPr>
            </w:pPr>
            <w:r w:rsidRPr="00B93EE1">
              <w:rPr>
                <w:sz w:val="16"/>
                <w:szCs w:val="16"/>
              </w:rPr>
              <w:t>57%</w:t>
            </w:r>
          </w:p>
        </w:tc>
        <w:tc>
          <w:tcPr>
            <w:tcW w:w="461" w:type="pct"/>
            <w:shd w:val="clear" w:color="auto" w:fill="C9DED4"/>
          </w:tcPr>
          <w:p w14:paraId="546E8F0C" w14:textId="77777777" w:rsidR="00120717" w:rsidRPr="00B93EE1" w:rsidRDefault="00120717" w:rsidP="00B06E8F">
            <w:pPr>
              <w:ind w:left="113"/>
              <w:jc w:val="right"/>
              <w:rPr>
                <w:sz w:val="16"/>
                <w:szCs w:val="16"/>
              </w:rPr>
            </w:pPr>
            <w:r w:rsidRPr="00B93EE1">
              <w:rPr>
                <w:sz w:val="16"/>
                <w:szCs w:val="16"/>
              </w:rPr>
              <w:t>50%</w:t>
            </w:r>
          </w:p>
        </w:tc>
      </w:tr>
    </w:tbl>
    <w:p w14:paraId="35FC1BC1" w14:textId="77777777" w:rsidR="00120717" w:rsidRPr="00B93EE1" w:rsidRDefault="00120717" w:rsidP="00AF569F">
      <w:pPr>
        <w:pStyle w:val="NoteText"/>
        <w:spacing w:before="120"/>
      </w:pPr>
      <w:r w:rsidRPr="00B93EE1">
        <w:t>Notes:</w:t>
      </w:r>
      <w:r w:rsidRPr="00B93EE1">
        <w:tab/>
        <w:t>Technical regulations are defined as standards cited in the legislation or regulations, and so the number of technical regulations refers to the number of cited standards in the Standards New Zealand catalogue.</w:t>
      </w:r>
    </w:p>
    <w:p w14:paraId="23C18AEA" w14:textId="77777777" w:rsidR="00120717" w:rsidRPr="00B93EE1" w:rsidRDefault="00120717" w:rsidP="00F64A35">
      <w:pPr>
        <w:pStyle w:val="NoteText"/>
      </w:pPr>
      <w:r w:rsidRPr="00B93EE1">
        <w:tab/>
        <w:t>The percentage of standards for which no internationally equivalent standard is available refers to the percentage of all New Zealand or joint Australia-New Zealand standards in New Zealand's catalogue that are not based on ISO, IEC, or ISO-IEC standards.</w:t>
      </w:r>
    </w:p>
    <w:p w14:paraId="52FAF7A4" w14:textId="77777777" w:rsidR="00120717" w:rsidRPr="00B93EE1" w:rsidRDefault="00120717" w:rsidP="00F2289F">
      <w:pPr>
        <w:pStyle w:val="NoteText"/>
        <w:spacing w:before="120" w:after="200"/>
      </w:pPr>
      <w:r w:rsidRPr="00B93EE1">
        <w:t>Source:</w:t>
      </w:r>
      <w:r w:rsidRPr="00B93EE1">
        <w:tab/>
        <w:t>Information provided by Standards New Zealand.</w:t>
      </w:r>
    </w:p>
    <w:p w14:paraId="00FB371B" w14:textId="77777777" w:rsidR="00120717" w:rsidRPr="00F64A35" w:rsidRDefault="00120717" w:rsidP="00F2289F">
      <w:pPr>
        <w:pStyle w:val="BodyText"/>
        <w:spacing w:after="200"/>
      </w:pPr>
      <w:r w:rsidRPr="00B93EE1">
        <w:t>Except for the approval process, which is now the responsibility of the Standards Approval Board, the procedure for preparing, issuing, or revising standards or technical regulations has not changed substantially since the previous Review (Box 3.1). During the development phase, draft standards are subject to a public consultation period of approximately eight weeks, depending on the scope of the project. If the consultation leads to substantial changes to the draft, a second round of consultations for the revised draft may take place. Draft standards that meet the criteria under the Act are taken before the Standards Approval Board for approval. Upon approval, they are published online as new or revised standards. Standards New Zealand has also developed a review process for aged standards, under which standards that are at least 10 years old are reviewed against a set of additional criteria and then proposed for withdrawal if deemed necessary.</w:t>
      </w:r>
      <w:r w:rsidRPr="00B93EE1">
        <w:rPr>
          <w:rStyle w:val="FootnoteReference"/>
        </w:rPr>
        <w:footnoteReference w:id="178"/>
      </w:r>
      <w:r w:rsidRPr="00B93EE1">
        <w:t xml:space="preserve"> All withdrawal proposals are subject to public consultation with stakeholders to determine whether they need to be withdrawn, reconfirmed, or revised.</w:t>
      </w:r>
    </w:p>
    <w:p w14:paraId="407DC932" w14:textId="77777777" w:rsidR="00120717" w:rsidRPr="00B93EE1" w:rsidRDefault="00120717" w:rsidP="00D17ECD">
      <w:pPr>
        <w:pStyle w:val="Caption"/>
      </w:pPr>
      <w:bookmarkStart w:id="144" w:name="_Toc97743426"/>
      <w:r w:rsidRPr="00B93EE1">
        <w:t xml:space="preserve">Box </w:t>
      </w:r>
      <w:r w:rsidR="0012793B">
        <w:fldChar w:fldCharType="begin"/>
      </w:r>
      <w:r w:rsidR="0012793B">
        <w:instrText xml:space="preserve"> STYLEREF 1 \s </w:instrText>
      </w:r>
      <w:r w:rsidR="0012793B">
        <w:fldChar w:fldCharType="separate"/>
      </w:r>
      <w:r w:rsidRPr="00B93EE1">
        <w:t>3</w:t>
      </w:r>
      <w:r w:rsidR="0012793B">
        <w:fldChar w:fldCharType="end"/>
      </w:r>
      <w:r w:rsidRPr="00B93EE1">
        <w:t>.</w:t>
      </w:r>
      <w:r w:rsidR="0012793B">
        <w:fldChar w:fldCharType="begin"/>
      </w:r>
      <w:r w:rsidR="0012793B">
        <w:instrText xml:space="preserve"> SEQ Box \* ARABIC \s 1 </w:instrText>
      </w:r>
      <w:r w:rsidR="0012793B">
        <w:fldChar w:fldCharType="separate"/>
      </w:r>
      <w:r w:rsidRPr="00B93EE1">
        <w:t>1</w:t>
      </w:r>
      <w:r w:rsidR="0012793B">
        <w:fldChar w:fldCharType="end"/>
      </w:r>
      <w:r w:rsidRPr="00B93EE1">
        <w:t xml:space="preserve"> Development process of New Zealand standards</w:t>
      </w:r>
      <w:bookmarkEnd w:id="144"/>
    </w:p>
    <w:tbl>
      <w:tblPr>
        <w:tblStyle w:val="WTOBox1"/>
        <w:tblW w:w="0" w:type="auto"/>
        <w:tblLook w:val="04A0" w:firstRow="1" w:lastRow="0" w:firstColumn="1" w:lastColumn="0" w:noHBand="0" w:noVBand="1"/>
      </w:tblPr>
      <w:tblGrid>
        <w:gridCol w:w="9026"/>
      </w:tblGrid>
      <w:tr w:rsidR="00120717" w:rsidRPr="00B93EE1" w14:paraId="073AEE2A" w14:textId="77777777" w:rsidTr="00F2289F">
        <w:trPr>
          <w:trHeight w:val="373"/>
        </w:trPr>
        <w:tc>
          <w:tcPr>
            <w:tcW w:w="9242" w:type="dxa"/>
          </w:tcPr>
          <w:p w14:paraId="349C5A75" w14:textId="77777777" w:rsidR="00120717" w:rsidRPr="00B93EE1" w:rsidRDefault="00120717" w:rsidP="001A460A">
            <w:pPr>
              <w:rPr>
                <w:sz w:val="16"/>
                <w:szCs w:val="16"/>
              </w:rPr>
            </w:pPr>
            <w:r w:rsidRPr="00B93EE1">
              <w:rPr>
                <w:sz w:val="16"/>
                <w:szCs w:val="16"/>
              </w:rPr>
              <w:t>Standards New Zealand manages the development of New Zealand standards (and joint Australia-New Zealand standards in collaboration with Australia Standards) when no international standards are available or suitable. The preparation of a New Zealand standard follows six stages:</w:t>
            </w:r>
          </w:p>
          <w:p w14:paraId="6D4710E5" w14:textId="77777777" w:rsidR="00120717" w:rsidRPr="00B93EE1" w:rsidRDefault="00120717" w:rsidP="00F2289F">
            <w:pPr>
              <w:pStyle w:val="ListBullet2"/>
              <w:numPr>
                <w:ilvl w:val="1"/>
                <w:numId w:val="2"/>
              </w:numPr>
              <w:spacing w:before="60" w:after="10"/>
              <w:contextualSpacing w:val="0"/>
              <w:rPr>
                <w:sz w:val="16"/>
                <w:szCs w:val="16"/>
              </w:rPr>
            </w:pPr>
            <w:r w:rsidRPr="00B93EE1">
              <w:rPr>
                <w:sz w:val="16"/>
                <w:szCs w:val="16"/>
              </w:rPr>
              <w:t>Initiation: A project to develop or revise a standard is commissioned by stakeholders, in general an industry association or a regulator/government department to Standards New Zealand.</w:t>
            </w:r>
          </w:p>
          <w:p w14:paraId="5A600B97" w14:textId="77777777" w:rsidR="00120717" w:rsidRPr="00B93EE1" w:rsidRDefault="00120717" w:rsidP="00F2289F">
            <w:pPr>
              <w:pStyle w:val="ListBullet2"/>
              <w:numPr>
                <w:ilvl w:val="1"/>
                <w:numId w:val="2"/>
              </w:numPr>
              <w:spacing w:before="10" w:after="10"/>
              <w:contextualSpacing w:val="0"/>
              <w:rPr>
                <w:sz w:val="16"/>
                <w:szCs w:val="16"/>
              </w:rPr>
            </w:pPr>
            <w:r w:rsidRPr="00B93EE1">
              <w:rPr>
                <w:sz w:val="16"/>
                <w:szCs w:val="16"/>
              </w:rPr>
              <w:t>Committee formation: Following approval by the Standards Approval Board, a committee of technical experts nominated by sector representatives and regulators is established to draft the standard.</w:t>
            </w:r>
          </w:p>
          <w:p w14:paraId="31A97700" w14:textId="77777777" w:rsidR="00120717" w:rsidRPr="00B93EE1" w:rsidRDefault="00120717" w:rsidP="00F2289F">
            <w:pPr>
              <w:pStyle w:val="ListBullet2"/>
              <w:numPr>
                <w:ilvl w:val="1"/>
                <w:numId w:val="2"/>
              </w:numPr>
              <w:spacing w:before="10" w:after="10"/>
              <w:contextualSpacing w:val="0"/>
              <w:rPr>
                <w:sz w:val="16"/>
                <w:szCs w:val="16"/>
              </w:rPr>
            </w:pPr>
            <w:r w:rsidRPr="00B93EE1">
              <w:rPr>
                <w:sz w:val="16"/>
                <w:szCs w:val="16"/>
              </w:rPr>
              <w:t>Standard preparation: The Committee drafts the standard.</w:t>
            </w:r>
          </w:p>
          <w:p w14:paraId="4D46F7FE" w14:textId="77777777" w:rsidR="00120717" w:rsidRPr="00B93EE1" w:rsidRDefault="00120717" w:rsidP="00F2289F">
            <w:pPr>
              <w:pStyle w:val="ListBullet2"/>
              <w:numPr>
                <w:ilvl w:val="1"/>
                <w:numId w:val="2"/>
              </w:numPr>
              <w:spacing w:before="10" w:after="10"/>
              <w:contextualSpacing w:val="0"/>
              <w:rPr>
                <w:sz w:val="16"/>
                <w:szCs w:val="16"/>
              </w:rPr>
            </w:pPr>
            <w:r w:rsidRPr="00B93EE1">
              <w:rPr>
                <w:sz w:val="16"/>
                <w:szCs w:val="16"/>
              </w:rPr>
              <w:t>Public consultation: The proposed standard is subject to public consultation for a period of approximately eight weeks, depending on the scope of the project. If the number of comments is significant and they result in substantial changes, a second round of consultation on the revised draft may take place.</w:t>
            </w:r>
          </w:p>
          <w:p w14:paraId="36A49F92" w14:textId="77777777" w:rsidR="00120717" w:rsidRPr="00B93EE1" w:rsidRDefault="00120717" w:rsidP="00F2289F">
            <w:pPr>
              <w:pStyle w:val="ListBullet2"/>
              <w:numPr>
                <w:ilvl w:val="1"/>
                <w:numId w:val="2"/>
              </w:numPr>
              <w:spacing w:before="10" w:after="10"/>
              <w:contextualSpacing w:val="0"/>
              <w:rPr>
                <w:sz w:val="16"/>
                <w:szCs w:val="16"/>
              </w:rPr>
            </w:pPr>
            <w:r w:rsidRPr="00B93EE1">
              <w:rPr>
                <w:sz w:val="16"/>
                <w:szCs w:val="16"/>
              </w:rPr>
              <w:t>Completion of drafting and approval by the Committee: The Committee completes the final version of the standard and must approved it by consensus.</w:t>
            </w:r>
          </w:p>
          <w:p w14:paraId="648A64C6" w14:textId="77777777" w:rsidR="00120717" w:rsidRPr="00B93EE1" w:rsidRDefault="00120717" w:rsidP="00F2289F">
            <w:pPr>
              <w:pStyle w:val="ListBullet2"/>
              <w:numPr>
                <w:ilvl w:val="1"/>
                <w:numId w:val="2"/>
              </w:numPr>
              <w:spacing w:before="10" w:after="10"/>
              <w:contextualSpacing w:val="0"/>
              <w:rPr>
                <w:sz w:val="16"/>
                <w:szCs w:val="16"/>
              </w:rPr>
            </w:pPr>
            <w:r w:rsidRPr="00B93EE1">
              <w:rPr>
                <w:sz w:val="16"/>
                <w:szCs w:val="16"/>
              </w:rPr>
              <w:t>Approval by the Standards Approval Board and publication by Standards New Zealand: The New Zealand Standards Executive takes the draft standard before the Standards Approval Board for approval. Following its approval, Standards New Zealand publishes the standard.</w:t>
            </w:r>
          </w:p>
          <w:p w14:paraId="2C48FDBC" w14:textId="77777777" w:rsidR="00120717" w:rsidRPr="00B93EE1" w:rsidRDefault="00120717" w:rsidP="00F2289F">
            <w:pPr>
              <w:spacing w:beforeLines="40" w:before="96" w:afterLines="40" w:after="96"/>
              <w:rPr>
                <w:sz w:val="16"/>
                <w:szCs w:val="16"/>
              </w:rPr>
            </w:pPr>
            <w:r w:rsidRPr="00B93EE1">
              <w:rPr>
                <w:sz w:val="16"/>
                <w:szCs w:val="16"/>
              </w:rPr>
              <w:t>According to the authorities, the duration of the preparation process of a New Zealand standard can vary from three months to several years depending on the complexity of the project.</w:t>
            </w:r>
          </w:p>
        </w:tc>
      </w:tr>
    </w:tbl>
    <w:p w14:paraId="7ACF8511" w14:textId="77777777" w:rsidR="00120717" w:rsidRPr="00B93EE1" w:rsidRDefault="00120717" w:rsidP="00F2289F">
      <w:pPr>
        <w:pStyle w:val="NoteText"/>
        <w:spacing w:before="100" w:after="240"/>
      </w:pPr>
      <w:r w:rsidRPr="00B93EE1">
        <w:t>Source:</w:t>
      </w:r>
      <w:r w:rsidRPr="00B93EE1">
        <w:tab/>
        <w:t>Standards New Zealand.</w:t>
      </w:r>
    </w:p>
    <w:p w14:paraId="0630C5C8" w14:textId="77777777" w:rsidR="00120717" w:rsidRPr="00F64A35" w:rsidRDefault="00120717" w:rsidP="00323B40">
      <w:pPr>
        <w:pStyle w:val="BodyText"/>
      </w:pPr>
      <w:r w:rsidRPr="00B93EE1">
        <w:lastRenderedPageBreak/>
        <w:t>From 1 January 2015 to 31 January 2022, New Zealand made 39 TBT notifications (i.e. regular notifications, excluding revisions and addendums) of which all except for 2 relate to proposed technical regulations or proposed conformity assessment procedures.</w:t>
      </w:r>
      <w:r w:rsidRPr="00B93EE1">
        <w:rPr>
          <w:rStyle w:val="FootnoteReference"/>
        </w:rPr>
        <w:footnoteReference w:id="179"/>
      </w:r>
      <w:r w:rsidRPr="00B93EE1">
        <w:t xml:space="preserve"> These measures covered, </w:t>
      </w:r>
      <w:r w:rsidRPr="00B93EE1">
        <w:rPr>
          <w:i/>
          <w:iCs/>
        </w:rPr>
        <w:t>inter alia</w:t>
      </w:r>
      <w:r w:rsidRPr="00B93EE1">
        <w:t xml:space="preserve">, food, alcoholic beverages, plastics, chemicals, and construction materials, and they were based on, </w:t>
      </w:r>
      <w:r w:rsidRPr="00B93EE1">
        <w:rPr>
          <w:i/>
        </w:rPr>
        <w:t>inter alia</w:t>
      </w:r>
      <w:r w:rsidRPr="00B93EE1">
        <w:t>, health, safety, quality, or environmental considerations. The other two notifications were about the adoption of emergency/urgency technical regulations.</w:t>
      </w:r>
      <w:r w:rsidRPr="00B93EE1">
        <w:rPr>
          <w:rStyle w:val="FootnoteReference"/>
        </w:rPr>
        <w:footnoteReference w:id="180"/>
      </w:r>
    </w:p>
    <w:p w14:paraId="18202CA7" w14:textId="77777777" w:rsidR="00120717" w:rsidRPr="00F64A35" w:rsidRDefault="00120717" w:rsidP="00323B40">
      <w:pPr>
        <w:pStyle w:val="BodyText"/>
      </w:pPr>
      <w:r w:rsidRPr="00B93EE1">
        <w:t>During the same period, WTO Members raised one TBT specific trade concern (</w:t>
      </w:r>
      <w:proofErr w:type="spellStart"/>
      <w:r w:rsidRPr="00B93EE1">
        <w:t>STC</w:t>
      </w:r>
      <w:proofErr w:type="spellEnd"/>
      <w:r w:rsidRPr="00B93EE1">
        <w:t xml:space="preserve">) against New Zealand (May 2020) concerning the proposal of a new label requirement under which labels for packed meat and cured pork must specify where the animal was raised (see below). This was the only TBT </w:t>
      </w:r>
      <w:proofErr w:type="spellStart"/>
      <w:r w:rsidRPr="00B93EE1">
        <w:t>STC</w:t>
      </w:r>
      <w:proofErr w:type="spellEnd"/>
      <w:r w:rsidRPr="00B93EE1">
        <w:t xml:space="preserve"> against New Zealand during this period. New Zealand raised 21 new TBT </w:t>
      </w:r>
      <w:proofErr w:type="spellStart"/>
      <w:r w:rsidRPr="00B93EE1">
        <w:t>STCs</w:t>
      </w:r>
      <w:proofErr w:type="spellEnd"/>
      <w:r w:rsidRPr="00B93EE1">
        <w:t xml:space="preserve"> against other WTO members in the WTO Committee on Technical Barriers to Trade.</w:t>
      </w:r>
      <w:r w:rsidRPr="00B93EE1">
        <w:rPr>
          <w:rStyle w:val="FootnoteReference"/>
          <w:szCs w:val="18"/>
        </w:rPr>
        <w:footnoteReference w:id="181"/>
      </w:r>
    </w:p>
    <w:p w14:paraId="255DAF7A" w14:textId="77777777" w:rsidR="00120717" w:rsidRPr="00F64A35" w:rsidRDefault="00120717" w:rsidP="00323B40">
      <w:pPr>
        <w:pStyle w:val="Heading4"/>
      </w:pPr>
      <w:bookmarkStart w:id="145" w:name="_Toc97800158"/>
      <w:r w:rsidRPr="00B93EE1">
        <w:t>Conformance system</w:t>
      </w:r>
      <w:bookmarkEnd w:id="145"/>
    </w:p>
    <w:p w14:paraId="1621A6A0" w14:textId="1888A867" w:rsidR="00120717" w:rsidRPr="00F64A35" w:rsidRDefault="00120717" w:rsidP="00323B40">
      <w:pPr>
        <w:pStyle w:val="BodyText"/>
      </w:pPr>
      <w:r w:rsidRPr="00B93EE1">
        <w:t xml:space="preserve">The </w:t>
      </w:r>
      <w:proofErr w:type="spellStart"/>
      <w:r w:rsidRPr="00B93EE1">
        <w:t>MBIE</w:t>
      </w:r>
      <w:proofErr w:type="spellEnd"/>
      <w:r w:rsidRPr="00B93EE1">
        <w:t xml:space="preserve"> is responsible for overseeing New Zealand's conformance infrastructure and providing advice to the Government on related policy and regulations. Authorities comprising New Zealand's conformance infrastructure are two accreditation bodies (International Accreditation New Zealand and the Joint Accreditation System of Australia and New Zealand), a legal metrology authority (Trading Standards), and a national metrology institute (the Measurement Standards Laboratory) (Table A3.</w:t>
      </w:r>
      <w:r w:rsidR="002D0649">
        <w:t>4</w:t>
      </w:r>
      <w:r w:rsidRPr="00B93EE1">
        <w:t>).</w:t>
      </w:r>
    </w:p>
    <w:p w14:paraId="240210A8" w14:textId="50ACB5C5" w:rsidR="00120717" w:rsidRPr="00B93EE1" w:rsidRDefault="00120717" w:rsidP="00AF569F">
      <w:pPr>
        <w:pStyle w:val="ListBullet2"/>
        <w:contextualSpacing w:val="0"/>
      </w:pPr>
      <w:r w:rsidRPr="00B93EE1">
        <w:t>International Accreditation New Zealand (</w:t>
      </w:r>
      <w:proofErr w:type="spellStart"/>
      <w:r w:rsidRPr="00B93EE1">
        <w:t>IANZ</w:t>
      </w:r>
      <w:proofErr w:type="spellEnd"/>
      <w:r w:rsidRPr="00B93EE1">
        <w:t xml:space="preserve">) is the country's accreditation body for testing and calibration laboratories, and inspection bodies. Once accredited, testing and calibration laboratories and inspection bodies are subject to subsequent reassessments by the </w:t>
      </w:r>
      <w:proofErr w:type="spellStart"/>
      <w:r w:rsidRPr="00B93EE1">
        <w:t>IANZ</w:t>
      </w:r>
      <w:proofErr w:type="spellEnd"/>
      <w:r w:rsidRPr="00B93EE1">
        <w:t xml:space="preserve"> to ensure compliance with the accreditation status. The </w:t>
      </w:r>
      <w:proofErr w:type="spellStart"/>
      <w:r w:rsidRPr="00B93EE1">
        <w:t>IANZ</w:t>
      </w:r>
      <w:proofErr w:type="spellEnd"/>
      <w:r w:rsidRPr="00B93EE1">
        <w:t xml:space="preserve"> charges fees for the services it renders, and is a full member (i.e. signatory to the corresponding Mutual Recognition Arrangement (</w:t>
      </w:r>
      <w:proofErr w:type="spellStart"/>
      <w:r w:rsidRPr="00B93EE1">
        <w:t>MRA</w:t>
      </w:r>
      <w:proofErr w:type="spellEnd"/>
      <w:r w:rsidRPr="00B93EE1">
        <w:t>) and subject to peer evaluation) of the International Laboratory Accreditation Co</w:t>
      </w:r>
      <w:r w:rsidRPr="00B93EE1">
        <w:noBreakHyphen/>
        <w:t>operation (</w:t>
      </w:r>
      <w:proofErr w:type="spellStart"/>
      <w:r w:rsidRPr="00B93EE1">
        <w:t>ILAC</w:t>
      </w:r>
      <w:proofErr w:type="spellEnd"/>
      <w:r w:rsidRPr="00B93EE1">
        <w:t xml:space="preserve">) and the Asia Pacific Accreditation Cooperation (APAC). Based on the </w:t>
      </w:r>
      <w:proofErr w:type="spellStart"/>
      <w:r w:rsidRPr="00B93EE1">
        <w:t>ILAC</w:t>
      </w:r>
      <w:proofErr w:type="spellEnd"/>
      <w:r w:rsidRPr="00B93EE1">
        <w:t xml:space="preserve"> </w:t>
      </w:r>
      <w:proofErr w:type="spellStart"/>
      <w:r w:rsidRPr="00B93EE1">
        <w:t>MRA</w:t>
      </w:r>
      <w:proofErr w:type="spellEnd"/>
      <w:r w:rsidRPr="00B93EE1">
        <w:t xml:space="preserve">, conformity assessment results from </w:t>
      </w:r>
      <w:proofErr w:type="spellStart"/>
      <w:r w:rsidRPr="00B93EE1">
        <w:t>IANZ</w:t>
      </w:r>
      <w:proofErr w:type="spellEnd"/>
      <w:r w:rsidRPr="00B93EE1">
        <w:t>-accredited laboratories and inspection bodies are recognized in 103</w:t>
      </w:r>
      <w:r w:rsidR="00EE1448">
        <w:t> </w:t>
      </w:r>
      <w:r w:rsidRPr="00B93EE1">
        <w:t>countries.</w:t>
      </w:r>
      <w:r w:rsidRPr="00B93EE1">
        <w:rPr>
          <w:rStyle w:val="FootnoteReference"/>
        </w:rPr>
        <w:footnoteReference w:id="182"/>
      </w:r>
    </w:p>
    <w:p w14:paraId="7E45D046" w14:textId="77777777" w:rsidR="00120717" w:rsidRPr="00B93EE1" w:rsidRDefault="00120717" w:rsidP="00AF569F">
      <w:pPr>
        <w:pStyle w:val="ListBullet2"/>
        <w:contextualSpacing w:val="0"/>
      </w:pPr>
      <w:r w:rsidRPr="00B93EE1">
        <w:t>The Joint Accreditation System of Australia and New Zealand (JAS-</w:t>
      </w:r>
      <w:proofErr w:type="spellStart"/>
      <w:r w:rsidRPr="00B93EE1">
        <w:t>ANZ</w:t>
      </w:r>
      <w:proofErr w:type="spellEnd"/>
      <w:r w:rsidRPr="00B93EE1">
        <w:t>) provides accreditation for certification and inspection bodies. Once accredited, relevant bodies are subject to subsequent reassessments to ensure compliance with the accreditation status. JAS-</w:t>
      </w:r>
      <w:proofErr w:type="spellStart"/>
      <w:r w:rsidRPr="00B93EE1">
        <w:t>ANZ</w:t>
      </w:r>
      <w:proofErr w:type="spellEnd"/>
      <w:r w:rsidRPr="00B93EE1">
        <w:t xml:space="preserve"> charges fees for the services it renders. JAS-</w:t>
      </w:r>
      <w:proofErr w:type="spellStart"/>
      <w:r w:rsidRPr="00B93EE1">
        <w:t>ANZ</w:t>
      </w:r>
      <w:proofErr w:type="spellEnd"/>
      <w:r w:rsidRPr="00B93EE1">
        <w:t xml:space="preserve"> is a full member of the International Accreditation Forum (</w:t>
      </w:r>
      <w:proofErr w:type="spellStart"/>
      <w:r w:rsidRPr="00B93EE1">
        <w:t>IAF</w:t>
      </w:r>
      <w:proofErr w:type="spellEnd"/>
      <w:r w:rsidRPr="00B93EE1">
        <w:t xml:space="preserve">), the </w:t>
      </w:r>
      <w:proofErr w:type="spellStart"/>
      <w:r w:rsidRPr="00B93EE1">
        <w:t>ILAC</w:t>
      </w:r>
      <w:proofErr w:type="spellEnd"/>
      <w:r w:rsidRPr="00B93EE1">
        <w:t>, and APAC.</w:t>
      </w:r>
      <w:r w:rsidRPr="00B93EE1">
        <w:rPr>
          <w:rStyle w:val="FootnoteReference"/>
        </w:rPr>
        <w:footnoteReference w:id="183"/>
      </w:r>
    </w:p>
    <w:p w14:paraId="57540610" w14:textId="77777777" w:rsidR="00120717" w:rsidRPr="00B93EE1" w:rsidRDefault="00120717" w:rsidP="00AF569F">
      <w:pPr>
        <w:pStyle w:val="ListBullet2"/>
        <w:contextualSpacing w:val="0"/>
      </w:pPr>
      <w:r w:rsidRPr="00B93EE1">
        <w:t xml:space="preserve">Trading Standards under the </w:t>
      </w:r>
      <w:proofErr w:type="spellStart"/>
      <w:r w:rsidRPr="00B93EE1">
        <w:t>MBIE</w:t>
      </w:r>
      <w:proofErr w:type="spellEnd"/>
      <w:r w:rsidRPr="00B93EE1">
        <w:t xml:space="preserve"> is New Zealand's legal metrology authority. It is responsible for administering and enforcing the Weights and Measures Act 1987, and monitoring the quality of retail fuel. Through Trading Standards, New Zealand is a member of the International Organisation of Legal Metrology, and Asia Pacific Legal Metrology Forum, and it maintains with Australia a Trade Measurement Advisory Committee that focuses on trade measurement issues.</w:t>
      </w:r>
    </w:p>
    <w:p w14:paraId="4D797EBC" w14:textId="77777777" w:rsidR="00120717" w:rsidRPr="00B93EE1" w:rsidRDefault="00120717" w:rsidP="00AF569F">
      <w:pPr>
        <w:pStyle w:val="ListBullet2"/>
        <w:contextualSpacing w:val="0"/>
      </w:pPr>
      <w:r w:rsidRPr="00B93EE1">
        <w:t>The Measurement Standards Laboratory (MSL) is New Zealand's national metrology institute, and is part of Callaghan Innovation, the country's innovation agency. Its main responsibility is to ensure that the country's units of measurement are consistent with the International System of Units. New Zealand is party to the Metre Convention, establishing the International Bureau of Weights and Measures (</w:t>
      </w:r>
      <w:proofErr w:type="spellStart"/>
      <w:r w:rsidRPr="00B93EE1">
        <w:t>BIPM</w:t>
      </w:r>
      <w:proofErr w:type="spellEnd"/>
      <w:r w:rsidRPr="00B93EE1">
        <w:t>), and signatory through the MSL to the International Committee for Weights and Measures (</w:t>
      </w:r>
      <w:proofErr w:type="spellStart"/>
      <w:r w:rsidRPr="00B93EE1">
        <w:t>CIPM</w:t>
      </w:r>
      <w:proofErr w:type="spellEnd"/>
      <w:r w:rsidRPr="00B93EE1">
        <w:t xml:space="preserve">) </w:t>
      </w:r>
      <w:proofErr w:type="spellStart"/>
      <w:r w:rsidRPr="00B93EE1">
        <w:t>MRA</w:t>
      </w:r>
      <w:proofErr w:type="spellEnd"/>
      <w:r w:rsidRPr="00B93EE1">
        <w:t xml:space="preserve">, an arrangement for the international mutual recognition of national measurement standards and of calibration certificates issued by national metrology institutes framed </w:t>
      </w:r>
      <w:r w:rsidRPr="00B93EE1">
        <w:lastRenderedPageBreak/>
        <w:t xml:space="preserve">by the </w:t>
      </w:r>
      <w:proofErr w:type="spellStart"/>
      <w:r w:rsidRPr="00B93EE1">
        <w:t>CIPM</w:t>
      </w:r>
      <w:proofErr w:type="spellEnd"/>
      <w:r w:rsidRPr="00B93EE1">
        <w:t>. The MSL is also a member of the Asia-Pacific Metrology Programme, which brings together all the national metrology institutes in the region.</w:t>
      </w:r>
    </w:p>
    <w:p w14:paraId="48FFD3DA" w14:textId="77777777" w:rsidR="00120717" w:rsidRPr="00F64A35" w:rsidRDefault="00120717" w:rsidP="00323B40">
      <w:pPr>
        <w:pStyle w:val="BodyText"/>
      </w:pPr>
      <w:r w:rsidRPr="00B93EE1">
        <w:t xml:space="preserve">During the review period, New Zealand's conformance system was not subject to any major change, except for some institutional and administrative amendments made to the Testing Laboratory Registration Council managing </w:t>
      </w:r>
      <w:proofErr w:type="spellStart"/>
      <w:r w:rsidRPr="00B93EE1">
        <w:t>IANZ</w:t>
      </w:r>
      <w:proofErr w:type="spellEnd"/>
      <w:r w:rsidRPr="00B93EE1">
        <w:t>. In 2015, New Zealand repealed the Testing Laboratory Registration Act 1972, which established the Testing Laboratory Registration Council and incorporated its provisions into the Standards and Accreditation Act 2015. Under the new Act, New Zealand renamed the Testing Laboratory Registration Council to Accreditation Council, clarified its functions, amended the composition of the council, and provided that all its members be appointed only by the Minister of Commerce and Consumer Affairs.</w:t>
      </w:r>
      <w:r w:rsidRPr="00B93EE1">
        <w:rPr>
          <w:rStyle w:val="FootnoteReference"/>
        </w:rPr>
        <w:footnoteReference w:id="184"/>
      </w:r>
      <w:r w:rsidRPr="00B93EE1">
        <w:t xml:space="preserve"> The Accreditation Council continues to conduct its operations through </w:t>
      </w:r>
      <w:proofErr w:type="spellStart"/>
      <w:r w:rsidRPr="00B93EE1">
        <w:t>IANZ</w:t>
      </w:r>
      <w:proofErr w:type="spellEnd"/>
      <w:r w:rsidRPr="00B93EE1">
        <w:t>, and to own Telarc Limited (a Certification body), which provides certification services.</w:t>
      </w:r>
      <w:r w:rsidRPr="00B93EE1">
        <w:rPr>
          <w:rStyle w:val="FootnoteReference"/>
        </w:rPr>
        <w:footnoteReference w:id="185"/>
      </w:r>
    </w:p>
    <w:p w14:paraId="196F3F12" w14:textId="77777777" w:rsidR="00120717" w:rsidRPr="00F64A35" w:rsidRDefault="00120717" w:rsidP="00323B40">
      <w:pPr>
        <w:pStyle w:val="BodyText"/>
      </w:pPr>
      <w:r w:rsidRPr="00B93EE1">
        <w:t xml:space="preserve">In 2018, the </w:t>
      </w:r>
      <w:proofErr w:type="spellStart"/>
      <w:r w:rsidRPr="00B93EE1">
        <w:t>MBIE</w:t>
      </w:r>
      <w:proofErr w:type="spellEnd"/>
      <w:r w:rsidRPr="00B93EE1">
        <w:t xml:space="preserve"> also launched a review to assess the functioning of New Zealand's conformance system. Based on this review, the </w:t>
      </w:r>
      <w:proofErr w:type="spellStart"/>
      <w:r w:rsidRPr="00B93EE1">
        <w:t>MBIE</w:t>
      </w:r>
      <w:proofErr w:type="spellEnd"/>
      <w:r w:rsidRPr="00B93EE1">
        <w:t xml:space="preserve"> developed a strategy that identifies actions to enhance the conformance system for the period 2019-22. The </w:t>
      </w:r>
      <w:proofErr w:type="spellStart"/>
      <w:r w:rsidRPr="00B93EE1">
        <w:t>MBIE</w:t>
      </w:r>
      <w:proofErr w:type="spellEnd"/>
      <w:r w:rsidRPr="00B93EE1">
        <w:t xml:space="preserve"> is responsible for implementing the strategy in collaboration with New Zealand's standard and conformance infrastructure authorities, and for monitoring its progress. As part of the strategy's actions, the </w:t>
      </w:r>
      <w:proofErr w:type="spellStart"/>
      <w:r w:rsidRPr="00B93EE1">
        <w:t>MBIE</w:t>
      </w:r>
      <w:proofErr w:type="spellEnd"/>
      <w:r w:rsidRPr="00B93EE1">
        <w:t xml:space="preserve"> strengthened the role of the existing Standards, Accreditation and Metrology Group (SAM) to support the implementation of the strategy. The SAM is convened by the </w:t>
      </w:r>
      <w:proofErr w:type="spellStart"/>
      <w:r w:rsidRPr="00B93EE1">
        <w:t>MBIE</w:t>
      </w:r>
      <w:proofErr w:type="spellEnd"/>
      <w:r w:rsidRPr="00B93EE1">
        <w:t xml:space="preserve"> and meets on a quarterly basis. Its purpose is to enhance information sharing, collaboration, and coordination between agencies responsible for New Zealand's standards and conformance infrastructure.</w:t>
      </w:r>
      <w:r w:rsidRPr="00B93EE1">
        <w:rPr>
          <w:rStyle w:val="FootnoteReference"/>
        </w:rPr>
        <w:footnoteReference w:id="186"/>
      </w:r>
    </w:p>
    <w:p w14:paraId="5BD34617" w14:textId="77777777" w:rsidR="00120717" w:rsidRPr="00F64A35" w:rsidRDefault="00120717" w:rsidP="00323B40">
      <w:pPr>
        <w:pStyle w:val="BodyText"/>
      </w:pPr>
      <w:r w:rsidRPr="00B93EE1">
        <w:t>In the area of international regulatory cooperation, New Zealand and Australia have signed the Trans-Tasman Mutual Recognition Arrangement (</w:t>
      </w:r>
      <w:proofErr w:type="spellStart"/>
      <w:r w:rsidRPr="00B93EE1">
        <w:t>TTMRA</w:t>
      </w:r>
      <w:proofErr w:type="spellEnd"/>
      <w:r w:rsidRPr="00B93EE1">
        <w:t xml:space="preserve">), which is, according to the authorities, one of New Zealand's most comprehensive economic integration arrangements. The </w:t>
      </w:r>
      <w:proofErr w:type="spellStart"/>
      <w:r w:rsidRPr="00B93EE1">
        <w:t>TTMRA</w:t>
      </w:r>
      <w:proofErr w:type="spellEnd"/>
      <w:r w:rsidRPr="00B93EE1">
        <w:t xml:space="preserve"> provides for the recognition of equivalence of technical regulations so that any good that can be legally sold in Australia can also be sold in New Zealand (and vice versa) without further technical regulation requirements, and with very limited exceptions (e.g. radio communications regulations). The </w:t>
      </w:r>
      <w:proofErr w:type="spellStart"/>
      <w:r w:rsidRPr="00B93EE1">
        <w:t>TTMRA</w:t>
      </w:r>
      <w:proofErr w:type="spellEnd"/>
      <w:r w:rsidRPr="00B93EE1">
        <w:t xml:space="preserve"> also covers professional qualifications and provides for the mutual recognition of occupational registrations.</w:t>
      </w:r>
    </w:p>
    <w:p w14:paraId="5334D52B" w14:textId="308079A4" w:rsidR="00120717" w:rsidRDefault="00120717" w:rsidP="00323B40">
      <w:pPr>
        <w:pStyle w:val="BodyText"/>
      </w:pPr>
      <w:r w:rsidRPr="00B93EE1">
        <w:t xml:space="preserve">In addition to the </w:t>
      </w:r>
      <w:proofErr w:type="spellStart"/>
      <w:r w:rsidRPr="00B93EE1">
        <w:t>TTMRA</w:t>
      </w:r>
      <w:proofErr w:type="spellEnd"/>
      <w:r w:rsidRPr="00B93EE1">
        <w:t>, New Zealand had, as at January 2022, 10 mutual recognition agreements or arrangements (</w:t>
      </w:r>
      <w:proofErr w:type="spellStart"/>
      <w:r w:rsidRPr="00B93EE1">
        <w:t>MRAs</w:t>
      </w:r>
      <w:proofErr w:type="spellEnd"/>
      <w:r w:rsidRPr="00B93EE1">
        <w:t>)</w:t>
      </w:r>
      <w:r w:rsidRPr="00B93EE1">
        <w:rPr>
          <w:rStyle w:val="FootnoteReference"/>
        </w:rPr>
        <w:footnoteReference w:id="187"/>
      </w:r>
      <w:r w:rsidRPr="00B93EE1">
        <w:t xml:space="preserve"> with key trading partners covering selected products, 8 of which were for the acceptance of conformity assessment results, and 2 for certification (Box 3.2).</w:t>
      </w:r>
      <w:r w:rsidRPr="00B93EE1">
        <w:rPr>
          <w:rStyle w:val="FootnoteReference"/>
        </w:rPr>
        <w:footnoteReference w:id="188"/>
      </w:r>
      <w:r w:rsidRPr="00B93EE1">
        <w:t xml:space="preserve"> Of these instruments, three were signed during the review period: one with China; one with the Separate </w:t>
      </w:r>
      <w:r w:rsidRPr="00B93EE1">
        <w:rPr>
          <w:bCs/>
        </w:rPr>
        <w:t>Customs Territory of Taiwan, Penghu, Kinmen and Matsu (</w:t>
      </w:r>
      <w:r w:rsidRPr="00B93EE1">
        <w:t xml:space="preserve">Chinese Taipei); and one with the United Kingdom. The </w:t>
      </w:r>
      <w:proofErr w:type="spellStart"/>
      <w:r w:rsidRPr="00B93EE1">
        <w:t>MRA</w:t>
      </w:r>
      <w:proofErr w:type="spellEnd"/>
      <w:r w:rsidRPr="00B93EE1">
        <w:t xml:space="preserve"> with the United Kingdom was signed in 2019 following its withdrawal from the European Union, and has the same coverage as the one with the European Union, i.e. electromagnetic compatibility, low voltage equipment, machinery, medicinal products and devices, pressure equipment, and telecommunications terminal equipment. The </w:t>
      </w:r>
      <w:proofErr w:type="spellStart"/>
      <w:r w:rsidRPr="00B93EE1">
        <w:t>MRAs</w:t>
      </w:r>
      <w:proofErr w:type="spellEnd"/>
      <w:r w:rsidRPr="00B93EE1">
        <w:t xml:space="preserve"> with China and Chinese Taipei were signed in 2016 and 2020, respectively, and cover the recognition of the certification of organic products. As at January 2022, the former was not yet operational but its implementation was ongoing.</w:t>
      </w:r>
    </w:p>
    <w:p w14:paraId="4BC75215" w14:textId="2FA16E30" w:rsidR="00364BAC" w:rsidRPr="00F64A35" w:rsidRDefault="00364BAC" w:rsidP="00364BAC">
      <w:pPr>
        <w:pStyle w:val="BodyText"/>
      </w:pPr>
      <w:r w:rsidRPr="00B93EE1">
        <w:t>New Zealand also unilaterally recognizes certification of certain products issued by other jurisdictions, such as certification for gas appliances issued by certain European, North American, and Australian certification bodies.</w:t>
      </w:r>
      <w:r w:rsidRPr="00B93EE1">
        <w:rPr>
          <w:rStyle w:val="FootnoteReference"/>
        </w:rPr>
        <w:footnoteReference w:id="189"/>
      </w:r>
    </w:p>
    <w:p w14:paraId="2CE2B348" w14:textId="546BD0E9" w:rsidR="00120717" w:rsidRPr="00B93EE1" w:rsidRDefault="00120717" w:rsidP="00364BAC">
      <w:pPr>
        <w:pStyle w:val="Caption"/>
        <w:keepLines/>
      </w:pPr>
      <w:bookmarkStart w:id="146" w:name="_Toc97743427"/>
      <w:bookmarkStart w:id="147" w:name="_Toc418783244"/>
      <w:r w:rsidRPr="00B93EE1">
        <w:lastRenderedPageBreak/>
        <w:t xml:space="preserve">Box </w:t>
      </w:r>
      <w:r w:rsidR="0012793B">
        <w:fldChar w:fldCharType="begin"/>
      </w:r>
      <w:r w:rsidR="0012793B">
        <w:instrText xml:space="preserve"> STYLEREF 1 \s </w:instrText>
      </w:r>
      <w:r w:rsidR="0012793B">
        <w:fldChar w:fldCharType="separate"/>
      </w:r>
      <w:r w:rsidRPr="00B93EE1">
        <w:t>3</w:t>
      </w:r>
      <w:r w:rsidR="0012793B">
        <w:fldChar w:fldCharType="end"/>
      </w:r>
      <w:r w:rsidRPr="00B93EE1">
        <w:t>.</w:t>
      </w:r>
      <w:r w:rsidR="0012793B">
        <w:fldChar w:fldCharType="begin"/>
      </w:r>
      <w:r w:rsidR="0012793B">
        <w:instrText xml:space="preserve"> </w:instrText>
      </w:r>
      <w:r w:rsidR="0012793B">
        <w:instrText xml:space="preserve">SEQ Box \* ARABIC \s 1 </w:instrText>
      </w:r>
      <w:r w:rsidR="0012793B">
        <w:fldChar w:fldCharType="separate"/>
      </w:r>
      <w:r w:rsidRPr="00B93EE1">
        <w:t>2</w:t>
      </w:r>
      <w:r w:rsidR="0012793B">
        <w:fldChar w:fldCharType="end"/>
      </w:r>
      <w:r w:rsidRPr="00B93EE1">
        <w:t xml:space="preserve"> Conformity </w:t>
      </w:r>
      <w:r w:rsidR="00D20DEF">
        <w:t>a</w:t>
      </w:r>
      <w:r w:rsidRPr="00B93EE1">
        <w:t>ssessment</w:t>
      </w:r>
      <w:r w:rsidR="00D20DEF">
        <w:t>s</w:t>
      </w:r>
      <w:r w:rsidRPr="00B93EE1">
        <w:t xml:space="preserve"> and related </w:t>
      </w:r>
      <w:proofErr w:type="spellStart"/>
      <w:r w:rsidRPr="00B93EE1">
        <w:t>MRAs</w:t>
      </w:r>
      <w:proofErr w:type="spellEnd"/>
      <w:r w:rsidRPr="00B93EE1">
        <w:t xml:space="preserve"> signed by New Zealand, 2022</w:t>
      </w:r>
      <w:bookmarkEnd w:id="146"/>
    </w:p>
    <w:tbl>
      <w:tblPr>
        <w:tblStyle w:val="WTOBox1"/>
        <w:tblW w:w="5000" w:type="pct"/>
        <w:tblLook w:val="0480" w:firstRow="0" w:lastRow="0" w:firstColumn="1" w:lastColumn="0" w:noHBand="0" w:noVBand="1"/>
      </w:tblPr>
      <w:tblGrid>
        <w:gridCol w:w="9026"/>
      </w:tblGrid>
      <w:tr w:rsidR="00120717" w:rsidRPr="00B93EE1" w14:paraId="4C6A0EBC" w14:textId="77777777" w:rsidTr="001A460A">
        <w:tc>
          <w:tcPr>
            <w:tcW w:w="5000" w:type="pct"/>
          </w:tcPr>
          <w:p w14:paraId="100490C6" w14:textId="77777777" w:rsidR="00120717" w:rsidRPr="00B93EE1" w:rsidRDefault="00120717" w:rsidP="00364BAC">
            <w:pPr>
              <w:keepNext/>
              <w:keepLines/>
              <w:jc w:val="left"/>
              <w:rPr>
                <w:sz w:val="16"/>
                <w:szCs w:val="16"/>
              </w:rPr>
            </w:pPr>
            <w:r w:rsidRPr="00B93EE1">
              <w:rPr>
                <w:b/>
                <w:bCs/>
                <w:sz w:val="16"/>
                <w:szCs w:val="16"/>
              </w:rPr>
              <w:t xml:space="preserve">APEC economies: </w:t>
            </w:r>
            <w:r w:rsidRPr="00B93EE1">
              <w:rPr>
                <w:sz w:val="16"/>
                <w:szCs w:val="16"/>
              </w:rPr>
              <w:t xml:space="preserve">New Zealand has three </w:t>
            </w:r>
            <w:proofErr w:type="spellStart"/>
            <w:r w:rsidRPr="00B93EE1">
              <w:rPr>
                <w:sz w:val="16"/>
                <w:szCs w:val="16"/>
              </w:rPr>
              <w:t>MRAs</w:t>
            </w:r>
            <w:proofErr w:type="spellEnd"/>
            <w:r w:rsidRPr="00B93EE1">
              <w:rPr>
                <w:sz w:val="16"/>
                <w:szCs w:val="16"/>
              </w:rPr>
              <w:t xml:space="preserve"> under APEC:</w:t>
            </w:r>
          </w:p>
          <w:p w14:paraId="1A32B793" w14:textId="77777777" w:rsidR="00120717" w:rsidRPr="00B93EE1" w:rsidRDefault="00120717" w:rsidP="00364BAC">
            <w:pPr>
              <w:pStyle w:val="ListBullet2"/>
              <w:keepNext/>
              <w:keepLines/>
              <w:numPr>
                <w:ilvl w:val="1"/>
                <w:numId w:val="2"/>
              </w:numPr>
              <w:spacing w:before="120" w:after="120"/>
              <w:contextualSpacing w:val="0"/>
              <w:rPr>
                <w:sz w:val="16"/>
                <w:szCs w:val="16"/>
              </w:rPr>
            </w:pPr>
            <w:r w:rsidRPr="00B93EE1">
              <w:rPr>
                <w:sz w:val="16"/>
                <w:szCs w:val="16"/>
              </w:rPr>
              <w:t>the APEC Electrical and Electronic Equipment Mutual Recognition Arrangement, which provides for the mutual recognition of conformity assessment results for electric and electronic equipment;</w:t>
            </w:r>
          </w:p>
          <w:p w14:paraId="26B94C5C" w14:textId="77777777" w:rsidR="00120717" w:rsidRPr="00B93EE1" w:rsidRDefault="00120717" w:rsidP="00364BAC">
            <w:pPr>
              <w:pStyle w:val="ListBullet2"/>
              <w:keepNext/>
              <w:keepLines/>
              <w:numPr>
                <w:ilvl w:val="1"/>
                <w:numId w:val="2"/>
              </w:numPr>
              <w:spacing w:after="120"/>
              <w:contextualSpacing w:val="0"/>
              <w:rPr>
                <w:sz w:val="16"/>
                <w:szCs w:val="16"/>
              </w:rPr>
            </w:pPr>
            <w:r w:rsidRPr="00B93EE1">
              <w:rPr>
                <w:sz w:val="16"/>
                <w:szCs w:val="16"/>
              </w:rPr>
              <w:t>the APEC Mutual Recognition Arrangement for Conformity Assessment of Telecommunications Equipment, which provides for the recognition and acceptance of test results and/or authorizations for relevant equipment; and</w:t>
            </w:r>
          </w:p>
          <w:p w14:paraId="2DB3239D" w14:textId="77777777" w:rsidR="00120717" w:rsidRPr="00B93EE1" w:rsidRDefault="00120717" w:rsidP="00364BAC">
            <w:pPr>
              <w:pStyle w:val="ListBullet2"/>
              <w:keepNext/>
              <w:keepLines/>
              <w:numPr>
                <w:ilvl w:val="1"/>
                <w:numId w:val="2"/>
              </w:numPr>
              <w:spacing w:after="120"/>
              <w:contextualSpacing w:val="0"/>
            </w:pPr>
            <w:r w:rsidRPr="00B93EE1">
              <w:rPr>
                <w:sz w:val="16"/>
                <w:szCs w:val="16"/>
              </w:rPr>
              <w:t>the APEC Mutual Recognition Arrangement on Conformity Assessment of Foods and Food Products, which is a framework agreement for the recognition of conformity assessment results for food products.</w:t>
            </w:r>
            <w:r w:rsidRPr="00B93EE1">
              <w:rPr>
                <w:rStyle w:val="FootnoteReference"/>
                <w:sz w:val="16"/>
                <w:szCs w:val="16"/>
              </w:rPr>
              <w:footnoteReference w:id="190"/>
            </w:r>
          </w:p>
        </w:tc>
      </w:tr>
      <w:tr w:rsidR="00120717" w:rsidRPr="00B93EE1" w14:paraId="75E6498D" w14:textId="77777777" w:rsidTr="001A460A">
        <w:tc>
          <w:tcPr>
            <w:tcW w:w="5000" w:type="pct"/>
          </w:tcPr>
          <w:p w14:paraId="1BC40DD4" w14:textId="77777777" w:rsidR="00120717" w:rsidRPr="00B93EE1" w:rsidRDefault="00120717" w:rsidP="001A460A">
            <w:pPr>
              <w:jc w:val="left"/>
              <w:rPr>
                <w:sz w:val="16"/>
                <w:szCs w:val="16"/>
              </w:rPr>
            </w:pPr>
            <w:r w:rsidRPr="00B93EE1">
              <w:rPr>
                <w:b/>
                <w:bCs/>
                <w:sz w:val="16"/>
                <w:szCs w:val="16"/>
              </w:rPr>
              <w:t xml:space="preserve">China: </w:t>
            </w:r>
            <w:r w:rsidRPr="00B93EE1">
              <w:rPr>
                <w:sz w:val="16"/>
                <w:szCs w:val="16"/>
              </w:rPr>
              <w:t>New Zealand has two MRS with China:</w:t>
            </w:r>
          </w:p>
          <w:p w14:paraId="4B533516" w14:textId="77777777" w:rsidR="00120717" w:rsidRPr="00B93EE1" w:rsidRDefault="00120717" w:rsidP="00AF569F">
            <w:pPr>
              <w:pStyle w:val="ListBullet2"/>
              <w:numPr>
                <w:ilvl w:val="1"/>
                <w:numId w:val="2"/>
              </w:numPr>
              <w:spacing w:before="120" w:after="120"/>
              <w:contextualSpacing w:val="0"/>
              <w:rPr>
                <w:sz w:val="16"/>
                <w:szCs w:val="18"/>
              </w:rPr>
            </w:pPr>
            <w:r w:rsidRPr="00B93EE1">
              <w:rPr>
                <w:sz w:val="16"/>
                <w:szCs w:val="18"/>
              </w:rPr>
              <w:t>one providing for the mutual recognition of conformity assessment results for electric and electronic equipment and components; and</w:t>
            </w:r>
          </w:p>
          <w:p w14:paraId="52287A3D" w14:textId="77777777" w:rsidR="00120717" w:rsidRPr="00B93EE1" w:rsidRDefault="00120717" w:rsidP="00AF569F">
            <w:pPr>
              <w:pStyle w:val="ListBullet2"/>
              <w:numPr>
                <w:ilvl w:val="1"/>
                <w:numId w:val="2"/>
              </w:numPr>
              <w:spacing w:after="120"/>
              <w:contextualSpacing w:val="0"/>
              <w:rPr>
                <w:b/>
                <w:bCs/>
              </w:rPr>
            </w:pPr>
            <w:r w:rsidRPr="00B93EE1">
              <w:rPr>
                <w:sz w:val="16"/>
                <w:szCs w:val="18"/>
              </w:rPr>
              <w:t>one providing for mutual recognition of the certification of organic products.</w:t>
            </w:r>
          </w:p>
        </w:tc>
      </w:tr>
      <w:tr w:rsidR="00120717" w:rsidRPr="00B93EE1" w14:paraId="518344F7" w14:textId="77777777" w:rsidTr="001660DA">
        <w:trPr>
          <w:trHeight w:val="962"/>
        </w:trPr>
        <w:tc>
          <w:tcPr>
            <w:tcW w:w="5000" w:type="pct"/>
          </w:tcPr>
          <w:p w14:paraId="1EA0ACCC" w14:textId="77777777" w:rsidR="00120717" w:rsidRPr="00B93EE1" w:rsidRDefault="00120717" w:rsidP="001A460A">
            <w:pPr>
              <w:keepNext/>
              <w:keepLines/>
              <w:jc w:val="left"/>
              <w:rPr>
                <w:sz w:val="16"/>
                <w:szCs w:val="16"/>
              </w:rPr>
            </w:pPr>
            <w:r w:rsidRPr="00B93EE1">
              <w:rPr>
                <w:b/>
                <w:bCs/>
                <w:sz w:val="16"/>
                <w:szCs w:val="16"/>
              </w:rPr>
              <w:t xml:space="preserve">Chinese Taipei: </w:t>
            </w:r>
            <w:r w:rsidRPr="00B93EE1">
              <w:rPr>
                <w:sz w:val="16"/>
                <w:szCs w:val="16"/>
              </w:rPr>
              <w:t xml:space="preserve">New Zealand has two </w:t>
            </w:r>
            <w:proofErr w:type="spellStart"/>
            <w:r w:rsidRPr="00B93EE1">
              <w:rPr>
                <w:sz w:val="16"/>
                <w:szCs w:val="16"/>
              </w:rPr>
              <w:t>MRAs</w:t>
            </w:r>
            <w:proofErr w:type="spellEnd"/>
            <w:r w:rsidRPr="00B93EE1">
              <w:rPr>
                <w:sz w:val="16"/>
                <w:szCs w:val="16"/>
              </w:rPr>
              <w:t xml:space="preserve"> with Chinese Taipei:</w:t>
            </w:r>
          </w:p>
          <w:p w14:paraId="1511CA48" w14:textId="77777777" w:rsidR="00120717" w:rsidRPr="00B93EE1" w:rsidRDefault="00120717" w:rsidP="00AF569F">
            <w:pPr>
              <w:pStyle w:val="ListBullet2"/>
              <w:numPr>
                <w:ilvl w:val="1"/>
                <w:numId w:val="2"/>
              </w:numPr>
              <w:spacing w:before="120" w:after="120"/>
              <w:contextualSpacing w:val="0"/>
              <w:rPr>
                <w:sz w:val="16"/>
                <w:szCs w:val="18"/>
              </w:rPr>
            </w:pPr>
            <w:r w:rsidRPr="00B93EE1">
              <w:rPr>
                <w:sz w:val="16"/>
                <w:szCs w:val="18"/>
              </w:rPr>
              <w:t>one providing for the mutual recognition of conformity assessment results for electric and electronic equipment and components, including electrical safety and electromagnetic compatibility; and</w:t>
            </w:r>
          </w:p>
          <w:p w14:paraId="6689DA29" w14:textId="77777777" w:rsidR="00120717" w:rsidRPr="00B93EE1" w:rsidRDefault="00120717" w:rsidP="00AF569F">
            <w:pPr>
              <w:pStyle w:val="ListBullet2"/>
              <w:numPr>
                <w:ilvl w:val="1"/>
                <w:numId w:val="2"/>
              </w:numPr>
              <w:spacing w:before="120" w:after="120"/>
              <w:contextualSpacing w:val="0"/>
            </w:pPr>
            <w:r w:rsidRPr="00B93EE1">
              <w:rPr>
                <w:sz w:val="16"/>
                <w:szCs w:val="18"/>
              </w:rPr>
              <w:t>one providing for mutual recognition of the certification of organic products.</w:t>
            </w:r>
          </w:p>
        </w:tc>
      </w:tr>
      <w:tr w:rsidR="00120717" w:rsidRPr="00B93EE1" w14:paraId="07584AF7" w14:textId="77777777" w:rsidTr="001A460A">
        <w:tc>
          <w:tcPr>
            <w:tcW w:w="5000" w:type="pct"/>
          </w:tcPr>
          <w:p w14:paraId="33F98B0D" w14:textId="77777777" w:rsidR="00120717" w:rsidRPr="00B93EE1" w:rsidRDefault="00120717" w:rsidP="001A460A">
            <w:pPr>
              <w:jc w:val="left"/>
              <w:rPr>
                <w:sz w:val="16"/>
                <w:szCs w:val="16"/>
              </w:rPr>
            </w:pPr>
            <w:r w:rsidRPr="00B93EE1">
              <w:rPr>
                <w:b/>
                <w:bCs/>
                <w:sz w:val="16"/>
                <w:szCs w:val="16"/>
              </w:rPr>
              <w:t xml:space="preserve">European Union: </w:t>
            </w:r>
            <w:r w:rsidRPr="00B93EE1">
              <w:rPr>
                <w:sz w:val="16"/>
                <w:szCs w:val="16"/>
              </w:rPr>
              <w:t xml:space="preserve">The </w:t>
            </w:r>
            <w:proofErr w:type="spellStart"/>
            <w:r w:rsidRPr="00B93EE1">
              <w:rPr>
                <w:sz w:val="16"/>
                <w:szCs w:val="16"/>
              </w:rPr>
              <w:t>MRA</w:t>
            </w:r>
            <w:proofErr w:type="spellEnd"/>
            <w:r w:rsidRPr="00B93EE1">
              <w:rPr>
                <w:sz w:val="16"/>
                <w:szCs w:val="16"/>
              </w:rPr>
              <w:t xml:space="preserve"> with the European Union provides for mutual recognition of conformity assessment results for electromagnetic compatibility, low voltage equipment, machinery, medicinal products and devices, pressure equipment, and telecommunications terminal equipment.</w:t>
            </w:r>
          </w:p>
        </w:tc>
      </w:tr>
      <w:tr w:rsidR="00120717" w:rsidRPr="00B93EE1" w14:paraId="082DE1D1" w14:textId="77777777" w:rsidTr="001A460A">
        <w:tc>
          <w:tcPr>
            <w:tcW w:w="5000" w:type="pct"/>
          </w:tcPr>
          <w:p w14:paraId="6140A604" w14:textId="77777777" w:rsidR="00120717" w:rsidRPr="00B93EE1" w:rsidRDefault="00120717" w:rsidP="001A460A">
            <w:pPr>
              <w:jc w:val="left"/>
              <w:rPr>
                <w:sz w:val="16"/>
                <w:szCs w:val="16"/>
              </w:rPr>
            </w:pPr>
            <w:r w:rsidRPr="00B93EE1">
              <w:rPr>
                <w:b/>
                <w:bCs/>
                <w:sz w:val="16"/>
                <w:szCs w:val="16"/>
              </w:rPr>
              <w:t xml:space="preserve">Singapore: </w:t>
            </w:r>
            <w:r w:rsidRPr="00B93EE1">
              <w:rPr>
                <w:sz w:val="16"/>
                <w:szCs w:val="16"/>
              </w:rPr>
              <w:t xml:space="preserve">The </w:t>
            </w:r>
            <w:proofErr w:type="spellStart"/>
            <w:r w:rsidRPr="00B93EE1">
              <w:rPr>
                <w:sz w:val="16"/>
                <w:szCs w:val="16"/>
              </w:rPr>
              <w:t>MRA</w:t>
            </w:r>
            <w:proofErr w:type="spellEnd"/>
            <w:r w:rsidRPr="00B93EE1">
              <w:rPr>
                <w:sz w:val="16"/>
                <w:szCs w:val="16"/>
              </w:rPr>
              <w:t xml:space="preserve"> with Singapore provides for mutual recognition of conformity assessment results for electric and electronic equipment, and components.</w:t>
            </w:r>
          </w:p>
        </w:tc>
      </w:tr>
      <w:tr w:rsidR="00120717" w:rsidRPr="00B93EE1" w14:paraId="2ACA344F" w14:textId="77777777" w:rsidTr="001A460A">
        <w:tc>
          <w:tcPr>
            <w:tcW w:w="5000" w:type="pct"/>
          </w:tcPr>
          <w:p w14:paraId="633CB3CA" w14:textId="77777777" w:rsidR="00120717" w:rsidRPr="00B93EE1" w:rsidRDefault="00120717" w:rsidP="001A460A">
            <w:pPr>
              <w:jc w:val="left"/>
              <w:rPr>
                <w:sz w:val="16"/>
                <w:szCs w:val="16"/>
              </w:rPr>
            </w:pPr>
            <w:r w:rsidRPr="00B93EE1">
              <w:rPr>
                <w:b/>
                <w:bCs/>
                <w:sz w:val="16"/>
                <w:szCs w:val="16"/>
              </w:rPr>
              <w:t xml:space="preserve">United Kingdom: </w:t>
            </w:r>
            <w:r w:rsidRPr="00B93EE1">
              <w:rPr>
                <w:sz w:val="16"/>
                <w:szCs w:val="16"/>
              </w:rPr>
              <w:t xml:space="preserve">The </w:t>
            </w:r>
            <w:proofErr w:type="spellStart"/>
            <w:r w:rsidRPr="00B93EE1">
              <w:rPr>
                <w:sz w:val="16"/>
                <w:szCs w:val="16"/>
              </w:rPr>
              <w:t>MRA</w:t>
            </w:r>
            <w:proofErr w:type="spellEnd"/>
            <w:r w:rsidRPr="00B93EE1">
              <w:rPr>
                <w:sz w:val="16"/>
                <w:szCs w:val="16"/>
              </w:rPr>
              <w:t xml:space="preserve"> with the United Kingdom provides for the mutual recognition of conformity assessment results for electromagnetic compatibility, low voltage equipment, machinery, medicinal products and devices, pressure equipment, and telecommunications terminal equipment.</w:t>
            </w:r>
          </w:p>
        </w:tc>
      </w:tr>
    </w:tbl>
    <w:p w14:paraId="2A459211" w14:textId="77777777" w:rsidR="00120717" w:rsidRPr="00B93EE1" w:rsidRDefault="00120717" w:rsidP="00AF569F">
      <w:pPr>
        <w:pStyle w:val="NoteText"/>
        <w:spacing w:before="120" w:after="240"/>
      </w:pPr>
      <w:r w:rsidRPr="00B93EE1">
        <w:t>Source:</w:t>
      </w:r>
      <w:r w:rsidRPr="00B93EE1">
        <w:tab/>
        <w:t>WTO Secretariat based on information provided by the authorities.</w:t>
      </w:r>
      <w:bookmarkEnd w:id="147"/>
    </w:p>
    <w:p w14:paraId="330268D6" w14:textId="77777777" w:rsidR="00120717" w:rsidRPr="00F64A35" w:rsidRDefault="00120717" w:rsidP="00323B40">
      <w:pPr>
        <w:pStyle w:val="Heading4"/>
      </w:pPr>
      <w:bookmarkStart w:id="148" w:name="_Toc97800159"/>
      <w:r w:rsidRPr="00B93EE1">
        <w:t>Labelling and marking</w:t>
      </w:r>
      <w:bookmarkEnd w:id="148"/>
    </w:p>
    <w:p w14:paraId="7E7C9B9A" w14:textId="77777777" w:rsidR="00120717" w:rsidRPr="00F64A35" w:rsidRDefault="00120717" w:rsidP="00323B40">
      <w:pPr>
        <w:pStyle w:val="BodyText"/>
      </w:pPr>
      <w:r w:rsidRPr="00B93EE1">
        <w:t>New Zealand prohibits the importation of all goods bearing false information or including trademarks or signs likely to mislead or deceive consumers.</w:t>
      </w:r>
      <w:r w:rsidRPr="00B93EE1">
        <w:rPr>
          <w:vertAlign w:val="superscript"/>
        </w:rPr>
        <w:footnoteReference w:id="191"/>
      </w:r>
      <w:r w:rsidRPr="00B93EE1">
        <w:t xml:space="preserve"> All goods sold are subject to quantity labelling requirements and must use one of the units of New Zealand's metric system when marking their net weight or measure.</w:t>
      </w:r>
      <w:r w:rsidRPr="00B93EE1">
        <w:rPr>
          <w:rStyle w:val="FootnoteReference"/>
        </w:rPr>
        <w:footnoteReference w:id="192"/>
      </w:r>
    </w:p>
    <w:p w14:paraId="0D6A5630" w14:textId="77777777" w:rsidR="00120717" w:rsidRPr="00F64A35" w:rsidRDefault="00120717" w:rsidP="00323B40">
      <w:pPr>
        <w:pStyle w:val="BodyText"/>
      </w:pPr>
      <w:r w:rsidRPr="00B93EE1">
        <w:t>Imported and locally produced food must meet label requirements under the Food Act 2014 and the Australia-New Zealand Food Standards Code (Section 3.3.4). Information on food labels must in general include a date marking for sale, a lot identification, a New Zealand or Australian name and business address, a description of the good, an ingredients list and their content (in percentage), a nutrition information panel, use and storage directions, allergens declarations, and warning and advisory statements. A number of food products are subject to specific requirements including genetically modified food, food for infants, fish, alcoholic drinks (including wine), irradiated food, and food containing hemp seeds.</w:t>
      </w:r>
      <w:r w:rsidRPr="00B93EE1">
        <w:rPr>
          <w:rStyle w:val="FootnoteReference"/>
        </w:rPr>
        <w:footnoteReference w:id="193"/>
      </w:r>
    </w:p>
    <w:p w14:paraId="43793100" w14:textId="77777777" w:rsidR="00120717" w:rsidRPr="00F64A35" w:rsidRDefault="00120717" w:rsidP="00323B40">
      <w:pPr>
        <w:pStyle w:val="BodyText"/>
      </w:pPr>
      <w:r w:rsidRPr="00B93EE1">
        <w:t xml:space="preserve">New Zealand also has six Consumer Information Standards (CIS) Regulations with labelling information requirements for clothing (care, country of origin, and fibre content), used motor </w:t>
      </w:r>
      <w:r w:rsidRPr="00B93EE1">
        <w:lastRenderedPageBreak/>
        <w:t>vehicles, water efficiency, and the origin of food.</w:t>
      </w:r>
      <w:r w:rsidRPr="00B93EE1">
        <w:rPr>
          <w:rStyle w:val="FootnoteReference"/>
        </w:rPr>
        <w:footnoteReference w:id="194"/>
      </w:r>
      <w:r w:rsidRPr="00B93EE1">
        <w:t xml:space="preserve"> The CIS Regulations for water efficiency and food origin were adopted during the review period, in 2017 and 2021, respectively. The CIS Regulations for water efficiency applies to water-using equipment (e.g. washing machines and dishwashers), and requires labels to include information on their water consumption. The CIS Regulations on the origin of food (both fresh and frozen) require that labels include the country of origin for fruit and vegetables, meat and cured pork, and fish and seafood. The proposed draft of these regulations was notified to the WTO in December 2019</w:t>
      </w:r>
      <w:r w:rsidRPr="00B93EE1">
        <w:rPr>
          <w:rStyle w:val="FootnoteReference"/>
        </w:rPr>
        <w:footnoteReference w:id="195"/>
      </w:r>
      <w:r w:rsidRPr="00B93EE1">
        <w:t xml:space="preserve"> and was the object of a TBT </w:t>
      </w:r>
      <w:proofErr w:type="spellStart"/>
      <w:r w:rsidRPr="00B93EE1">
        <w:t>STC</w:t>
      </w:r>
      <w:proofErr w:type="spellEnd"/>
      <w:r w:rsidRPr="00B93EE1">
        <w:t xml:space="preserve"> in the WTO TBT Committee in May 2020, which the authorities indicate was satisfactorily addressed.</w:t>
      </w:r>
      <w:r w:rsidRPr="00B93EE1">
        <w:rPr>
          <w:rStyle w:val="FootnoteReference"/>
        </w:rPr>
        <w:footnoteReference w:id="196"/>
      </w:r>
      <w:r w:rsidRPr="00B93EE1">
        <w:t xml:space="preserve"> The CIS Regulations on the origin of food were to enter into force on 12 November 2021 for fresh food but were postponed to 12 February 2022 to give businesses more time to adjust. For frozen foods the entry into force has not changed and remains 12 May 2023.</w:t>
      </w:r>
    </w:p>
    <w:p w14:paraId="1B59A45E" w14:textId="77777777" w:rsidR="00120717" w:rsidRPr="00F64A35" w:rsidRDefault="00120717" w:rsidP="001660DA">
      <w:pPr>
        <w:pStyle w:val="BodyText"/>
      </w:pPr>
      <w:r w:rsidRPr="00B93EE1">
        <w:t>In March 2018, New Zealand also put in place a standardized packaging regime for tobacco. Under this regime, New Zealand requires that all tobacco products be sold in dark brown/green coloured packaging (same as in Australia, the United Kingdom, Ireland, and France), with no company logos and the same font for all brands. New pictures and health warning must cover at least 75% of the front of the package, and the entire back</w:t>
      </w:r>
      <w:r w:rsidRPr="00B93EE1">
        <w:rPr>
          <w:rFonts w:cs="Arial"/>
          <w:shd w:val="clear" w:color="auto" w:fill="FFFFFF"/>
        </w:rPr>
        <w:t>.</w:t>
      </w:r>
      <w:r w:rsidRPr="00B93EE1">
        <w:rPr>
          <w:rStyle w:val="FootnoteReference"/>
          <w:rFonts w:cs="Arial"/>
          <w:shd w:val="clear" w:color="auto" w:fill="FFFFFF"/>
        </w:rPr>
        <w:footnoteReference w:id="197"/>
      </w:r>
      <w:r w:rsidRPr="00B93EE1">
        <w:rPr>
          <w:rFonts w:cs="Arial"/>
          <w:shd w:val="clear" w:color="auto" w:fill="FFFFFF"/>
        </w:rPr>
        <w:t xml:space="preserve"> </w:t>
      </w:r>
      <w:r w:rsidRPr="00B93EE1">
        <w:t>Full implementation of the regime started on 6 June 2018. In 2021, New Zealand held public consultations on further proposals, including proposed technical regulations, aiming at reducing smoking and tobacco availability to minimal levels by 2025.</w:t>
      </w:r>
      <w:r w:rsidRPr="00B93EE1">
        <w:rPr>
          <w:rStyle w:val="FootnoteReference"/>
        </w:rPr>
        <w:footnoteReference w:id="198"/>
      </w:r>
    </w:p>
    <w:p w14:paraId="59037C0B" w14:textId="77777777" w:rsidR="00120717" w:rsidRPr="00F64A35" w:rsidRDefault="00120717" w:rsidP="00185006">
      <w:pPr>
        <w:pStyle w:val="Heading3"/>
      </w:pPr>
      <w:bookmarkStart w:id="149" w:name="_Toc415735877"/>
      <w:bookmarkStart w:id="150" w:name="_Toc97800160"/>
      <w:r w:rsidRPr="00B93EE1">
        <w:t>Sanitary and phytosanitary requirements</w:t>
      </w:r>
      <w:bookmarkEnd w:id="149"/>
      <w:bookmarkEnd w:id="150"/>
    </w:p>
    <w:p w14:paraId="75BAA04A" w14:textId="77777777" w:rsidR="00120717" w:rsidRPr="00F64A35" w:rsidRDefault="00120717" w:rsidP="00E962FF">
      <w:pPr>
        <w:pStyle w:val="Heading4"/>
        <w:numPr>
          <w:ilvl w:val="3"/>
          <w:numId w:val="32"/>
        </w:numPr>
      </w:pPr>
      <w:bookmarkStart w:id="151" w:name="_Toc97800161"/>
      <w:r w:rsidRPr="00B93EE1">
        <w:t>General framework</w:t>
      </w:r>
      <w:bookmarkEnd w:id="151"/>
    </w:p>
    <w:p w14:paraId="13A41F1C" w14:textId="77777777" w:rsidR="00120717" w:rsidRPr="00F64A35" w:rsidRDefault="00120717" w:rsidP="005C649B">
      <w:pPr>
        <w:pStyle w:val="BodyText"/>
      </w:pPr>
      <w:r w:rsidRPr="00B93EE1">
        <w:t xml:space="preserve">New Zealand's sanitary and phytosanitary (SPS) framework is regulated through a large body of statutes, which primarily includes the Biosecurity Act 1993, the Agricultural Compounds and Veterinary Medicines Act 1997, the Animal Products Act 1999, the Dairy Industry Restructuring Act 2001, the Wine Act 2003, and the Food Act 2014. While these primary SPS-related laws remained in force during the review period, </w:t>
      </w:r>
      <w:bookmarkStart w:id="152" w:name="_Hlk87223902"/>
      <w:r w:rsidRPr="00B93EE1">
        <w:t>the Food Safety Law Reform Act 2018 (</w:t>
      </w:r>
      <w:proofErr w:type="spellStart"/>
      <w:r w:rsidRPr="00B93EE1">
        <w:t>FSLR</w:t>
      </w:r>
      <w:proofErr w:type="spellEnd"/>
      <w:r w:rsidRPr="00B93EE1">
        <w:t xml:space="preserve"> Act) </w:t>
      </w:r>
      <w:bookmarkEnd w:id="152"/>
      <w:r w:rsidRPr="00B93EE1">
        <w:t>amended the Animal Products Act 1999, the Food Act 2014, and the Wine Act 2003 to streamline the content and format of certain guiding documents, such as Regulations, Notices, and Codes issued under the three Acts. There are ongoing consultations to redesign regulations and notices under the Animal Products Act 1999 and the Wine Act 2003, with a view to further streamlining administrative procedures.</w:t>
      </w:r>
      <w:r w:rsidRPr="00B93EE1">
        <w:rPr>
          <w:vertAlign w:val="superscript"/>
        </w:rPr>
        <w:footnoteReference w:id="199"/>
      </w:r>
      <w:r w:rsidRPr="00B93EE1">
        <w:t xml:space="preserve"> The authorities indicate that the redesigned animal products and wine regulations are expected to come into effect from July 2022. To help develop a more consistent and fair approach to enforcement across the food safety system, the amendment also provides for extending some enforcement tools that initially existed in the Food Act (improvement notices, compliance orders, and penalties based on commercial gain) to the Animal Products Act and the Wine Act.</w:t>
      </w:r>
    </w:p>
    <w:p w14:paraId="1A4A4220" w14:textId="77777777" w:rsidR="00120717" w:rsidRPr="00F64A35" w:rsidRDefault="00120717" w:rsidP="005C649B">
      <w:pPr>
        <w:pStyle w:val="BodyText"/>
      </w:pPr>
      <w:r w:rsidRPr="00B93EE1">
        <w:t xml:space="preserve">Among other changes brought about by the </w:t>
      </w:r>
      <w:proofErr w:type="spellStart"/>
      <w:r w:rsidRPr="00B93EE1">
        <w:t>FSLR</w:t>
      </w:r>
      <w:proofErr w:type="spellEnd"/>
      <w:r w:rsidRPr="00B93EE1">
        <w:t xml:space="preserve"> Act, it allows for use of automated electronic systems for issuing export certificates for food, plant, and animal products.</w:t>
      </w:r>
      <w:r w:rsidRPr="00B93EE1">
        <w:rPr>
          <w:vertAlign w:val="superscript"/>
        </w:rPr>
        <w:footnoteReference w:id="200"/>
      </w:r>
      <w:r w:rsidRPr="00B93EE1">
        <w:t xml:space="preserve"> In March 2020, regulations were issued requiring businesses to provide hazard identification and management information to the Ministry for Primary Industries (</w:t>
      </w:r>
      <w:proofErr w:type="spellStart"/>
      <w:r w:rsidRPr="00B93EE1">
        <w:t>MPI</w:t>
      </w:r>
      <w:proofErr w:type="spellEnd"/>
      <w:r w:rsidRPr="00B93EE1">
        <w:t xml:space="preserve">) when applying to register a risk-based measure. The Act also enables the adoption of regulations to enhance traceability </w:t>
      </w:r>
      <w:r w:rsidRPr="00B93EE1">
        <w:lastRenderedPageBreak/>
        <w:t>obligations and set recall requirements, including for annual simulated recalls.</w:t>
      </w:r>
      <w:r w:rsidRPr="00B93EE1">
        <w:rPr>
          <w:vertAlign w:val="superscript"/>
        </w:rPr>
        <w:footnoteReference w:id="201"/>
      </w:r>
      <w:r w:rsidRPr="00B93EE1">
        <w:t xml:space="preserve"> The authorities indicate that in December 2021, traceability and recall guiding documents were undergoing review to align with new trace and recall regulations expected to be issued in 2022. In this context, clarification has been provided through changes to primary legislation, regulations, and notices on the role of recognized agencies and recognized persons, as well as businesses subject to verification. Further, the role and responsibilities of the </w:t>
      </w:r>
      <w:proofErr w:type="spellStart"/>
      <w:r w:rsidRPr="00B93EE1">
        <w:t>MPI</w:t>
      </w:r>
      <w:proofErr w:type="spellEnd"/>
      <w:r w:rsidRPr="00B93EE1">
        <w:t xml:space="preserve"> were expanded to improve food safety responses, including contingency planning and being able to request information from third parties to inform risk assessments.</w:t>
      </w:r>
    </w:p>
    <w:p w14:paraId="2DD78E02" w14:textId="77777777" w:rsidR="00120717" w:rsidRPr="00F64A35" w:rsidRDefault="00120717" w:rsidP="005C649B">
      <w:pPr>
        <w:pStyle w:val="BodyText"/>
      </w:pPr>
      <w:r w:rsidRPr="00B93EE1">
        <w:t>A National Policy Direction for Pest Management (NPD) was adopted and implemented in 2015. It provides for the development of instruments and measures that prevent, reduce, or eliminate the adverse effects of harmful organisms on the economy, the environment, and human health. The NPD also determines the framework for a balanced distribution of costs associated with the instruments and measures.</w:t>
      </w:r>
      <w:r w:rsidRPr="00B93EE1">
        <w:rPr>
          <w:vertAlign w:val="superscript"/>
        </w:rPr>
        <w:footnoteReference w:id="202"/>
      </w:r>
      <w:r w:rsidRPr="00B93EE1">
        <w:t xml:space="preserve"> Specifically, it aims to improve the quality and consistency of pest and pathway management plans. It sets out several requirements related to the descriptions of outcomes and programmes, costs-benefit analysis, and cost allocation between various stakeholders. The authorities note that this has resulted in a substantial improvement in the alignment and consistency of Regional Pest Management Plans between regions, and with National Pest Management Plans. It has also guided the development of the Fiordland Regional Marine Pathway Management Plan and the National Pathway Management Plan for the kiwifruit industry. The Minister for Biosecurity has overall responsibility for national pest or pathway management plans.</w:t>
      </w:r>
    </w:p>
    <w:p w14:paraId="416FA809" w14:textId="77777777" w:rsidR="00120717" w:rsidRPr="00F64A35" w:rsidRDefault="00120717" w:rsidP="005C649B">
      <w:pPr>
        <w:pStyle w:val="BodyText"/>
      </w:pPr>
      <w:r w:rsidRPr="00B93EE1">
        <w:t xml:space="preserve">The </w:t>
      </w:r>
      <w:proofErr w:type="spellStart"/>
      <w:r w:rsidRPr="00B93EE1">
        <w:t>MPI</w:t>
      </w:r>
      <w:proofErr w:type="spellEnd"/>
      <w:r w:rsidRPr="00B93EE1">
        <w:t xml:space="preserve">, through its various units, has the lead role in biosecurity protection, including to prevent outbreaks of pests and diseases in New Zealand. </w:t>
      </w:r>
      <w:r w:rsidRPr="00B93EE1">
        <w:rPr>
          <w:bCs/>
        </w:rPr>
        <w:t>Biosecurity New Zealand was established in 2018 (</w:t>
      </w:r>
      <w:r w:rsidRPr="001A2CCA">
        <w:rPr>
          <w:bCs/>
        </w:rPr>
        <w:t>Section 4.1</w:t>
      </w:r>
      <w:r w:rsidRPr="00B93EE1">
        <w:rPr>
          <w:bCs/>
        </w:rPr>
        <w:t xml:space="preserve">). Its purpose </w:t>
      </w:r>
      <w:r w:rsidRPr="00B93EE1">
        <w:t xml:space="preserve">is to prevent the spread of harmful organisms. It is in charge of managing compliance at the border as well as preparing for, and responding to, any biosecurity incursions that may occur. SPS New Zealand, which is also part of the </w:t>
      </w:r>
      <w:proofErr w:type="spellStart"/>
      <w:r w:rsidRPr="00B93EE1">
        <w:t>MPI</w:t>
      </w:r>
      <w:proofErr w:type="spellEnd"/>
      <w:r w:rsidRPr="00B93EE1">
        <w:t xml:space="preserve">, is the Notification Authority and National Enquiry Point for the purposes of the WTO </w:t>
      </w:r>
      <w:r w:rsidRPr="00B93EE1">
        <w:rPr>
          <w:szCs w:val="18"/>
        </w:rPr>
        <w:t>Agreement on the Application of Sanitary and Phytosanitary Measures</w:t>
      </w:r>
      <w:r w:rsidRPr="00B93EE1">
        <w:t xml:space="preserve"> (SPS Agreement). From January 2015 to February 2022, New Zealand notified 172 new SPS measures to the WTO (regular and emergency measures), of which 45 were emergency measures affecting either all of its trading partners or geared towards specific Members. In 2018, specific trade concerns were raised with respect to New Zealand's draft import health standard for vehicles, machinery, and equipment in the SPS Committee</w:t>
      </w:r>
      <w:r w:rsidRPr="00B93EE1">
        <w:rPr>
          <w:bCs/>
        </w:rPr>
        <w:t>.</w:t>
      </w:r>
      <w:r w:rsidRPr="00B93EE1">
        <w:t xml:space="preserve"> The authorities indicate that the trade issues raised on the measures for Brown Marmorated Stink Bug (</w:t>
      </w:r>
      <w:proofErr w:type="spellStart"/>
      <w:r w:rsidRPr="00B93EE1">
        <w:t>BMSB</w:t>
      </w:r>
      <w:proofErr w:type="spellEnd"/>
      <w:r w:rsidRPr="00B93EE1">
        <w:t xml:space="preserve">) on used vehicles imported into New Zealand were resolved in late 2018, and that the measures remain in place and continue to manage the risk of </w:t>
      </w:r>
      <w:proofErr w:type="spellStart"/>
      <w:r w:rsidRPr="00B93EE1">
        <w:t>BMSB</w:t>
      </w:r>
      <w:proofErr w:type="spellEnd"/>
      <w:r w:rsidRPr="00B93EE1">
        <w:t>.</w:t>
      </w:r>
    </w:p>
    <w:p w14:paraId="738E3BC8" w14:textId="77777777" w:rsidR="00120717" w:rsidRPr="00F64A35" w:rsidRDefault="00120717" w:rsidP="005C649B">
      <w:pPr>
        <w:pStyle w:val="BodyText"/>
      </w:pPr>
      <w:r w:rsidRPr="00B93EE1">
        <w:t xml:space="preserve">The </w:t>
      </w:r>
      <w:proofErr w:type="spellStart"/>
      <w:r w:rsidRPr="00B93EE1">
        <w:t>MPI</w:t>
      </w:r>
      <w:proofErr w:type="spellEnd"/>
      <w:r w:rsidRPr="00B93EE1">
        <w:t xml:space="preserve"> has an established structure of charges for services it provides to individuals and companies in relation to, </w:t>
      </w:r>
      <w:r w:rsidRPr="00B93EE1">
        <w:rPr>
          <w:i/>
          <w:iCs/>
        </w:rPr>
        <w:t>inter alia</w:t>
      </w:r>
      <w:r w:rsidRPr="00B93EE1">
        <w:t>, biosecurity inspections and standards development.</w:t>
      </w:r>
      <w:r w:rsidRPr="00B93EE1">
        <w:rPr>
          <w:vertAlign w:val="superscript"/>
        </w:rPr>
        <w:footnoteReference w:id="203"/>
      </w:r>
      <w:r w:rsidRPr="00B93EE1">
        <w:t xml:space="preserve"> This also covers charges on importers for biosecurity clearance of imported goods and other related activities at the border. Fees and charges are regularly reviewed in consultation with those affected. During the review period, amendments were made to various regulations, including measures to:</w:t>
      </w:r>
    </w:p>
    <w:p w14:paraId="329851AE" w14:textId="77777777" w:rsidR="00120717" w:rsidRPr="00B93EE1" w:rsidRDefault="00120717" w:rsidP="00AF569F">
      <w:pPr>
        <w:pStyle w:val="ListBullet2"/>
        <w:contextualSpacing w:val="0"/>
      </w:pPr>
      <w:r w:rsidRPr="00B93EE1">
        <w:t>introduce levies for recovering border processing costs in the context of the Biosecurity Act</w:t>
      </w:r>
      <w:r w:rsidRPr="00B93EE1">
        <w:rPr>
          <w:bCs/>
          <w:szCs w:val="20"/>
          <w:vertAlign w:val="superscript"/>
        </w:rPr>
        <w:footnoteReference w:id="204"/>
      </w:r>
      <w:r w:rsidRPr="00B93EE1">
        <w:t>;</w:t>
      </w:r>
    </w:p>
    <w:p w14:paraId="18825AF4" w14:textId="77777777" w:rsidR="00120717" w:rsidRPr="00B93EE1" w:rsidRDefault="00120717" w:rsidP="00AF569F">
      <w:pPr>
        <w:pStyle w:val="ListBullet2"/>
        <w:contextualSpacing w:val="0"/>
      </w:pPr>
      <w:r w:rsidRPr="00B93EE1">
        <w:t>exempt specified substances from registration; and set fees, charges, and levies for application assessment in the context of the Agricultural Compounds and Veterinary Medicines Act; and</w:t>
      </w:r>
    </w:p>
    <w:p w14:paraId="5BE7F4D7" w14:textId="77777777" w:rsidR="00120717" w:rsidRPr="00B93EE1" w:rsidRDefault="00120717" w:rsidP="00AF569F">
      <w:pPr>
        <w:pStyle w:val="ListBullet2"/>
        <w:contextualSpacing w:val="0"/>
      </w:pPr>
      <w:r w:rsidRPr="00B93EE1">
        <w:lastRenderedPageBreak/>
        <w:t>include offences and infringement notices, dairy industry fees, charges and levies; and require risk management programme registration in the context of the Animal Products Act.</w:t>
      </w:r>
    </w:p>
    <w:p w14:paraId="6CA8D0C4" w14:textId="77777777" w:rsidR="00120717" w:rsidRPr="00F64A35" w:rsidRDefault="00120717" w:rsidP="008851C2">
      <w:pPr>
        <w:pStyle w:val="BodyText"/>
      </w:pPr>
      <w:r w:rsidRPr="00B93EE1">
        <w:t xml:space="preserve">Under the Government Industry Agreement for Biosecurity Readiness and Response (GIA), New Zealand maintains a collaborative framework between the </w:t>
      </w:r>
      <w:proofErr w:type="spellStart"/>
      <w:r w:rsidRPr="00B93EE1">
        <w:t>MPI</w:t>
      </w:r>
      <w:proofErr w:type="spellEnd"/>
      <w:r w:rsidRPr="00B93EE1">
        <w:t xml:space="preserve"> and industries (including all major horticultural, aquaculture, and livestock sector groups) for improving New Zealand's biosecurity. GIA participants co-invest to better manage pests and diseases that could damage New Zealand's primary industries, economy, and environment.</w:t>
      </w:r>
      <w:r w:rsidRPr="00B93EE1">
        <w:rPr>
          <w:vertAlign w:val="superscript"/>
        </w:rPr>
        <w:footnoteReference w:id="205"/>
      </w:r>
      <w:r w:rsidRPr="00B93EE1">
        <w:t xml:space="preserve"> Food Standards Australia New Zealand (</w:t>
      </w:r>
      <w:proofErr w:type="spellStart"/>
      <w:r w:rsidRPr="00B93EE1">
        <w:t>FSANZ</w:t>
      </w:r>
      <w:proofErr w:type="spellEnd"/>
      <w:r w:rsidRPr="00B93EE1">
        <w:t>) is responsible for setting food standards that govern the content and labelling of foods sold in both New Zealand and Australia.</w:t>
      </w:r>
    </w:p>
    <w:p w14:paraId="235DE84A" w14:textId="77777777" w:rsidR="00120717" w:rsidRPr="00F64A35" w:rsidRDefault="00120717" w:rsidP="008851C2">
      <w:pPr>
        <w:pStyle w:val="BodyText"/>
      </w:pPr>
      <w:r w:rsidRPr="00B93EE1">
        <w:t>All domestically produced and imported foods, and animal and plant products must comply with all aspects of the relevant acts and standards codes in New Zealand.</w:t>
      </w:r>
    </w:p>
    <w:p w14:paraId="64A526BD" w14:textId="77777777" w:rsidR="00120717" w:rsidRPr="00F64A35" w:rsidRDefault="00120717" w:rsidP="005E5ED6">
      <w:pPr>
        <w:pStyle w:val="Heading4"/>
      </w:pPr>
      <w:bookmarkStart w:id="153" w:name="_Toc97800162"/>
      <w:r w:rsidRPr="00B93EE1">
        <w:t>Food products</w:t>
      </w:r>
      <w:bookmarkEnd w:id="153"/>
    </w:p>
    <w:p w14:paraId="2ECC01EB" w14:textId="77777777" w:rsidR="00120717" w:rsidRPr="00F64A35" w:rsidRDefault="00120717" w:rsidP="008851C2">
      <w:pPr>
        <w:pStyle w:val="BodyText"/>
      </w:pPr>
      <w:r w:rsidRPr="00B93EE1">
        <w:t xml:space="preserve">Food standards relating to labelling and composition are adopted in the context of the Joint Food Standards. These Standards consist of a common set of food composition and labelling rules developed by </w:t>
      </w:r>
      <w:proofErr w:type="spellStart"/>
      <w:r w:rsidRPr="00B93EE1">
        <w:t>FSANZ</w:t>
      </w:r>
      <w:proofErr w:type="spellEnd"/>
      <w:r w:rsidRPr="00B93EE1">
        <w:rPr>
          <w:vertAlign w:val="superscript"/>
        </w:rPr>
        <w:footnoteReference w:id="206"/>
      </w:r>
      <w:r w:rsidRPr="00B93EE1">
        <w:t xml:space="preserve"> and are adopted in both Australia and New Zealand. In addition, New Zealand has specific food requirements outside the scope of the joint system. These include rules on maximum residue limits for agricultural compounds in food; food hygiene and food safety provisions, including those for high-risk imported foods; details of materials permitted to be added to or used to produce food packaging materials; and export requirements relating to destination markets other than Australia. These standards set general safety and production requirements that </w:t>
      </w:r>
      <w:r w:rsidRPr="00B93EE1">
        <w:rPr>
          <w:bCs/>
        </w:rPr>
        <w:t>must</w:t>
      </w:r>
      <w:r w:rsidRPr="00B93EE1">
        <w:t xml:space="preserve"> be met by food products. The Importing Food Notice (described below) sets additional requirements for imported foods that require clearance for entry into New Zealand.</w:t>
      </w:r>
    </w:p>
    <w:p w14:paraId="6372655E" w14:textId="77777777" w:rsidR="00120717" w:rsidRPr="00F64A35" w:rsidRDefault="00120717" w:rsidP="008851C2">
      <w:pPr>
        <w:pStyle w:val="BodyText"/>
      </w:pPr>
      <w:r w:rsidRPr="00B93EE1">
        <w:t xml:space="preserve">The Food Act 2014, which replaced the Food Act 1981, was fully implemented between 2016 and 2019, and aims to, </w:t>
      </w:r>
      <w:r w:rsidRPr="00B93EE1">
        <w:rPr>
          <w:i/>
          <w:iCs/>
        </w:rPr>
        <w:t>inter alia</w:t>
      </w:r>
      <w:r w:rsidRPr="00B93EE1">
        <w:t>, provide an efficient, effective, and risk-based food safety regulatory regime that places the primary duty of persons who trade in food to ensure that it is safe and suitable. Under the Act and its relevant regulations, businesses that represent higher risk, from a food safety point of view, will operate under more stringent food safety requirements and are more frequently checked than lower risk food businesses. The Act itself sets out food sectors according to the risks posed by food, and the risk-based measure that applies. As such, it introduces, Food Control Plans (</w:t>
      </w:r>
      <w:proofErr w:type="spellStart"/>
      <w:r w:rsidRPr="00B93EE1">
        <w:t>FCPs</w:t>
      </w:r>
      <w:proofErr w:type="spellEnd"/>
      <w:r w:rsidRPr="00B93EE1">
        <w:t xml:space="preserve">) for higher risk activities and National Programmes for lower risk activities. New Zealand Food Safety, a new unit created in 2018 within the </w:t>
      </w:r>
      <w:proofErr w:type="spellStart"/>
      <w:r w:rsidRPr="00B93EE1">
        <w:t>MPI</w:t>
      </w:r>
      <w:proofErr w:type="spellEnd"/>
      <w:r w:rsidRPr="00B93EE1">
        <w:t>, and responsible for overseeing the food safety system, has developed a tool to help work out the food safety rules that apply to a given business or food activity</w:t>
      </w:r>
      <w:r w:rsidRPr="00B93EE1">
        <w:rPr>
          <w:bCs/>
        </w:rPr>
        <w:t>.</w:t>
      </w:r>
      <w:r w:rsidRPr="00B93EE1">
        <w:t xml:space="preserve"> On completing the questions posed in the tool, a food business operator can print the plan or programme that applies to its business or activities.</w:t>
      </w:r>
      <w:r w:rsidRPr="00B93EE1">
        <w:rPr>
          <w:rStyle w:val="FootnoteReference"/>
        </w:rPr>
        <w:footnoteReference w:id="207"/>
      </w:r>
    </w:p>
    <w:p w14:paraId="36A7AE8D" w14:textId="77777777" w:rsidR="00120717" w:rsidRPr="00F64A35" w:rsidRDefault="00120717" w:rsidP="008851C2">
      <w:pPr>
        <w:pStyle w:val="BodyText"/>
      </w:pPr>
      <w:r w:rsidRPr="00B93EE1">
        <w:t>In addition to the relevant provisions under the Food Act 2014, including the requirement to meet the Australia New Zealand Food Standards Code, imported and domestically produced foods must also meet applicable requirements under the Biosecurity Act 1993, the Animal Products Act 1999, the Agricultural Compounds and Veterinary Medicines Act 1997, the Wine Act 2003, and the Fair</w:t>
      </w:r>
      <w:r w:rsidRPr="00B93EE1">
        <w:noBreakHyphen/>
        <w:t>Trading Act 1986.</w:t>
      </w:r>
    </w:p>
    <w:p w14:paraId="59E0242C" w14:textId="1113A3BC" w:rsidR="00120717" w:rsidRPr="00F64A35" w:rsidRDefault="00120717" w:rsidP="008851C2">
      <w:pPr>
        <w:pStyle w:val="BodyText"/>
      </w:pPr>
      <w:r w:rsidRPr="00B93EE1">
        <w:t xml:space="preserve">Pursuant to the Food Act 2014, the </w:t>
      </w:r>
      <w:proofErr w:type="spellStart"/>
      <w:r w:rsidRPr="00B93EE1">
        <w:t>MPI</w:t>
      </w:r>
      <w:proofErr w:type="spellEnd"/>
      <w:r w:rsidRPr="00B93EE1">
        <w:t xml:space="preserve"> uses a risk-based approach for managing the safety of imported foods. Imported foods are categorized according to the level of risk they present to the New Zealand consumer, in accordance with Food Regulations 2015 (the implementing regulations of the Food Act 2014). Foods that present an increased risk to human health are referred to as High Regulatory Interest (</w:t>
      </w:r>
      <w:proofErr w:type="spellStart"/>
      <w:r w:rsidRPr="00B93EE1">
        <w:t>HRI</w:t>
      </w:r>
      <w:proofErr w:type="spellEnd"/>
      <w:r w:rsidRPr="00B93EE1">
        <w:t>) foods and always require food safety clearance. Foods for which there is uncertainty or concern about the risk they present to human health are called foods of Increased Regulatory Interest (</w:t>
      </w:r>
      <w:proofErr w:type="spellStart"/>
      <w:r w:rsidRPr="00B93EE1">
        <w:t>IRI</w:t>
      </w:r>
      <w:proofErr w:type="spellEnd"/>
      <w:r w:rsidRPr="00B93EE1">
        <w:t xml:space="preserve">). Some </w:t>
      </w:r>
      <w:proofErr w:type="spellStart"/>
      <w:r w:rsidRPr="00B93EE1">
        <w:t>IRI</w:t>
      </w:r>
      <w:proofErr w:type="spellEnd"/>
      <w:r w:rsidRPr="00B93EE1">
        <w:t xml:space="preserve"> foods require food safety clearance. An Importing Food Notice </w:t>
      </w:r>
      <w:r w:rsidRPr="00B93EE1">
        <w:lastRenderedPageBreak/>
        <w:t xml:space="preserve">is published on the </w:t>
      </w:r>
      <w:proofErr w:type="spellStart"/>
      <w:r w:rsidRPr="00B93EE1">
        <w:t>MPI</w:t>
      </w:r>
      <w:proofErr w:type="spellEnd"/>
      <w:r w:rsidRPr="00B93EE1">
        <w:t xml:space="preserve"> website and updated as required.</w:t>
      </w:r>
      <w:r w:rsidRPr="00B93EE1">
        <w:rPr>
          <w:vertAlign w:val="superscript"/>
        </w:rPr>
        <w:footnoteReference w:id="208"/>
      </w:r>
      <w:r w:rsidRPr="00B93EE1">
        <w:t xml:space="preserve"> According to the authorities, imported </w:t>
      </w:r>
      <w:proofErr w:type="spellStart"/>
      <w:r w:rsidRPr="00B93EE1">
        <w:t>HRI</w:t>
      </w:r>
      <w:proofErr w:type="spellEnd"/>
      <w:r w:rsidRPr="00B93EE1">
        <w:t xml:space="preserve"> or </w:t>
      </w:r>
      <w:proofErr w:type="spellStart"/>
      <w:r w:rsidRPr="00B93EE1">
        <w:t>IRI</w:t>
      </w:r>
      <w:proofErr w:type="spellEnd"/>
      <w:r w:rsidRPr="00B93EE1">
        <w:t xml:space="preserve"> foods are categorized based on a systematic and science-based process that involves the evaluation of the associated food safety risks and selection of appropriate risk management measures for managing any significant risks identified. Foods that require food safety clearance are listed in Schedules 1 (</w:t>
      </w:r>
      <w:proofErr w:type="spellStart"/>
      <w:r w:rsidRPr="00B93EE1">
        <w:t>HRI</w:t>
      </w:r>
      <w:proofErr w:type="spellEnd"/>
      <w:r w:rsidRPr="00B93EE1">
        <w:t xml:space="preserve"> foods) and 2 (</w:t>
      </w:r>
      <w:proofErr w:type="spellStart"/>
      <w:r w:rsidRPr="00B93EE1">
        <w:t>IRI</w:t>
      </w:r>
      <w:proofErr w:type="spellEnd"/>
      <w:r w:rsidRPr="00B93EE1">
        <w:t xml:space="preserve"> foods) </w:t>
      </w:r>
      <w:r w:rsidRPr="00A326E4">
        <w:t>(</w:t>
      </w:r>
      <w:r w:rsidRPr="00D20DEF">
        <w:t>Table</w:t>
      </w:r>
      <w:r w:rsidR="00A326E4">
        <w:t>s</w:t>
      </w:r>
      <w:r w:rsidRPr="00D20DEF">
        <w:t> 3.1</w:t>
      </w:r>
      <w:r w:rsidR="00A326E4" w:rsidRPr="00D20DEF">
        <w:t>1</w:t>
      </w:r>
      <w:r w:rsidRPr="00D20DEF">
        <w:t xml:space="preserve"> </w:t>
      </w:r>
      <w:r w:rsidR="00A326E4">
        <w:t xml:space="preserve">and </w:t>
      </w:r>
      <w:r w:rsidRPr="00D20DEF">
        <w:t>Table 3.</w:t>
      </w:r>
      <w:r w:rsidR="00A326E4" w:rsidRPr="00D20DEF">
        <w:t>1</w:t>
      </w:r>
      <w:r w:rsidRPr="00D20DEF">
        <w:t>2</w:t>
      </w:r>
      <w:r w:rsidRPr="00A326E4">
        <w:t>).</w:t>
      </w:r>
      <w:r w:rsidRPr="00B93EE1">
        <w:t xml:space="preserve"> When imported food is required to be tested, the testing must be completed by an approved laboratory. The approved laboratories are listed in Schedule 3 of the Importing Food Notice.</w:t>
      </w:r>
    </w:p>
    <w:p w14:paraId="06D89ABB" w14:textId="4B837333" w:rsidR="00120717" w:rsidRPr="00B93EE1" w:rsidRDefault="00D37A97" w:rsidP="00D37A97">
      <w:pPr>
        <w:pStyle w:val="Caption"/>
      </w:pPr>
      <w:bookmarkStart w:id="154" w:name="_Toc97793397"/>
      <w:r>
        <w:t xml:space="preserve">Table </w:t>
      </w:r>
      <w:r w:rsidR="0012793B">
        <w:fldChar w:fldCharType="begin"/>
      </w:r>
      <w:r w:rsidR="0012793B">
        <w:instrText xml:space="preserve"> 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11</w:t>
      </w:r>
      <w:r w:rsidR="0012793B">
        <w:rPr>
          <w:noProof/>
        </w:rPr>
        <w:fldChar w:fldCharType="end"/>
      </w:r>
      <w:r>
        <w:t xml:space="preserve"> </w:t>
      </w:r>
      <w:r w:rsidR="00120717" w:rsidRPr="00A326E4">
        <w:t>Food of High Regulatory Interest</w:t>
      </w:r>
      <w:bookmarkEnd w:id="154"/>
    </w:p>
    <w:tbl>
      <w:tblPr>
        <w:tblStyle w:val="WTOTable111"/>
        <w:tblW w:w="5000" w:type="pct"/>
        <w:tblCellMar>
          <w:left w:w="57" w:type="dxa"/>
          <w:right w:w="57" w:type="dxa"/>
        </w:tblCellMar>
        <w:tblLook w:val="01E0" w:firstRow="1" w:lastRow="1" w:firstColumn="1" w:lastColumn="1" w:noHBand="0" w:noVBand="0"/>
      </w:tblPr>
      <w:tblGrid>
        <w:gridCol w:w="1668"/>
        <w:gridCol w:w="1899"/>
        <w:gridCol w:w="2577"/>
        <w:gridCol w:w="2872"/>
      </w:tblGrid>
      <w:tr w:rsidR="00120717" w:rsidRPr="00B93EE1" w14:paraId="11EFF506" w14:textId="77777777" w:rsidTr="00811A7B">
        <w:trPr>
          <w:cnfStyle w:val="100000000000" w:firstRow="1" w:lastRow="0" w:firstColumn="0" w:lastColumn="0" w:oddVBand="0" w:evenVBand="0" w:oddHBand="0" w:evenHBand="0" w:firstRowFirstColumn="0" w:firstRowLastColumn="0" w:lastRowFirstColumn="0" w:lastRowLastColumn="0"/>
          <w:cantSplit/>
          <w:tblHeader/>
        </w:trPr>
        <w:tc>
          <w:tcPr>
            <w:tcW w:w="1977" w:type="pct"/>
            <w:gridSpan w:val="2"/>
            <w:tcBorders>
              <w:bottom w:val="nil"/>
            </w:tcBorders>
            <w:vAlign w:val="center"/>
          </w:tcPr>
          <w:p w14:paraId="3EB4BD3E"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Column A: Food</w:t>
            </w:r>
          </w:p>
        </w:tc>
        <w:tc>
          <w:tcPr>
            <w:tcW w:w="1429" w:type="pct"/>
            <w:tcBorders>
              <w:bottom w:val="nil"/>
            </w:tcBorders>
            <w:vAlign w:val="center"/>
          </w:tcPr>
          <w:p w14:paraId="36CCCE0A"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Column D:</w:t>
            </w:r>
          </w:p>
          <w:p w14:paraId="6A09194A"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Country or geographic region of export</w:t>
            </w:r>
          </w:p>
        </w:tc>
        <w:tc>
          <w:tcPr>
            <w:tcW w:w="1594" w:type="pct"/>
            <w:tcBorders>
              <w:bottom w:val="nil"/>
            </w:tcBorders>
            <w:vAlign w:val="center"/>
          </w:tcPr>
          <w:p w14:paraId="7A1C2CE8"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Column E:</w:t>
            </w:r>
          </w:p>
          <w:p w14:paraId="25F3B83E"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Evidence required</w:t>
            </w:r>
          </w:p>
        </w:tc>
      </w:tr>
      <w:tr w:rsidR="00120717" w:rsidRPr="00B93EE1" w14:paraId="6BEDA976" w14:textId="77777777" w:rsidTr="00811A7B">
        <w:trPr>
          <w:cnfStyle w:val="000000100000" w:firstRow="0" w:lastRow="0" w:firstColumn="0" w:lastColumn="0" w:oddVBand="0" w:evenVBand="0" w:oddHBand="1" w:evenHBand="0" w:firstRowFirstColumn="0" w:firstRowLastColumn="0" w:lastRowFirstColumn="0" w:lastRowLastColumn="0"/>
          <w:cantSplit/>
        </w:trPr>
        <w:tc>
          <w:tcPr>
            <w:tcW w:w="1977" w:type="pct"/>
            <w:gridSpan w:val="2"/>
            <w:tcBorders>
              <w:top w:val="nil"/>
              <w:bottom w:val="single" w:sz="4" w:space="0" w:color="auto"/>
            </w:tcBorders>
          </w:tcPr>
          <w:p w14:paraId="3D979A22"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Dairy:</w:t>
            </w:r>
          </w:p>
          <w:p w14:paraId="7C00D19B" w14:textId="77777777" w:rsidR="00120717" w:rsidRPr="00B93EE1" w:rsidRDefault="00120717" w:rsidP="00811A7B">
            <w:pPr>
              <w:widowControl w:val="0"/>
              <w:autoSpaceDE w:val="0"/>
              <w:autoSpaceDN w:val="0"/>
              <w:jc w:val="left"/>
              <w:rPr>
                <w:rFonts w:eastAsia="Arial Narrow" w:cs="Arial Narrow"/>
                <w:b/>
                <w:sz w:val="15"/>
                <w:szCs w:val="15"/>
              </w:rPr>
            </w:pPr>
          </w:p>
          <w:p w14:paraId="46761D8C"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Raw milk products</w:t>
            </w:r>
          </w:p>
        </w:tc>
        <w:tc>
          <w:tcPr>
            <w:tcW w:w="1429" w:type="pct"/>
            <w:tcBorders>
              <w:top w:val="nil"/>
              <w:bottom w:val="single" w:sz="4" w:space="0" w:color="auto"/>
            </w:tcBorders>
          </w:tcPr>
          <w:p w14:paraId="3C584F9D" w14:textId="77777777" w:rsidR="00120717" w:rsidRPr="00B93EE1" w:rsidRDefault="00120717" w:rsidP="00E962FF">
            <w:pPr>
              <w:widowControl w:val="0"/>
              <w:numPr>
                <w:ilvl w:val="0"/>
                <w:numId w:val="18"/>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European Union</w:t>
            </w:r>
          </w:p>
          <w:p w14:paraId="22F30604" w14:textId="77777777" w:rsidR="00120717" w:rsidRPr="00B93EE1" w:rsidRDefault="00120717" w:rsidP="00E962FF">
            <w:pPr>
              <w:widowControl w:val="0"/>
              <w:numPr>
                <w:ilvl w:val="0"/>
                <w:numId w:val="18"/>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United Kingdom</w:t>
            </w:r>
          </w:p>
          <w:p w14:paraId="603A81F8" w14:textId="77777777" w:rsidR="00120717" w:rsidRPr="00B93EE1" w:rsidRDefault="00120717" w:rsidP="00E962FF">
            <w:pPr>
              <w:widowControl w:val="0"/>
              <w:numPr>
                <w:ilvl w:val="0"/>
                <w:numId w:val="18"/>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Switzerland</w:t>
            </w:r>
          </w:p>
        </w:tc>
        <w:tc>
          <w:tcPr>
            <w:tcW w:w="1594" w:type="pct"/>
            <w:tcBorders>
              <w:top w:val="nil"/>
              <w:bottom w:val="single" w:sz="4" w:space="0" w:color="auto"/>
            </w:tcBorders>
          </w:tcPr>
          <w:p w14:paraId="3F9901FA"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Official Certificate</w:t>
            </w:r>
          </w:p>
        </w:tc>
      </w:tr>
      <w:tr w:rsidR="00120717" w:rsidRPr="00B93EE1" w14:paraId="54F01F8B" w14:textId="77777777" w:rsidTr="00811A7B">
        <w:trPr>
          <w:cnfStyle w:val="000000010000" w:firstRow="0" w:lastRow="0" w:firstColumn="0" w:lastColumn="0" w:oddVBand="0" w:evenVBand="0" w:oddHBand="0" w:evenHBand="1" w:firstRowFirstColumn="0" w:firstRowLastColumn="0" w:lastRowFirstColumn="0" w:lastRowLastColumn="0"/>
          <w:cantSplit/>
        </w:trPr>
        <w:tc>
          <w:tcPr>
            <w:tcW w:w="1977" w:type="pct"/>
            <w:gridSpan w:val="2"/>
            <w:vMerge w:val="restart"/>
            <w:tcBorders>
              <w:top w:val="single" w:sz="4" w:space="0" w:color="auto"/>
              <w:bottom w:val="single" w:sz="4" w:space="0" w:color="auto"/>
            </w:tcBorders>
          </w:tcPr>
          <w:p w14:paraId="178B0550"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Dairy:</w:t>
            </w:r>
          </w:p>
          <w:p w14:paraId="4B5781D6" w14:textId="77777777" w:rsidR="00120717" w:rsidRPr="00B93EE1" w:rsidRDefault="00120717" w:rsidP="00811A7B">
            <w:pPr>
              <w:widowControl w:val="0"/>
              <w:autoSpaceDE w:val="0"/>
              <w:autoSpaceDN w:val="0"/>
              <w:jc w:val="left"/>
              <w:rPr>
                <w:rFonts w:eastAsia="Arial Narrow" w:cs="Arial Narrow"/>
                <w:b/>
                <w:sz w:val="15"/>
                <w:szCs w:val="15"/>
              </w:rPr>
            </w:pPr>
          </w:p>
          <w:p w14:paraId="771CDC49"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Fresh cheese, curd cheese and soft cheese (pasteurized)</w:t>
            </w:r>
          </w:p>
        </w:tc>
        <w:tc>
          <w:tcPr>
            <w:tcW w:w="1429" w:type="pct"/>
            <w:tcBorders>
              <w:top w:val="single" w:sz="4" w:space="0" w:color="auto"/>
              <w:bottom w:val="single" w:sz="4" w:space="0" w:color="auto"/>
            </w:tcBorders>
          </w:tcPr>
          <w:p w14:paraId="293BCBCA" w14:textId="77777777" w:rsidR="00120717" w:rsidRPr="00B93EE1" w:rsidRDefault="00120717" w:rsidP="00E962FF">
            <w:pPr>
              <w:widowControl w:val="0"/>
              <w:numPr>
                <w:ilvl w:val="0"/>
                <w:numId w:val="17"/>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European Union</w:t>
            </w:r>
          </w:p>
          <w:p w14:paraId="7605D42E" w14:textId="77777777" w:rsidR="00120717" w:rsidRPr="00B93EE1" w:rsidRDefault="00120717" w:rsidP="00E962FF">
            <w:pPr>
              <w:widowControl w:val="0"/>
              <w:numPr>
                <w:ilvl w:val="0"/>
                <w:numId w:val="17"/>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United Kingdom</w:t>
            </w:r>
          </w:p>
          <w:p w14:paraId="58A9D3B5" w14:textId="77777777" w:rsidR="00120717" w:rsidRPr="00B93EE1" w:rsidRDefault="00120717" w:rsidP="00E962FF">
            <w:pPr>
              <w:widowControl w:val="0"/>
              <w:numPr>
                <w:ilvl w:val="0"/>
                <w:numId w:val="17"/>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Norway</w:t>
            </w:r>
          </w:p>
        </w:tc>
        <w:tc>
          <w:tcPr>
            <w:tcW w:w="1594" w:type="pct"/>
            <w:tcBorders>
              <w:top w:val="single" w:sz="4" w:space="0" w:color="auto"/>
              <w:bottom w:val="single" w:sz="4" w:space="0" w:color="auto"/>
            </w:tcBorders>
          </w:tcPr>
          <w:p w14:paraId="062BAF48"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Official Certificate or Sample and Test</w:t>
            </w:r>
          </w:p>
        </w:tc>
      </w:tr>
      <w:tr w:rsidR="00120717" w:rsidRPr="00B93EE1" w14:paraId="4B4A7B63" w14:textId="77777777" w:rsidTr="00811A7B">
        <w:trPr>
          <w:cnfStyle w:val="000000100000" w:firstRow="0" w:lastRow="0" w:firstColumn="0" w:lastColumn="0" w:oddVBand="0" w:evenVBand="0" w:oddHBand="1" w:evenHBand="0" w:firstRowFirstColumn="0" w:firstRowLastColumn="0" w:lastRowFirstColumn="0" w:lastRowLastColumn="0"/>
          <w:cantSplit/>
        </w:trPr>
        <w:tc>
          <w:tcPr>
            <w:tcW w:w="1977" w:type="pct"/>
            <w:gridSpan w:val="2"/>
            <w:vMerge/>
            <w:tcBorders>
              <w:top w:val="single" w:sz="4" w:space="0" w:color="auto"/>
              <w:bottom w:val="single" w:sz="4" w:space="0" w:color="auto"/>
            </w:tcBorders>
            <w:shd w:val="clear" w:color="auto" w:fill="C9DED4"/>
          </w:tcPr>
          <w:p w14:paraId="1AF6EECA" w14:textId="77777777" w:rsidR="00120717" w:rsidRPr="00B93EE1" w:rsidRDefault="00120717" w:rsidP="00811A7B">
            <w:pPr>
              <w:widowControl w:val="0"/>
              <w:autoSpaceDE w:val="0"/>
              <w:autoSpaceDN w:val="0"/>
              <w:jc w:val="left"/>
              <w:rPr>
                <w:rFonts w:eastAsia="Arial Narrow" w:cs="Arial Narrow"/>
                <w:sz w:val="15"/>
                <w:szCs w:val="15"/>
              </w:rPr>
            </w:pPr>
          </w:p>
        </w:tc>
        <w:tc>
          <w:tcPr>
            <w:tcW w:w="1429" w:type="pct"/>
            <w:tcBorders>
              <w:top w:val="single" w:sz="4" w:space="0" w:color="auto"/>
              <w:bottom w:val="single" w:sz="4" w:space="0" w:color="auto"/>
            </w:tcBorders>
            <w:shd w:val="clear" w:color="auto" w:fill="C9DED4"/>
          </w:tcPr>
          <w:p w14:paraId="0E338651"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All other countries</w:t>
            </w:r>
          </w:p>
        </w:tc>
        <w:tc>
          <w:tcPr>
            <w:tcW w:w="1594" w:type="pct"/>
            <w:tcBorders>
              <w:top w:val="single" w:sz="4" w:space="0" w:color="auto"/>
              <w:bottom w:val="single" w:sz="4" w:space="0" w:color="auto"/>
            </w:tcBorders>
            <w:shd w:val="clear" w:color="auto" w:fill="C9DED4"/>
          </w:tcPr>
          <w:p w14:paraId="69B4771D"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Sample and Test</w:t>
            </w:r>
          </w:p>
        </w:tc>
      </w:tr>
      <w:tr w:rsidR="00120717" w:rsidRPr="00B93EE1" w14:paraId="057551CD" w14:textId="77777777" w:rsidTr="00811A7B">
        <w:trPr>
          <w:cnfStyle w:val="000000010000" w:firstRow="0" w:lastRow="0" w:firstColumn="0" w:lastColumn="0" w:oddVBand="0" w:evenVBand="0" w:oddHBand="0" w:evenHBand="1" w:firstRowFirstColumn="0" w:firstRowLastColumn="0" w:lastRowFirstColumn="0" w:lastRowLastColumn="0"/>
          <w:cantSplit/>
        </w:trPr>
        <w:tc>
          <w:tcPr>
            <w:tcW w:w="1977" w:type="pct"/>
            <w:gridSpan w:val="2"/>
            <w:vMerge w:val="restart"/>
            <w:tcBorders>
              <w:top w:val="single" w:sz="4" w:space="0" w:color="auto"/>
              <w:bottom w:val="single" w:sz="4" w:space="0" w:color="auto"/>
            </w:tcBorders>
            <w:shd w:val="clear" w:color="auto" w:fill="auto"/>
          </w:tcPr>
          <w:p w14:paraId="036C555E"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Fish:</w:t>
            </w:r>
          </w:p>
          <w:p w14:paraId="6E13A6CD" w14:textId="77777777" w:rsidR="00120717" w:rsidRPr="00B93EE1" w:rsidRDefault="00120717" w:rsidP="00811A7B">
            <w:pPr>
              <w:widowControl w:val="0"/>
              <w:autoSpaceDE w:val="0"/>
              <w:autoSpaceDN w:val="0"/>
              <w:jc w:val="left"/>
              <w:rPr>
                <w:rFonts w:eastAsia="Arial Narrow" w:cs="Arial Narrow"/>
                <w:b/>
                <w:sz w:val="15"/>
                <w:szCs w:val="15"/>
              </w:rPr>
            </w:pPr>
          </w:p>
          <w:p w14:paraId="02F2F466"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Histamine susceptible fish and fish products</w:t>
            </w:r>
          </w:p>
        </w:tc>
        <w:tc>
          <w:tcPr>
            <w:tcW w:w="1429" w:type="pct"/>
            <w:tcBorders>
              <w:top w:val="single" w:sz="4" w:space="0" w:color="auto"/>
              <w:bottom w:val="single" w:sz="4" w:space="0" w:color="auto"/>
            </w:tcBorders>
            <w:shd w:val="clear" w:color="auto" w:fill="auto"/>
          </w:tcPr>
          <w:p w14:paraId="3D968C27" w14:textId="77777777" w:rsidR="00120717" w:rsidRPr="00B93EE1" w:rsidRDefault="00120717" w:rsidP="00E962FF">
            <w:pPr>
              <w:widowControl w:val="0"/>
              <w:numPr>
                <w:ilvl w:val="0"/>
                <w:numId w:val="16"/>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Canada</w:t>
            </w:r>
          </w:p>
          <w:p w14:paraId="538B7642" w14:textId="77777777" w:rsidR="00120717" w:rsidRPr="00B93EE1" w:rsidRDefault="00120717" w:rsidP="00E962FF">
            <w:pPr>
              <w:widowControl w:val="0"/>
              <w:numPr>
                <w:ilvl w:val="0"/>
                <w:numId w:val="16"/>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European Union</w:t>
            </w:r>
          </w:p>
          <w:p w14:paraId="28449466" w14:textId="77777777" w:rsidR="00120717" w:rsidRPr="00B93EE1" w:rsidRDefault="00120717" w:rsidP="00E962FF">
            <w:pPr>
              <w:widowControl w:val="0"/>
              <w:numPr>
                <w:ilvl w:val="0"/>
                <w:numId w:val="16"/>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United Kingdom</w:t>
            </w:r>
          </w:p>
          <w:p w14:paraId="69FDDF66" w14:textId="77777777" w:rsidR="00120717" w:rsidRPr="00B93EE1" w:rsidRDefault="00120717" w:rsidP="00E962FF">
            <w:pPr>
              <w:widowControl w:val="0"/>
              <w:numPr>
                <w:ilvl w:val="0"/>
                <w:numId w:val="16"/>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Norway</w:t>
            </w:r>
          </w:p>
          <w:p w14:paraId="4B703DCC" w14:textId="77777777" w:rsidR="00120717" w:rsidRPr="00B93EE1" w:rsidRDefault="00120717" w:rsidP="00E962FF">
            <w:pPr>
              <w:widowControl w:val="0"/>
              <w:numPr>
                <w:ilvl w:val="0"/>
                <w:numId w:val="16"/>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Thailand</w:t>
            </w:r>
          </w:p>
        </w:tc>
        <w:tc>
          <w:tcPr>
            <w:tcW w:w="1594" w:type="pct"/>
            <w:tcBorders>
              <w:top w:val="single" w:sz="4" w:space="0" w:color="auto"/>
              <w:bottom w:val="single" w:sz="4" w:space="0" w:color="auto"/>
            </w:tcBorders>
            <w:shd w:val="clear" w:color="auto" w:fill="auto"/>
          </w:tcPr>
          <w:p w14:paraId="2BFF8A9C"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Official Certificate or Sample and Test</w:t>
            </w:r>
          </w:p>
        </w:tc>
      </w:tr>
      <w:tr w:rsidR="00120717" w:rsidRPr="00B93EE1" w14:paraId="33654859" w14:textId="77777777" w:rsidTr="00811A7B">
        <w:trPr>
          <w:cnfStyle w:val="000000100000" w:firstRow="0" w:lastRow="0" w:firstColumn="0" w:lastColumn="0" w:oddVBand="0" w:evenVBand="0" w:oddHBand="1" w:evenHBand="0" w:firstRowFirstColumn="0" w:firstRowLastColumn="0" w:lastRowFirstColumn="0" w:lastRowLastColumn="0"/>
          <w:cantSplit/>
        </w:trPr>
        <w:tc>
          <w:tcPr>
            <w:tcW w:w="1977" w:type="pct"/>
            <w:gridSpan w:val="2"/>
            <w:vMerge/>
            <w:tcBorders>
              <w:top w:val="single" w:sz="4" w:space="0" w:color="auto"/>
              <w:bottom w:val="single" w:sz="4" w:space="0" w:color="auto"/>
            </w:tcBorders>
            <w:shd w:val="clear" w:color="auto" w:fill="auto"/>
          </w:tcPr>
          <w:p w14:paraId="00CFD1C2" w14:textId="77777777" w:rsidR="00120717" w:rsidRPr="00B93EE1" w:rsidRDefault="00120717" w:rsidP="00811A7B">
            <w:pPr>
              <w:widowControl w:val="0"/>
              <w:autoSpaceDE w:val="0"/>
              <w:autoSpaceDN w:val="0"/>
              <w:jc w:val="left"/>
              <w:rPr>
                <w:rFonts w:eastAsia="Arial Narrow" w:cs="Arial Narrow"/>
                <w:sz w:val="15"/>
                <w:szCs w:val="15"/>
              </w:rPr>
            </w:pPr>
          </w:p>
        </w:tc>
        <w:tc>
          <w:tcPr>
            <w:tcW w:w="1429" w:type="pct"/>
            <w:tcBorders>
              <w:top w:val="single" w:sz="4" w:space="0" w:color="auto"/>
              <w:bottom w:val="single" w:sz="4" w:space="0" w:color="auto"/>
            </w:tcBorders>
            <w:shd w:val="clear" w:color="auto" w:fill="auto"/>
          </w:tcPr>
          <w:p w14:paraId="3FAEC05D"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All other countries</w:t>
            </w:r>
          </w:p>
        </w:tc>
        <w:tc>
          <w:tcPr>
            <w:tcW w:w="1594" w:type="pct"/>
            <w:tcBorders>
              <w:top w:val="single" w:sz="4" w:space="0" w:color="auto"/>
              <w:bottom w:val="single" w:sz="4" w:space="0" w:color="auto"/>
            </w:tcBorders>
            <w:shd w:val="clear" w:color="auto" w:fill="auto"/>
          </w:tcPr>
          <w:p w14:paraId="2E16952A"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Sample and Test</w:t>
            </w:r>
          </w:p>
        </w:tc>
      </w:tr>
      <w:tr w:rsidR="00120717" w:rsidRPr="00B93EE1" w14:paraId="3D16B552" w14:textId="77777777" w:rsidTr="00811A7B">
        <w:trPr>
          <w:cnfStyle w:val="000000010000" w:firstRow="0" w:lastRow="0" w:firstColumn="0" w:lastColumn="0" w:oddVBand="0" w:evenVBand="0" w:oddHBand="0" w:evenHBand="1" w:firstRowFirstColumn="0" w:firstRowLastColumn="0" w:lastRowFirstColumn="0" w:lastRowLastColumn="0"/>
          <w:cantSplit/>
        </w:trPr>
        <w:tc>
          <w:tcPr>
            <w:tcW w:w="1977" w:type="pct"/>
            <w:gridSpan w:val="2"/>
            <w:tcBorders>
              <w:top w:val="single" w:sz="4" w:space="0" w:color="auto"/>
              <w:bottom w:val="single" w:sz="4" w:space="0" w:color="auto"/>
            </w:tcBorders>
          </w:tcPr>
          <w:p w14:paraId="4F953AE0"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 xml:space="preserve">Fish: </w:t>
            </w:r>
          </w:p>
          <w:p w14:paraId="2B007439" w14:textId="77777777" w:rsidR="00120717" w:rsidRPr="00B93EE1" w:rsidRDefault="00120717" w:rsidP="00811A7B">
            <w:pPr>
              <w:widowControl w:val="0"/>
              <w:autoSpaceDE w:val="0"/>
              <w:autoSpaceDN w:val="0"/>
              <w:jc w:val="left"/>
              <w:rPr>
                <w:rFonts w:eastAsia="Arial Narrow" w:cs="Arial Narrow"/>
                <w:b/>
                <w:sz w:val="15"/>
                <w:szCs w:val="15"/>
              </w:rPr>
            </w:pPr>
          </w:p>
          <w:p w14:paraId="4B77882C"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Puffer fish</w:t>
            </w:r>
          </w:p>
        </w:tc>
        <w:tc>
          <w:tcPr>
            <w:tcW w:w="1429" w:type="pct"/>
            <w:tcBorders>
              <w:top w:val="single" w:sz="4" w:space="0" w:color="auto"/>
              <w:bottom w:val="single" w:sz="4" w:space="0" w:color="auto"/>
            </w:tcBorders>
          </w:tcPr>
          <w:p w14:paraId="43AFD52E"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Korea, Rep. of</w:t>
            </w:r>
          </w:p>
        </w:tc>
        <w:tc>
          <w:tcPr>
            <w:tcW w:w="1594" w:type="pct"/>
            <w:tcBorders>
              <w:top w:val="single" w:sz="4" w:space="0" w:color="auto"/>
              <w:bottom w:val="single" w:sz="4" w:space="0" w:color="auto"/>
            </w:tcBorders>
          </w:tcPr>
          <w:p w14:paraId="4B920D58"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Official Certificate</w:t>
            </w:r>
          </w:p>
        </w:tc>
      </w:tr>
      <w:tr w:rsidR="00120717" w:rsidRPr="00B93EE1" w14:paraId="607F962D" w14:textId="77777777" w:rsidTr="00811A7B">
        <w:trPr>
          <w:cnfStyle w:val="000000100000" w:firstRow="0" w:lastRow="0" w:firstColumn="0" w:lastColumn="0" w:oddVBand="0" w:evenVBand="0" w:oddHBand="1" w:evenHBand="0" w:firstRowFirstColumn="0" w:firstRowLastColumn="0" w:lastRowFirstColumn="0" w:lastRowLastColumn="0"/>
          <w:cantSplit/>
        </w:trPr>
        <w:tc>
          <w:tcPr>
            <w:tcW w:w="1977" w:type="pct"/>
            <w:gridSpan w:val="2"/>
            <w:vMerge w:val="restart"/>
            <w:tcBorders>
              <w:top w:val="single" w:sz="4" w:space="0" w:color="auto"/>
              <w:bottom w:val="nil"/>
            </w:tcBorders>
          </w:tcPr>
          <w:p w14:paraId="2B36E827" w14:textId="77777777" w:rsidR="00120717" w:rsidRPr="00B93EE1" w:rsidRDefault="00120717" w:rsidP="00332ACF">
            <w:pPr>
              <w:keepNext/>
              <w:keepLines/>
              <w:widowControl w:val="0"/>
              <w:autoSpaceDE w:val="0"/>
              <w:autoSpaceDN w:val="0"/>
              <w:jc w:val="left"/>
              <w:rPr>
                <w:rFonts w:eastAsia="Arial Narrow" w:cs="Arial Narrow"/>
                <w:b/>
                <w:sz w:val="15"/>
                <w:szCs w:val="15"/>
              </w:rPr>
            </w:pPr>
            <w:r w:rsidRPr="00B93EE1">
              <w:rPr>
                <w:rFonts w:eastAsia="Arial Narrow" w:cs="Arial Narrow"/>
                <w:b/>
                <w:sz w:val="15"/>
                <w:szCs w:val="15"/>
              </w:rPr>
              <w:t>Fish:</w:t>
            </w:r>
          </w:p>
          <w:p w14:paraId="7474E014" w14:textId="77777777" w:rsidR="00120717" w:rsidRPr="00B93EE1" w:rsidRDefault="00120717" w:rsidP="00332ACF">
            <w:pPr>
              <w:keepNext/>
              <w:keepLines/>
              <w:widowControl w:val="0"/>
              <w:autoSpaceDE w:val="0"/>
              <w:autoSpaceDN w:val="0"/>
              <w:jc w:val="left"/>
              <w:rPr>
                <w:rFonts w:eastAsia="Arial Narrow" w:cs="Arial Narrow"/>
                <w:b/>
                <w:sz w:val="15"/>
                <w:szCs w:val="15"/>
              </w:rPr>
            </w:pPr>
          </w:p>
          <w:p w14:paraId="42C55D25" w14:textId="77777777" w:rsidR="00120717" w:rsidRPr="00B93EE1" w:rsidRDefault="00120717" w:rsidP="00332ACF">
            <w:pPr>
              <w:keepNext/>
              <w:keepLines/>
              <w:widowControl w:val="0"/>
              <w:autoSpaceDE w:val="0"/>
              <w:autoSpaceDN w:val="0"/>
              <w:jc w:val="left"/>
              <w:rPr>
                <w:rFonts w:eastAsia="Arial Narrow" w:cs="Arial Narrow"/>
                <w:b/>
                <w:sz w:val="15"/>
                <w:szCs w:val="15"/>
              </w:rPr>
            </w:pPr>
            <w:r w:rsidRPr="00B93EE1">
              <w:rPr>
                <w:rFonts w:eastAsia="Arial Narrow" w:cs="Arial Narrow"/>
                <w:b/>
                <w:sz w:val="15"/>
                <w:szCs w:val="15"/>
              </w:rPr>
              <w:t>Ready to Eat (RTE) smoked fish and smoke flavoured fish (chilled)</w:t>
            </w:r>
          </w:p>
        </w:tc>
        <w:tc>
          <w:tcPr>
            <w:tcW w:w="1429" w:type="pct"/>
            <w:tcBorders>
              <w:top w:val="single" w:sz="4" w:space="0" w:color="auto"/>
              <w:bottom w:val="single" w:sz="4" w:space="0" w:color="auto"/>
            </w:tcBorders>
          </w:tcPr>
          <w:p w14:paraId="28933447" w14:textId="77777777" w:rsidR="00120717" w:rsidRPr="00B93EE1" w:rsidRDefault="00120717" w:rsidP="00E962FF">
            <w:pPr>
              <w:keepNext/>
              <w:keepLines/>
              <w:widowControl w:val="0"/>
              <w:numPr>
                <w:ilvl w:val="0"/>
                <w:numId w:val="15"/>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Canada</w:t>
            </w:r>
          </w:p>
          <w:p w14:paraId="3249477C" w14:textId="77777777" w:rsidR="00120717" w:rsidRPr="00B93EE1" w:rsidRDefault="00120717" w:rsidP="00E962FF">
            <w:pPr>
              <w:keepNext/>
              <w:keepLines/>
              <w:widowControl w:val="0"/>
              <w:numPr>
                <w:ilvl w:val="0"/>
                <w:numId w:val="15"/>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European Union</w:t>
            </w:r>
          </w:p>
          <w:p w14:paraId="404822A9" w14:textId="77777777" w:rsidR="00120717" w:rsidRPr="00B93EE1" w:rsidRDefault="00120717" w:rsidP="00E962FF">
            <w:pPr>
              <w:keepNext/>
              <w:keepLines/>
              <w:widowControl w:val="0"/>
              <w:numPr>
                <w:ilvl w:val="0"/>
                <w:numId w:val="15"/>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United Kingdom</w:t>
            </w:r>
          </w:p>
          <w:p w14:paraId="2A66733B" w14:textId="77777777" w:rsidR="00120717" w:rsidRPr="00B93EE1" w:rsidRDefault="00120717" w:rsidP="00E962FF">
            <w:pPr>
              <w:keepNext/>
              <w:keepLines/>
              <w:widowControl w:val="0"/>
              <w:numPr>
                <w:ilvl w:val="0"/>
                <w:numId w:val="15"/>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Thailand</w:t>
            </w:r>
          </w:p>
        </w:tc>
        <w:tc>
          <w:tcPr>
            <w:tcW w:w="1594" w:type="pct"/>
            <w:tcBorders>
              <w:top w:val="single" w:sz="4" w:space="0" w:color="auto"/>
              <w:bottom w:val="single" w:sz="4" w:space="0" w:color="auto"/>
            </w:tcBorders>
          </w:tcPr>
          <w:p w14:paraId="375F5D00" w14:textId="77777777" w:rsidR="00120717" w:rsidRPr="00B93EE1" w:rsidRDefault="00120717" w:rsidP="00332ACF">
            <w:pPr>
              <w:keepNext/>
              <w:keepLines/>
              <w:widowControl w:val="0"/>
              <w:autoSpaceDE w:val="0"/>
              <w:autoSpaceDN w:val="0"/>
              <w:jc w:val="left"/>
              <w:rPr>
                <w:rFonts w:eastAsia="Arial Narrow" w:cs="Arial Narrow"/>
                <w:sz w:val="15"/>
                <w:szCs w:val="15"/>
              </w:rPr>
            </w:pPr>
            <w:r w:rsidRPr="00B93EE1">
              <w:rPr>
                <w:rFonts w:eastAsia="Arial Narrow" w:cs="Arial Narrow"/>
                <w:sz w:val="15"/>
                <w:szCs w:val="15"/>
              </w:rPr>
              <w:t>Official Certificate or Sample and</w:t>
            </w:r>
            <w:r w:rsidRPr="00B93EE1">
              <w:rPr>
                <w:rFonts w:eastAsia="Arial Narrow" w:cs="Arial Narrow"/>
                <w:spacing w:val="-8"/>
                <w:sz w:val="15"/>
                <w:szCs w:val="15"/>
              </w:rPr>
              <w:t xml:space="preserve"> </w:t>
            </w:r>
            <w:r w:rsidRPr="00B93EE1">
              <w:rPr>
                <w:rFonts w:eastAsia="Arial Narrow" w:cs="Arial Narrow"/>
                <w:sz w:val="15"/>
                <w:szCs w:val="15"/>
              </w:rPr>
              <w:t>Test</w:t>
            </w:r>
          </w:p>
        </w:tc>
      </w:tr>
      <w:tr w:rsidR="00120717" w:rsidRPr="00B93EE1" w14:paraId="513E93DD" w14:textId="77777777" w:rsidTr="00811A7B">
        <w:trPr>
          <w:cnfStyle w:val="000000010000" w:firstRow="0" w:lastRow="0" w:firstColumn="0" w:lastColumn="0" w:oddVBand="0" w:evenVBand="0" w:oddHBand="0" w:evenHBand="1" w:firstRowFirstColumn="0" w:firstRowLastColumn="0" w:lastRowFirstColumn="0" w:lastRowLastColumn="0"/>
          <w:cantSplit/>
        </w:trPr>
        <w:tc>
          <w:tcPr>
            <w:tcW w:w="1977" w:type="pct"/>
            <w:gridSpan w:val="2"/>
            <w:vMerge/>
            <w:tcBorders>
              <w:top w:val="nil"/>
              <w:bottom w:val="single" w:sz="4" w:space="0" w:color="auto"/>
            </w:tcBorders>
          </w:tcPr>
          <w:p w14:paraId="19B119A3" w14:textId="77777777" w:rsidR="00120717" w:rsidRPr="00B93EE1" w:rsidRDefault="00120717" w:rsidP="00332ACF">
            <w:pPr>
              <w:keepNext/>
              <w:keepLines/>
              <w:widowControl w:val="0"/>
              <w:autoSpaceDE w:val="0"/>
              <w:autoSpaceDN w:val="0"/>
              <w:jc w:val="left"/>
              <w:rPr>
                <w:rFonts w:eastAsia="Arial Narrow" w:cs="Arial Narrow"/>
                <w:sz w:val="15"/>
                <w:szCs w:val="15"/>
              </w:rPr>
            </w:pPr>
          </w:p>
        </w:tc>
        <w:tc>
          <w:tcPr>
            <w:tcW w:w="1429" w:type="pct"/>
            <w:tcBorders>
              <w:top w:val="single" w:sz="4" w:space="0" w:color="auto"/>
              <w:bottom w:val="single" w:sz="4" w:space="0" w:color="auto"/>
            </w:tcBorders>
            <w:shd w:val="clear" w:color="auto" w:fill="FFFFFF" w:themeFill="background1"/>
          </w:tcPr>
          <w:p w14:paraId="3A313B29" w14:textId="77777777" w:rsidR="00120717" w:rsidRPr="00B93EE1" w:rsidRDefault="00120717" w:rsidP="00332ACF">
            <w:pPr>
              <w:keepNext/>
              <w:keepLines/>
              <w:widowControl w:val="0"/>
              <w:autoSpaceDE w:val="0"/>
              <w:autoSpaceDN w:val="0"/>
              <w:jc w:val="left"/>
              <w:rPr>
                <w:rFonts w:eastAsia="Arial Narrow" w:cs="Arial Narrow"/>
                <w:sz w:val="15"/>
                <w:szCs w:val="15"/>
              </w:rPr>
            </w:pPr>
            <w:r w:rsidRPr="00B93EE1">
              <w:rPr>
                <w:rFonts w:eastAsia="Arial Narrow" w:cs="Arial Narrow"/>
                <w:sz w:val="15"/>
                <w:szCs w:val="15"/>
              </w:rPr>
              <w:t>All other countries</w:t>
            </w:r>
          </w:p>
        </w:tc>
        <w:tc>
          <w:tcPr>
            <w:tcW w:w="1594" w:type="pct"/>
            <w:tcBorders>
              <w:top w:val="single" w:sz="4" w:space="0" w:color="auto"/>
              <w:bottom w:val="single" w:sz="4" w:space="0" w:color="auto"/>
            </w:tcBorders>
            <w:shd w:val="clear" w:color="auto" w:fill="FFFFFF" w:themeFill="background1"/>
          </w:tcPr>
          <w:p w14:paraId="0DB76F89" w14:textId="77777777" w:rsidR="00120717" w:rsidRPr="00B93EE1" w:rsidRDefault="00120717" w:rsidP="00332ACF">
            <w:pPr>
              <w:keepNext/>
              <w:keepLines/>
              <w:widowControl w:val="0"/>
              <w:autoSpaceDE w:val="0"/>
              <w:autoSpaceDN w:val="0"/>
              <w:jc w:val="left"/>
              <w:rPr>
                <w:rFonts w:eastAsia="Arial Narrow" w:cs="Arial Narrow"/>
                <w:sz w:val="15"/>
                <w:szCs w:val="15"/>
              </w:rPr>
            </w:pPr>
            <w:r w:rsidRPr="00B93EE1">
              <w:rPr>
                <w:rFonts w:eastAsia="Arial Narrow" w:cs="Arial Narrow"/>
                <w:sz w:val="15"/>
                <w:szCs w:val="15"/>
              </w:rPr>
              <w:t>Sample and Test</w:t>
            </w:r>
          </w:p>
        </w:tc>
      </w:tr>
      <w:tr w:rsidR="00120717" w:rsidRPr="00B93EE1" w14:paraId="069AB1BF" w14:textId="77777777" w:rsidTr="00811A7B">
        <w:trPr>
          <w:cnfStyle w:val="000000100000" w:firstRow="0" w:lastRow="0" w:firstColumn="0" w:lastColumn="0" w:oddVBand="0" w:evenVBand="0" w:oddHBand="1" w:evenHBand="0" w:firstRowFirstColumn="0" w:firstRowLastColumn="0" w:lastRowFirstColumn="0" w:lastRowLastColumn="0"/>
          <w:cantSplit/>
        </w:trPr>
        <w:tc>
          <w:tcPr>
            <w:tcW w:w="1977" w:type="pct"/>
            <w:gridSpan w:val="2"/>
            <w:vMerge w:val="restart"/>
            <w:tcBorders>
              <w:top w:val="single" w:sz="4" w:space="0" w:color="auto"/>
              <w:bottom w:val="nil"/>
            </w:tcBorders>
            <w:shd w:val="clear" w:color="auto" w:fill="C9DED4"/>
            <w:vAlign w:val="center"/>
          </w:tcPr>
          <w:p w14:paraId="68BB6EDB"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Meat:</w:t>
            </w:r>
          </w:p>
          <w:p w14:paraId="7998C523" w14:textId="77777777" w:rsidR="00120717" w:rsidRPr="00B93EE1" w:rsidRDefault="00120717" w:rsidP="00811A7B">
            <w:pPr>
              <w:widowControl w:val="0"/>
              <w:autoSpaceDE w:val="0"/>
              <w:autoSpaceDN w:val="0"/>
              <w:jc w:val="left"/>
              <w:rPr>
                <w:rFonts w:eastAsia="Arial Narrow" w:cs="Arial Narrow"/>
                <w:b/>
                <w:sz w:val="15"/>
                <w:szCs w:val="15"/>
              </w:rPr>
            </w:pPr>
          </w:p>
          <w:p w14:paraId="74CFBA09"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Bovine meat and products containing bovine meat</w:t>
            </w:r>
          </w:p>
        </w:tc>
        <w:tc>
          <w:tcPr>
            <w:tcW w:w="1429" w:type="pct"/>
            <w:tcBorders>
              <w:top w:val="single" w:sz="4" w:space="0" w:color="auto"/>
              <w:bottom w:val="single" w:sz="4" w:space="0" w:color="auto"/>
            </w:tcBorders>
            <w:shd w:val="clear" w:color="auto" w:fill="C9DED4"/>
          </w:tcPr>
          <w:p w14:paraId="6020E1E1"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color w:val="333333"/>
                <w:sz w:val="15"/>
                <w:szCs w:val="15"/>
              </w:rPr>
              <w:t>Australia</w:t>
            </w:r>
          </w:p>
        </w:tc>
        <w:tc>
          <w:tcPr>
            <w:tcW w:w="1594" w:type="pct"/>
            <w:tcBorders>
              <w:top w:val="single" w:sz="4" w:space="0" w:color="auto"/>
              <w:bottom w:val="single" w:sz="4" w:space="0" w:color="auto"/>
            </w:tcBorders>
            <w:shd w:val="clear" w:color="auto" w:fill="C9DED4"/>
          </w:tcPr>
          <w:p w14:paraId="68866341"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Manufacturers Declaration</w:t>
            </w:r>
          </w:p>
        </w:tc>
      </w:tr>
      <w:tr w:rsidR="00120717" w:rsidRPr="00B93EE1" w14:paraId="760C1F53" w14:textId="77777777" w:rsidTr="00811A7B">
        <w:trPr>
          <w:cnfStyle w:val="000000010000" w:firstRow="0" w:lastRow="0" w:firstColumn="0" w:lastColumn="0" w:oddVBand="0" w:evenVBand="0" w:oddHBand="0" w:evenHBand="1" w:firstRowFirstColumn="0" w:firstRowLastColumn="0" w:lastRowFirstColumn="0" w:lastRowLastColumn="0"/>
          <w:cantSplit/>
        </w:trPr>
        <w:tc>
          <w:tcPr>
            <w:tcW w:w="1977" w:type="pct"/>
            <w:gridSpan w:val="2"/>
            <w:vMerge/>
            <w:tcBorders>
              <w:top w:val="nil"/>
              <w:bottom w:val="nil"/>
            </w:tcBorders>
          </w:tcPr>
          <w:p w14:paraId="77A1ACE6" w14:textId="77777777" w:rsidR="00120717" w:rsidRPr="00B93EE1" w:rsidRDefault="00120717" w:rsidP="00811A7B">
            <w:pPr>
              <w:widowControl w:val="0"/>
              <w:autoSpaceDE w:val="0"/>
              <w:autoSpaceDN w:val="0"/>
              <w:jc w:val="left"/>
              <w:rPr>
                <w:rFonts w:eastAsia="Arial Narrow" w:cs="Arial Narrow"/>
                <w:sz w:val="15"/>
                <w:szCs w:val="15"/>
              </w:rPr>
            </w:pPr>
          </w:p>
        </w:tc>
        <w:tc>
          <w:tcPr>
            <w:tcW w:w="1429" w:type="pct"/>
            <w:tcBorders>
              <w:top w:val="single" w:sz="4" w:space="0" w:color="auto"/>
              <w:bottom w:val="single" w:sz="4" w:space="0" w:color="auto"/>
            </w:tcBorders>
          </w:tcPr>
          <w:p w14:paraId="1072DC75" w14:textId="77777777" w:rsidR="00120717" w:rsidRPr="00B93EE1" w:rsidRDefault="00120717" w:rsidP="00E962FF">
            <w:pPr>
              <w:widowControl w:val="0"/>
              <w:numPr>
                <w:ilvl w:val="0"/>
                <w:numId w:val="14"/>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Fiji</w:t>
            </w:r>
          </w:p>
          <w:p w14:paraId="2180335F" w14:textId="77777777" w:rsidR="00120717" w:rsidRPr="00B93EE1" w:rsidRDefault="00120717" w:rsidP="00E962FF">
            <w:pPr>
              <w:widowControl w:val="0"/>
              <w:numPr>
                <w:ilvl w:val="0"/>
                <w:numId w:val="14"/>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Thailand (NZ origin</w:t>
            </w:r>
            <w:r w:rsidRPr="00B93EE1">
              <w:rPr>
                <w:rFonts w:eastAsia="Arial Narrow" w:cs="Arial Narrow"/>
                <w:spacing w:val="-19"/>
                <w:sz w:val="15"/>
                <w:szCs w:val="15"/>
              </w:rPr>
              <w:t xml:space="preserve"> b</w:t>
            </w:r>
            <w:r w:rsidRPr="00B93EE1">
              <w:rPr>
                <w:rFonts w:eastAsia="Arial Narrow" w:cs="Arial Narrow"/>
                <w:sz w:val="15"/>
                <w:szCs w:val="15"/>
              </w:rPr>
              <w:t>eef only)</w:t>
            </w:r>
          </w:p>
        </w:tc>
        <w:tc>
          <w:tcPr>
            <w:tcW w:w="1594" w:type="pct"/>
            <w:tcBorders>
              <w:top w:val="single" w:sz="4" w:space="0" w:color="auto"/>
              <w:bottom w:val="single" w:sz="4" w:space="0" w:color="auto"/>
            </w:tcBorders>
          </w:tcPr>
          <w:p w14:paraId="4E3F8633"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Official Certificate</w:t>
            </w:r>
          </w:p>
        </w:tc>
      </w:tr>
      <w:tr w:rsidR="00120717" w:rsidRPr="00B93EE1" w14:paraId="09717165" w14:textId="77777777" w:rsidTr="00811A7B">
        <w:trPr>
          <w:cnfStyle w:val="000000100000" w:firstRow="0" w:lastRow="0" w:firstColumn="0" w:lastColumn="0" w:oddVBand="0" w:evenVBand="0" w:oddHBand="1" w:evenHBand="0" w:firstRowFirstColumn="0" w:firstRowLastColumn="0" w:lastRowFirstColumn="0" w:lastRowLastColumn="0"/>
          <w:cantSplit/>
        </w:trPr>
        <w:tc>
          <w:tcPr>
            <w:tcW w:w="1977" w:type="pct"/>
            <w:gridSpan w:val="2"/>
            <w:vMerge/>
            <w:tcBorders>
              <w:top w:val="nil"/>
              <w:bottom w:val="single" w:sz="4" w:space="0" w:color="auto"/>
            </w:tcBorders>
            <w:shd w:val="clear" w:color="auto" w:fill="C9DED4"/>
          </w:tcPr>
          <w:p w14:paraId="4A1ABA53" w14:textId="77777777" w:rsidR="00120717" w:rsidRPr="00B93EE1" w:rsidRDefault="00120717" w:rsidP="00811A7B">
            <w:pPr>
              <w:widowControl w:val="0"/>
              <w:autoSpaceDE w:val="0"/>
              <w:autoSpaceDN w:val="0"/>
              <w:jc w:val="left"/>
              <w:rPr>
                <w:rFonts w:eastAsia="Arial Narrow" w:cs="Arial Narrow"/>
                <w:sz w:val="15"/>
                <w:szCs w:val="15"/>
              </w:rPr>
            </w:pPr>
          </w:p>
        </w:tc>
        <w:tc>
          <w:tcPr>
            <w:tcW w:w="1429" w:type="pct"/>
            <w:tcBorders>
              <w:top w:val="single" w:sz="4" w:space="0" w:color="auto"/>
              <w:bottom w:val="single" w:sz="4" w:space="0" w:color="auto"/>
            </w:tcBorders>
            <w:shd w:val="clear" w:color="auto" w:fill="C9DED4"/>
          </w:tcPr>
          <w:p w14:paraId="7E6ACFB3" w14:textId="77777777" w:rsidR="00120717" w:rsidRPr="00B93EE1" w:rsidRDefault="00120717" w:rsidP="00E962FF">
            <w:pPr>
              <w:widowControl w:val="0"/>
              <w:numPr>
                <w:ilvl w:val="0"/>
                <w:numId w:val="14"/>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Brazil</w:t>
            </w:r>
          </w:p>
          <w:p w14:paraId="62AF0627" w14:textId="77777777" w:rsidR="00120717" w:rsidRPr="00B93EE1" w:rsidRDefault="00120717" w:rsidP="00E962FF">
            <w:pPr>
              <w:widowControl w:val="0"/>
              <w:numPr>
                <w:ilvl w:val="0"/>
                <w:numId w:val="14"/>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Canada</w:t>
            </w:r>
          </w:p>
          <w:p w14:paraId="6F8BF762" w14:textId="77777777" w:rsidR="00120717" w:rsidRPr="00B93EE1" w:rsidRDefault="00120717" w:rsidP="00E962FF">
            <w:pPr>
              <w:widowControl w:val="0"/>
              <w:numPr>
                <w:ilvl w:val="0"/>
                <w:numId w:val="14"/>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European Union</w:t>
            </w:r>
          </w:p>
          <w:p w14:paraId="679E560C" w14:textId="77777777" w:rsidR="00120717" w:rsidRPr="00B93EE1" w:rsidRDefault="00120717" w:rsidP="00E962FF">
            <w:pPr>
              <w:widowControl w:val="0"/>
              <w:numPr>
                <w:ilvl w:val="0"/>
                <w:numId w:val="14"/>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United Kingdom</w:t>
            </w:r>
          </w:p>
          <w:p w14:paraId="4057F67B" w14:textId="77777777" w:rsidR="00120717" w:rsidRPr="00B93EE1" w:rsidRDefault="00120717" w:rsidP="00E962FF">
            <w:pPr>
              <w:widowControl w:val="0"/>
              <w:numPr>
                <w:ilvl w:val="0"/>
                <w:numId w:val="14"/>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Japan</w:t>
            </w:r>
          </w:p>
          <w:p w14:paraId="0997AAA6" w14:textId="77777777" w:rsidR="00120717" w:rsidRPr="00B93EE1" w:rsidRDefault="00120717" w:rsidP="00E962FF">
            <w:pPr>
              <w:widowControl w:val="0"/>
              <w:numPr>
                <w:ilvl w:val="0"/>
                <w:numId w:val="14"/>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Mexico</w:t>
            </w:r>
          </w:p>
          <w:p w14:paraId="1A7A4D3E" w14:textId="77777777" w:rsidR="00120717" w:rsidRPr="00B93EE1" w:rsidRDefault="00120717" w:rsidP="00E962FF">
            <w:pPr>
              <w:widowControl w:val="0"/>
              <w:numPr>
                <w:ilvl w:val="0"/>
                <w:numId w:val="14"/>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United States</w:t>
            </w:r>
          </w:p>
          <w:p w14:paraId="60F1FA12" w14:textId="77777777" w:rsidR="00120717" w:rsidRPr="00B93EE1" w:rsidRDefault="00120717" w:rsidP="00E962FF">
            <w:pPr>
              <w:widowControl w:val="0"/>
              <w:numPr>
                <w:ilvl w:val="0"/>
                <w:numId w:val="14"/>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Vanuatu</w:t>
            </w:r>
          </w:p>
        </w:tc>
        <w:tc>
          <w:tcPr>
            <w:tcW w:w="1594" w:type="pct"/>
            <w:tcBorders>
              <w:top w:val="single" w:sz="4" w:space="0" w:color="auto"/>
              <w:bottom w:val="single" w:sz="4" w:space="0" w:color="auto"/>
            </w:tcBorders>
            <w:shd w:val="clear" w:color="auto" w:fill="C9DED4"/>
            <w:vAlign w:val="center"/>
          </w:tcPr>
          <w:p w14:paraId="3E13675F"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Official Certificate</w:t>
            </w:r>
          </w:p>
        </w:tc>
      </w:tr>
      <w:tr w:rsidR="00120717" w:rsidRPr="00B93EE1" w14:paraId="4A1FAF2B" w14:textId="77777777" w:rsidTr="00811A7B">
        <w:trPr>
          <w:cnfStyle w:val="000000010000" w:firstRow="0" w:lastRow="0" w:firstColumn="0" w:lastColumn="0" w:oddVBand="0" w:evenVBand="0" w:oddHBand="0" w:evenHBand="1" w:firstRowFirstColumn="0" w:firstRowLastColumn="0" w:lastRowFirstColumn="0" w:lastRowLastColumn="0"/>
          <w:cantSplit/>
        </w:trPr>
        <w:tc>
          <w:tcPr>
            <w:tcW w:w="1977" w:type="pct"/>
            <w:gridSpan w:val="2"/>
            <w:vMerge w:val="restart"/>
            <w:tcBorders>
              <w:top w:val="single" w:sz="4" w:space="0" w:color="auto"/>
              <w:bottom w:val="nil"/>
            </w:tcBorders>
            <w:shd w:val="clear" w:color="auto" w:fill="FFFFFF" w:themeFill="background1"/>
            <w:vAlign w:val="center"/>
          </w:tcPr>
          <w:p w14:paraId="6017E6E9"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Meat:</w:t>
            </w:r>
          </w:p>
          <w:p w14:paraId="100273D4" w14:textId="77777777" w:rsidR="00120717" w:rsidRPr="00B93EE1" w:rsidRDefault="00120717" w:rsidP="00811A7B">
            <w:pPr>
              <w:widowControl w:val="0"/>
              <w:autoSpaceDE w:val="0"/>
              <w:autoSpaceDN w:val="0"/>
              <w:jc w:val="left"/>
              <w:rPr>
                <w:rFonts w:eastAsia="Arial Narrow" w:cs="Arial Narrow"/>
                <w:b/>
                <w:sz w:val="15"/>
                <w:szCs w:val="15"/>
              </w:rPr>
            </w:pPr>
          </w:p>
          <w:p w14:paraId="4922572B"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Fermented meat products, meat paste and pâté</w:t>
            </w:r>
          </w:p>
        </w:tc>
        <w:tc>
          <w:tcPr>
            <w:tcW w:w="1429" w:type="pct"/>
            <w:tcBorders>
              <w:top w:val="single" w:sz="4" w:space="0" w:color="auto"/>
              <w:bottom w:val="single" w:sz="4" w:space="0" w:color="auto"/>
            </w:tcBorders>
            <w:shd w:val="clear" w:color="auto" w:fill="FFFFFF" w:themeFill="background1"/>
          </w:tcPr>
          <w:p w14:paraId="4576ED94" w14:textId="77777777" w:rsidR="00120717" w:rsidRPr="00B93EE1" w:rsidRDefault="00120717" w:rsidP="00E962FF">
            <w:pPr>
              <w:widowControl w:val="0"/>
              <w:numPr>
                <w:ilvl w:val="0"/>
                <w:numId w:val="13"/>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European Union</w:t>
            </w:r>
          </w:p>
          <w:p w14:paraId="7E852240" w14:textId="77777777" w:rsidR="00120717" w:rsidRPr="00B93EE1" w:rsidRDefault="00120717" w:rsidP="00E962FF">
            <w:pPr>
              <w:widowControl w:val="0"/>
              <w:numPr>
                <w:ilvl w:val="0"/>
                <w:numId w:val="13"/>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United Kingdom</w:t>
            </w:r>
          </w:p>
        </w:tc>
        <w:tc>
          <w:tcPr>
            <w:tcW w:w="1594" w:type="pct"/>
            <w:tcBorders>
              <w:top w:val="single" w:sz="4" w:space="0" w:color="auto"/>
              <w:bottom w:val="single" w:sz="4" w:space="0" w:color="auto"/>
            </w:tcBorders>
            <w:shd w:val="clear" w:color="auto" w:fill="FFFFFF" w:themeFill="background1"/>
          </w:tcPr>
          <w:p w14:paraId="547FE922"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Official Certificate or Sample and Test</w:t>
            </w:r>
          </w:p>
        </w:tc>
      </w:tr>
      <w:tr w:rsidR="00120717" w:rsidRPr="00B93EE1" w14:paraId="39A0AAC8" w14:textId="77777777" w:rsidTr="00D20DEF">
        <w:trPr>
          <w:cnfStyle w:val="000000100000" w:firstRow="0" w:lastRow="0" w:firstColumn="0" w:lastColumn="0" w:oddVBand="0" w:evenVBand="0" w:oddHBand="1" w:evenHBand="0" w:firstRowFirstColumn="0" w:firstRowLastColumn="0" w:lastRowFirstColumn="0" w:lastRowLastColumn="0"/>
          <w:cantSplit/>
        </w:trPr>
        <w:tc>
          <w:tcPr>
            <w:tcW w:w="1977" w:type="pct"/>
            <w:gridSpan w:val="2"/>
            <w:vMerge/>
            <w:tcBorders>
              <w:top w:val="nil"/>
              <w:bottom w:val="single" w:sz="4" w:space="0" w:color="auto"/>
            </w:tcBorders>
          </w:tcPr>
          <w:p w14:paraId="3C8FDB17" w14:textId="77777777" w:rsidR="00120717" w:rsidRPr="00B93EE1" w:rsidRDefault="00120717" w:rsidP="00811A7B">
            <w:pPr>
              <w:widowControl w:val="0"/>
              <w:autoSpaceDE w:val="0"/>
              <w:autoSpaceDN w:val="0"/>
              <w:jc w:val="left"/>
              <w:rPr>
                <w:rFonts w:eastAsia="Arial Narrow" w:cs="Arial Narrow"/>
                <w:sz w:val="15"/>
                <w:szCs w:val="15"/>
              </w:rPr>
            </w:pPr>
          </w:p>
        </w:tc>
        <w:tc>
          <w:tcPr>
            <w:tcW w:w="1429" w:type="pct"/>
            <w:tcBorders>
              <w:top w:val="single" w:sz="4" w:space="0" w:color="auto"/>
              <w:bottom w:val="single" w:sz="4" w:space="0" w:color="auto"/>
            </w:tcBorders>
          </w:tcPr>
          <w:p w14:paraId="75D4CC5B"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All other countries</w:t>
            </w:r>
          </w:p>
        </w:tc>
        <w:tc>
          <w:tcPr>
            <w:tcW w:w="1594" w:type="pct"/>
            <w:tcBorders>
              <w:top w:val="single" w:sz="4" w:space="0" w:color="auto"/>
              <w:bottom w:val="single" w:sz="4" w:space="0" w:color="auto"/>
            </w:tcBorders>
          </w:tcPr>
          <w:p w14:paraId="7FB0B870"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Sample and Test</w:t>
            </w:r>
          </w:p>
        </w:tc>
      </w:tr>
      <w:tr w:rsidR="00120717" w:rsidRPr="00B93EE1" w14:paraId="4AEDA61D" w14:textId="77777777" w:rsidTr="00D20DEF">
        <w:trPr>
          <w:cnfStyle w:val="000000010000" w:firstRow="0" w:lastRow="0" w:firstColumn="0" w:lastColumn="0" w:oddVBand="0" w:evenVBand="0" w:oddHBand="0" w:evenHBand="1" w:firstRowFirstColumn="0" w:firstRowLastColumn="0" w:lastRowFirstColumn="0" w:lastRowLastColumn="0"/>
          <w:cantSplit/>
        </w:trPr>
        <w:tc>
          <w:tcPr>
            <w:tcW w:w="1977" w:type="pct"/>
            <w:gridSpan w:val="2"/>
            <w:vMerge w:val="restart"/>
            <w:tcBorders>
              <w:top w:val="single" w:sz="4" w:space="0" w:color="auto"/>
              <w:bottom w:val="single" w:sz="4" w:space="0" w:color="auto"/>
            </w:tcBorders>
          </w:tcPr>
          <w:p w14:paraId="63C48B81"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Nuts and seeds:</w:t>
            </w:r>
          </w:p>
          <w:p w14:paraId="0628AD55" w14:textId="77777777" w:rsidR="00120717" w:rsidRPr="00B93EE1" w:rsidRDefault="00120717" w:rsidP="00811A7B">
            <w:pPr>
              <w:widowControl w:val="0"/>
              <w:autoSpaceDE w:val="0"/>
              <w:autoSpaceDN w:val="0"/>
              <w:jc w:val="left"/>
              <w:rPr>
                <w:rFonts w:eastAsia="Arial Narrow" w:cs="Arial Narrow"/>
                <w:b/>
                <w:sz w:val="15"/>
                <w:szCs w:val="15"/>
              </w:rPr>
            </w:pPr>
          </w:p>
          <w:p w14:paraId="618E44B5" w14:textId="095AA92A" w:rsidR="00D20DEF"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Peanuts, and pistachio nuts and their products (including peanut butter)</w:t>
            </w:r>
          </w:p>
        </w:tc>
        <w:tc>
          <w:tcPr>
            <w:tcW w:w="1429" w:type="pct"/>
            <w:tcBorders>
              <w:top w:val="single" w:sz="4" w:space="0" w:color="auto"/>
              <w:bottom w:val="single" w:sz="4" w:space="0" w:color="auto"/>
            </w:tcBorders>
          </w:tcPr>
          <w:p w14:paraId="29EEC1C0" w14:textId="77777777" w:rsidR="00120717" w:rsidRPr="00B93EE1" w:rsidRDefault="00120717" w:rsidP="00E962FF">
            <w:pPr>
              <w:widowControl w:val="0"/>
              <w:numPr>
                <w:ilvl w:val="0"/>
                <w:numId w:val="13"/>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China</w:t>
            </w:r>
          </w:p>
          <w:p w14:paraId="478BAF1A" w14:textId="77777777" w:rsidR="00120717" w:rsidRPr="00B93EE1" w:rsidRDefault="00120717" w:rsidP="00E962FF">
            <w:pPr>
              <w:widowControl w:val="0"/>
              <w:numPr>
                <w:ilvl w:val="0"/>
                <w:numId w:val="13"/>
              </w:numPr>
              <w:tabs>
                <w:tab w:val="left" w:pos="335"/>
              </w:tabs>
              <w:autoSpaceDE w:val="0"/>
              <w:autoSpaceDN w:val="0"/>
              <w:jc w:val="left"/>
              <w:rPr>
                <w:rFonts w:eastAsia="Arial Narrow" w:cs="Arial Narrow"/>
                <w:color w:val="333333"/>
                <w:sz w:val="15"/>
                <w:szCs w:val="15"/>
              </w:rPr>
            </w:pPr>
            <w:r w:rsidRPr="00B93EE1">
              <w:rPr>
                <w:rFonts w:eastAsia="Arial Narrow" w:cs="Arial Narrow"/>
                <w:sz w:val="15"/>
                <w:szCs w:val="15"/>
              </w:rPr>
              <w:t>United States</w:t>
            </w:r>
          </w:p>
        </w:tc>
        <w:tc>
          <w:tcPr>
            <w:tcW w:w="1594" w:type="pct"/>
            <w:tcBorders>
              <w:top w:val="single" w:sz="4" w:space="0" w:color="auto"/>
              <w:bottom w:val="single" w:sz="4" w:space="0" w:color="auto"/>
            </w:tcBorders>
          </w:tcPr>
          <w:p w14:paraId="54C955CE"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Official Certificate or Sample and Test</w:t>
            </w:r>
          </w:p>
        </w:tc>
      </w:tr>
      <w:tr w:rsidR="00120717" w:rsidRPr="00B93EE1" w14:paraId="758F0730" w14:textId="77777777" w:rsidTr="00D20DEF">
        <w:trPr>
          <w:cnfStyle w:val="000000100000" w:firstRow="0" w:lastRow="0" w:firstColumn="0" w:lastColumn="0" w:oddVBand="0" w:evenVBand="0" w:oddHBand="1" w:evenHBand="0" w:firstRowFirstColumn="0" w:firstRowLastColumn="0" w:lastRowFirstColumn="0" w:lastRowLastColumn="0"/>
          <w:cantSplit/>
        </w:trPr>
        <w:tc>
          <w:tcPr>
            <w:tcW w:w="1977" w:type="pct"/>
            <w:gridSpan w:val="2"/>
            <w:vMerge/>
            <w:tcBorders>
              <w:top w:val="nil"/>
              <w:bottom w:val="single" w:sz="4" w:space="0" w:color="auto"/>
            </w:tcBorders>
          </w:tcPr>
          <w:p w14:paraId="1A0A7E0E" w14:textId="77777777" w:rsidR="00120717" w:rsidRPr="00B93EE1" w:rsidRDefault="00120717" w:rsidP="00811A7B">
            <w:pPr>
              <w:widowControl w:val="0"/>
              <w:autoSpaceDE w:val="0"/>
              <w:autoSpaceDN w:val="0"/>
              <w:jc w:val="left"/>
              <w:rPr>
                <w:rFonts w:eastAsia="Arial Narrow" w:cs="Arial Narrow"/>
                <w:sz w:val="15"/>
                <w:szCs w:val="15"/>
              </w:rPr>
            </w:pPr>
          </w:p>
        </w:tc>
        <w:tc>
          <w:tcPr>
            <w:tcW w:w="1429" w:type="pct"/>
            <w:tcBorders>
              <w:top w:val="single" w:sz="4" w:space="0" w:color="auto"/>
              <w:bottom w:val="single" w:sz="4" w:space="0" w:color="auto"/>
            </w:tcBorders>
            <w:shd w:val="clear" w:color="auto" w:fill="C9DED4"/>
          </w:tcPr>
          <w:p w14:paraId="1F92988F"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All other countries</w:t>
            </w:r>
          </w:p>
        </w:tc>
        <w:tc>
          <w:tcPr>
            <w:tcW w:w="1594" w:type="pct"/>
            <w:tcBorders>
              <w:top w:val="single" w:sz="4" w:space="0" w:color="auto"/>
              <w:bottom w:val="single" w:sz="4" w:space="0" w:color="auto"/>
            </w:tcBorders>
            <w:shd w:val="clear" w:color="auto" w:fill="C9DED4"/>
          </w:tcPr>
          <w:p w14:paraId="55F365A3"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Sample and Test</w:t>
            </w:r>
          </w:p>
        </w:tc>
      </w:tr>
      <w:tr w:rsidR="00120717" w:rsidRPr="00B93EE1" w14:paraId="75FA40CF" w14:textId="77777777" w:rsidTr="00D20DEF">
        <w:trPr>
          <w:cnfStyle w:val="000000010000" w:firstRow="0" w:lastRow="0" w:firstColumn="0" w:lastColumn="0" w:oddVBand="0" w:evenVBand="0" w:oddHBand="0" w:evenHBand="1" w:firstRowFirstColumn="0" w:firstRowLastColumn="0" w:lastRowFirstColumn="0" w:lastRowLastColumn="0"/>
          <w:cantSplit/>
        </w:trPr>
        <w:tc>
          <w:tcPr>
            <w:tcW w:w="1977" w:type="pct"/>
            <w:gridSpan w:val="2"/>
            <w:tcBorders>
              <w:top w:val="single" w:sz="4" w:space="0" w:color="auto"/>
              <w:bottom w:val="single" w:sz="4" w:space="0" w:color="auto"/>
            </w:tcBorders>
            <w:shd w:val="clear" w:color="auto" w:fill="FFFFFF" w:themeFill="background1"/>
          </w:tcPr>
          <w:p w14:paraId="0B13A8A3"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lastRenderedPageBreak/>
              <w:t>Nuts and seeds:</w:t>
            </w:r>
          </w:p>
          <w:p w14:paraId="0C3933C9" w14:textId="77777777" w:rsidR="00120717" w:rsidRPr="00B93EE1" w:rsidRDefault="00120717" w:rsidP="00811A7B">
            <w:pPr>
              <w:widowControl w:val="0"/>
              <w:autoSpaceDE w:val="0"/>
              <w:autoSpaceDN w:val="0"/>
              <w:jc w:val="left"/>
              <w:rPr>
                <w:rFonts w:eastAsia="Arial Narrow" w:cs="Arial Narrow"/>
                <w:b/>
                <w:sz w:val="15"/>
                <w:szCs w:val="15"/>
              </w:rPr>
            </w:pPr>
          </w:p>
          <w:p w14:paraId="09844CD6"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Tahini and crushed sesame seeds and any products containing these</w:t>
            </w:r>
          </w:p>
        </w:tc>
        <w:tc>
          <w:tcPr>
            <w:tcW w:w="1429" w:type="pct"/>
            <w:tcBorders>
              <w:top w:val="single" w:sz="4" w:space="0" w:color="auto"/>
              <w:bottom w:val="single" w:sz="4" w:space="0" w:color="auto"/>
            </w:tcBorders>
            <w:shd w:val="clear" w:color="auto" w:fill="FFFFFF" w:themeFill="background1"/>
          </w:tcPr>
          <w:p w14:paraId="338464AA"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All countries</w:t>
            </w:r>
          </w:p>
        </w:tc>
        <w:tc>
          <w:tcPr>
            <w:tcW w:w="1594" w:type="pct"/>
            <w:tcBorders>
              <w:top w:val="single" w:sz="4" w:space="0" w:color="auto"/>
              <w:bottom w:val="single" w:sz="4" w:space="0" w:color="auto"/>
            </w:tcBorders>
            <w:shd w:val="clear" w:color="auto" w:fill="FFFFFF" w:themeFill="background1"/>
          </w:tcPr>
          <w:p w14:paraId="7916AD10"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Sample and Test</w:t>
            </w:r>
          </w:p>
        </w:tc>
      </w:tr>
      <w:tr w:rsidR="00120717" w:rsidRPr="00B93EE1" w14:paraId="3752261E" w14:textId="77777777" w:rsidTr="00811A7B">
        <w:trPr>
          <w:cnfStyle w:val="000000100000" w:firstRow="0" w:lastRow="0" w:firstColumn="0" w:lastColumn="0" w:oddVBand="0" w:evenVBand="0" w:oddHBand="1" w:evenHBand="0" w:firstRowFirstColumn="0" w:firstRowLastColumn="0" w:lastRowFirstColumn="0" w:lastRowLastColumn="0"/>
          <w:cantSplit/>
        </w:trPr>
        <w:tc>
          <w:tcPr>
            <w:tcW w:w="925" w:type="pct"/>
            <w:vMerge w:val="restart"/>
            <w:tcBorders>
              <w:top w:val="single" w:sz="4" w:space="0" w:color="auto"/>
              <w:bottom w:val="nil"/>
            </w:tcBorders>
            <w:shd w:val="clear" w:color="auto" w:fill="C9DED4"/>
            <w:vAlign w:val="center"/>
          </w:tcPr>
          <w:p w14:paraId="1C954B19" w14:textId="77777777" w:rsidR="00120717" w:rsidRPr="00B93EE1" w:rsidRDefault="00120717" w:rsidP="00811A7B">
            <w:pPr>
              <w:keepNext/>
              <w:widowControl w:val="0"/>
              <w:autoSpaceDE w:val="0"/>
              <w:autoSpaceDN w:val="0"/>
              <w:jc w:val="left"/>
              <w:rPr>
                <w:rFonts w:eastAsia="Arial Narrow" w:cs="Arial Narrow"/>
                <w:b/>
                <w:sz w:val="15"/>
                <w:szCs w:val="15"/>
                <w:shd w:val="clear" w:color="auto" w:fill="C9DED4"/>
              </w:rPr>
            </w:pPr>
            <w:r w:rsidRPr="00B93EE1">
              <w:rPr>
                <w:rFonts w:eastAsia="Arial Narrow" w:cs="Arial Narrow"/>
                <w:b/>
                <w:sz w:val="15"/>
                <w:szCs w:val="15"/>
                <w:shd w:val="clear" w:color="auto" w:fill="C9DED4"/>
              </w:rPr>
              <w:t xml:space="preserve">Seafood: </w:t>
            </w:r>
          </w:p>
          <w:p w14:paraId="266EC856" w14:textId="77777777" w:rsidR="00120717" w:rsidRPr="00B93EE1" w:rsidRDefault="00120717" w:rsidP="00811A7B">
            <w:pPr>
              <w:keepNext/>
              <w:widowControl w:val="0"/>
              <w:autoSpaceDE w:val="0"/>
              <w:autoSpaceDN w:val="0"/>
              <w:jc w:val="left"/>
              <w:rPr>
                <w:rFonts w:eastAsia="Arial Narrow" w:cs="Arial Narrow"/>
                <w:b/>
                <w:sz w:val="15"/>
                <w:szCs w:val="15"/>
                <w:shd w:val="clear" w:color="auto" w:fill="C9DED4"/>
              </w:rPr>
            </w:pPr>
          </w:p>
          <w:p w14:paraId="0308654F" w14:textId="77777777" w:rsidR="00120717" w:rsidRPr="00B93EE1" w:rsidRDefault="00120717" w:rsidP="00811A7B">
            <w:pPr>
              <w:keepNext/>
              <w:widowControl w:val="0"/>
              <w:autoSpaceDE w:val="0"/>
              <w:autoSpaceDN w:val="0"/>
              <w:jc w:val="left"/>
              <w:rPr>
                <w:rFonts w:eastAsia="Arial Narrow" w:cs="Arial Narrow"/>
                <w:b/>
                <w:sz w:val="15"/>
                <w:szCs w:val="15"/>
              </w:rPr>
            </w:pPr>
            <w:r w:rsidRPr="00B93EE1">
              <w:rPr>
                <w:rFonts w:eastAsia="Arial Narrow" w:cs="Arial Narrow"/>
                <w:b/>
                <w:sz w:val="15"/>
                <w:szCs w:val="15"/>
                <w:shd w:val="clear" w:color="auto" w:fill="C9DED4"/>
              </w:rPr>
              <w:t>Bivalve Molluscan Shellfish (BMS) and products containing BMS</w:t>
            </w:r>
          </w:p>
        </w:tc>
        <w:tc>
          <w:tcPr>
            <w:tcW w:w="1053" w:type="pct"/>
            <w:tcBorders>
              <w:top w:val="single" w:sz="4" w:space="0" w:color="auto"/>
              <w:bottom w:val="single" w:sz="4" w:space="0" w:color="auto"/>
            </w:tcBorders>
            <w:shd w:val="clear" w:color="auto" w:fill="C9DED4"/>
          </w:tcPr>
          <w:p w14:paraId="742347E9" w14:textId="77777777" w:rsidR="00120717" w:rsidRPr="00B93EE1" w:rsidRDefault="00120717" w:rsidP="00811A7B">
            <w:pPr>
              <w:keepNext/>
              <w:widowControl w:val="0"/>
              <w:autoSpaceDE w:val="0"/>
              <w:autoSpaceDN w:val="0"/>
              <w:jc w:val="left"/>
              <w:rPr>
                <w:rFonts w:eastAsia="Arial Narrow" w:cs="Arial Narrow"/>
                <w:b/>
                <w:sz w:val="15"/>
                <w:szCs w:val="15"/>
              </w:rPr>
            </w:pPr>
            <w:r w:rsidRPr="00B93EE1">
              <w:rPr>
                <w:rFonts w:eastAsia="Arial Narrow" w:cs="Arial Narrow"/>
                <w:b/>
                <w:sz w:val="15"/>
                <w:szCs w:val="15"/>
              </w:rPr>
              <w:t>Scallop meat – Whole adductor muscle with viscera and roe completely removed</w:t>
            </w:r>
          </w:p>
        </w:tc>
        <w:tc>
          <w:tcPr>
            <w:tcW w:w="1429" w:type="pct"/>
            <w:tcBorders>
              <w:top w:val="single" w:sz="4" w:space="0" w:color="auto"/>
              <w:bottom w:val="single" w:sz="4" w:space="0" w:color="auto"/>
            </w:tcBorders>
            <w:shd w:val="clear" w:color="auto" w:fill="C9DED4"/>
          </w:tcPr>
          <w:p w14:paraId="088AA90A" w14:textId="77777777" w:rsidR="00120717" w:rsidRPr="00B93EE1" w:rsidRDefault="00120717" w:rsidP="00811A7B">
            <w:pPr>
              <w:keepNext/>
              <w:widowControl w:val="0"/>
              <w:autoSpaceDE w:val="0"/>
              <w:autoSpaceDN w:val="0"/>
              <w:jc w:val="left"/>
              <w:rPr>
                <w:rFonts w:eastAsia="Arial Narrow" w:cs="Arial Narrow"/>
                <w:sz w:val="15"/>
                <w:szCs w:val="15"/>
              </w:rPr>
            </w:pPr>
            <w:r w:rsidRPr="00B93EE1">
              <w:rPr>
                <w:rFonts w:eastAsia="Arial Narrow" w:cs="Arial Narrow"/>
                <w:sz w:val="15"/>
                <w:szCs w:val="15"/>
              </w:rPr>
              <w:t>All countries</w:t>
            </w:r>
          </w:p>
        </w:tc>
        <w:tc>
          <w:tcPr>
            <w:tcW w:w="1594" w:type="pct"/>
            <w:tcBorders>
              <w:top w:val="single" w:sz="4" w:space="0" w:color="auto"/>
              <w:bottom w:val="single" w:sz="4" w:space="0" w:color="auto"/>
            </w:tcBorders>
            <w:shd w:val="clear" w:color="auto" w:fill="C9DED4"/>
          </w:tcPr>
          <w:p w14:paraId="4A83A4B2" w14:textId="77777777" w:rsidR="00120717" w:rsidRPr="00B93EE1" w:rsidRDefault="00120717" w:rsidP="00811A7B">
            <w:pPr>
              <w:keepNext/>
              <w:widowControl w:val="0"/>
              <w:autoSpaceDE w:val="0"/>
              <w:autoSpaceDN w:val="0"/>
              <w:jc w:val="left"/>
              <w:rPr>
                <w:rFonts w:eastAsia="Arial Narrow" w:cs="Arial Narrow"/>
                <w:sz w:val="15"/>
                <w:szCs w:val="15"/>
              </w:rPr>
            </w:pPr>
          </w:p>
        </w:tc>
      </w:tr>
      <w:tr w:rsidR="00120717" w:rsidRPr="00B93EE1" w14:paraId="52D4DE9E" w14:textId="77777777" w:rsidTr="00811A7B">
        <w:trPr>
          <w:cnfStyle w:val="000000010000" w:firstRow="0" w:lastRow="0" w:firstColumn="0" w:lastColumn="0" w:oddVBand="0" w:evenVBand="0" w:oddHBand="0" w:evenHBand="1" w:firstRowFirstColumn="0" w:firstRowLastColumn="0" w:lastRowFirstColumn="0" w:lastRowLastColumn="0"/>
          <w:cantSplit/>
        </w:trPr>
        <w:tc>
          <w:tcPr>
            <w:tcW w:w="925" w:type="pct"/>
            <w:vMerge/>
            <w:tcBorders>
              <w:top w:val="nil"/>
              <w:bottom w:val="nil"/>
            </w:tcBorders>
          </w:tcPr>
          <w:p w14:paraId="658D247D" w14:textId="77777777" w:rsidR="00120717" w:rsidRPr="00B93EE1" w:rsidRDefault="00120717" w:rsidP="00811A7B">
            <w:pPr>
              <w:widowControl w:val="0"/>
              <w:autoSpaceDE w:val="0"/>
              <w:autoSpaceDN w:val="0"/>
              <w:jc w:val="left"/>
              <w:rPr>
                <w:rFonts w:eastAsia="Arial Narrow" w:cs="Arial Narrow"/>
                <w:sz w:val="15"/>
                <w:szCs w:val="15"/>
              </w:rPr>
            </w:pPr>
          </w:p>
        </w:tc>
        <w:tc>
          <w:tcPr>
            <w:tcW w:w="1053" w:type="pct"/>
            <w:vMerge w:val="restart"/>
            <w:shd w:val="clear" w:color="auto" w:fill="FFFFFF" w:themeFill="background1"/>
            <w:vAlign w:val="center"/>
          </w:tcPr>
          <w:p w14:paraId="72BDB636" w14:textId="77777777" w:rsidR="00120717" w:rsidRPr="00B93EE1" w:rsidRDefault="00120717" w:rsidP="00811A7B">
            <w:pPr>
              <w:widowControl w:val="0"/>
              <w:autoSpaceDE w:val="0"/>
              <w:autoSpaceDN w:val="0"/>
              <w:jc w:val="left"/>
              <w:rPr>
                <w:rFonts w:eastAsia="Arial Narrow" w:cs="Arial Narrow"/>
                <w:b/>
                <w:sz w:val="15"/>
                <w:szCs w:val="15"/>
              </w:rPr>
            </w:pPr>
            <w:r w:rsidRPr="00B93EE1">
              <w:rPr>
                <w:rFonts w:eastAsia="Arial Narrow" w:cs="Arial Narrow"/>
                <w:b/>
                <w:sz w:val="15"/>
                <w:szCs w:val="15"/>
              </w:rPr>
              <w:t>All other BMS and products containing BMS</w:t>
            </w:r>
          </w:p>
        </w:tc>
        <w:tc>
          <w:tcPr>
            <w:tcW w:w="1429" w:type="pct"/>
            <w:tcBorders>
              <w:bottom w:val="single" w:sz="4" w:space="0" w:color="auto"/>
            </w:tcBorders>
            <w:shd w:val="clear" w:color="auto" w:fill="FFFFFF" w:themeFill="background1"/>
          </w:tcPr>
          <w:p w14:paraId="7304178C"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Australia</w:t>
            </w:r>
          </w:p>
          <w:p w14:paraId="7F083F48"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Canada</w:t>
            </w:r>
          </w:p>
          <w:p w14:paraId="7A709CDF"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Chile</w:t>
            </w:r>
          </w:p>
          <w:p w14:paraId="4D3F109F"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European Union</w:t>
            </w:r>
          </w:p>
          <w:p w14:paraId="076D761D"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United</w:t>
            </w:r>
            <w:r w:rsidRPr="00B93EE1">
              <w:rPr>
                <w:rFonts w:eastAsia="Arial Narrow" w:cs="Arial Narrow"/>
                <w:spacing w:val="-13"/>
                <w:sz w:val="15"/>
                <w:szCs w:val="15"/>
              </w:rPr>
              <w:t xml:space="preserve"> </w:t>
            </w:r>
            <w:r w:rsidRPr="00B93EE1">
              <w:rPr>
                <w:rFonts w:eastAsia="Arial Narrow" w:cs="Arial Narrow"/>
                <w:sz w:val="15"/>
                <w:szCs w:val="15"/>
              </w:rPr>
              <w:t>Kingdom</w:t>
            </w:r>
          </w:p>
          <w:p w14:paraId="0D58DB8E"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Japan</w:t>
            </w:r>
          </w:p>
          <w:p w14:paraId="24EB7FB9"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Korea, Rep. of</w:t>
            </w:r>
          </w:p>
          <w:p w14:paraId="798FAB54"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Peru</w:t>
            </w:r>
          </w:p>
          <w:p w14:paraId="17ACAE87"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Thailand</w:t>
            </w:r>
          </w:p>
          <w:p w14:paraId="56B03201"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Viet Nam</w:t>
            </w:r>
          </w:p>
        </w:tc>
        <w:tc>
          <w:tcPr>
            <w:tcW w:w="1594" w:type="pct"/>
            <w:tcBorders>
              <w:bottom w:val="single" w:sz="4" w:space="0" w:color="auto"/>
            </w:tcBorders>
            <w:shd w:val="clear" w:color="auto" w:fill="FFFFFF" w:themeFill="background1"/>
          </w:tcPr>
          <w:p w14:paraId="407B3CB6"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Official Certificate or Sample and Test</w:t>
            </w:r>
          </w:p>
        </w:tc>
      </w:tr>
      <w:tr w:rsidR="00120717" w:rsidRPr="00B93EE1" w14:paraId="282DCD8D" w14:textId="77777777" w:rsidTr="00811A7B">
        <w:trPr>
          <w:cnfStyle w:val="000000100000" w:firstRow="0" w:lastRow="0" w:firstColumn="0" w:lastColumn="0" w:oddVBand="0" w:evenVBand="0" w:oddHBand="1" w:evenHBand="0" w:firstRowFirstColumn="0" w:firstRowLastColumn="0" w:lastRowFirstColumn="0" w:lastRowLastColumn="0"/>
          <w:cantSplit/>
        </w:trPr>
        <w:tc>
          <w:tcPr>
            <w:tcW w:w="925" w:type="pct"/>
            <w:vMerge/>
            <w:tcBorders>
              <w:top w:val="nil"/>
              <w:bottom w:val="nil"/>
            </w:tcBorders>
            <w:shd w:val="clear" w:color="auto" w:fill="C9DED4"/>
          </w:tcPr>
          <w:p w14:paraId="4B6D3EB2" w14:textId="77777777" w:rsidR="00120717" w:rsidRPr="00B93EE1" w:rsidRDefault="00120717" w:rsidP="00811A7B">
            <w:pPr>
              <w:widowControl w:val="0"/>
              <w:autoSpaceDE w:val="0"/>
              <w:autoSpaceDN w:val="0"/>
              <w:jc w:val="left"/>
              <w:rPr>
                <w:rFonts w:eastAsia="Arial Narrow" w:cs="Arial Narrow"/>
                <w:sz w:val="15"/>
                <w:szCs w:val="15"/>
              </w:rPr>
            </w:pPr>
          </w:p>
        </w:tc>
        <w:tc>
          <w:tcPr>
            <w:tcW w:w="1053" w:type="pct"/>
            <w:vMerge/>
          </w:tcPr>
          <w:p w14:paraId="390B10B3" w14:textId="77777777" w:rsidR="00120717" w:rsidRPr="00B93EE1" w:rsidRDefault="00120717" w:rsidP="00811A7B">
            <w:pPr>
              <w:widowControl w:val="0"/>
              <w:autoSpaceDE w:val="0"/>
              <w:autoSpaceDN w:val="0"/>
              <w:jc w:val="left"/>
              <w:rPr>
                <w:rFonts w:eastAsia="Arial Narrow" w:cs="Arial Narrow"/>
                <w:sz w:val="15"/>
                <w:szCs w:val="15"/>
              </w:rPr>
            </w:pPr>
          </w:p>
        </w:tc>
        <w:tc>
          <w:tcPr>
            <w:tcW w:w="1429" w:type="pct"/>
            <w:tcBorders>
              <w:top w:val="single" w:sz="4" w:space="0" w:color="auto"/>
              <w:bottom w:val="single" w:sz="4" w:space="0" w:color="auto"/>
            </w:tcBorders>
          </w:tcPr>
          <w:p w14:paraId="788C7B4A"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United States</w:t>
            </w:r>
          </w:p>
        </w:tc>
        <w:tc>
          <w:tcPr>
            <w:tcW w:w="1594" w:type="pct"/>
            <w:tcBorders>
              <w:top w:val="single" w:sz="4" w:space="0" w:color="auto"/>
              <w:bottom w:val="single" w:sz="4" w:space="0" w:color="auto"/>
            </w:tcBorders>
          </w:tcPr>
          <w:p w14:paraId="4062C509"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Documented Evidence</w:t>
            </w:r>
          </w:p>
        </w:tc>
      </w:tr>
      <w:tr w:rsidR="00120717" w:rsidRPr="00B93EE1" w14:paraId="3743E862" w14:textId="77777777" w:rsidTr="00811A7B">
        <w:trPr>
          <w:cnfStyle w:val="000000010000" w:firstRow="0" w:lastRow="0" w:firstColumn="0" w:lastColumn="0" w:oddVBand="0" w:evenVBand="0" w:oddHBand="0" w:evenHBand="1" w:firstRowFirstColumn="0" w:firstRowLastColumn="0" w:lastRowFirstColumn="0" w:lastRowLastColumn="0"/>
          <w:cantSplit/>
        </w:trPr>
        <w:tc>
          <w:tcPr>
            <w:tcW w:w="925" w:type="pct"/>
            <w:vMerge/>
            <w:tcBorders>
              <w:top w:val="nil"/>
              <w:bottom w:val="single" w:sz="4" w:space="0" w:color="auto"/>
            </w:tcBorders>
          </w:tcPr>
          <w:p w14:paraId="0033678E" w14:textId="77777777" w:rsidR="00120717" w:rsidRPr="00B93EE1" w:rsidRDefault="00120717" w:rsidP="00811A7B">
            <w:pPr>
              <w:widowControl w:val="0"/>
              <w:autoSpaceDE w:val="0"/>
              <w:autoSpaceDN w:val="0"/>
              <w:jc w:val="left"/>
              <w:rPr>
                <w:rFonts w:eastAsia="Arial Narrow" w:cs="Arial Narrow"/>
                <w:sz w:val="15"/>
                <w:szCs w:val="15"/>
              </w:rPr>
            </w:pPr>
          </w:p>
        </w:tc>
        <w:tc>
          <w:tcPr>
            <w:tcW w:w="1053" w:type="pct"/>
            <w:vMerge/>
            <w:tcBorders>
              <w:bottom w:val="single" w:sz="4" w:space="0" w:color="auto"/>
            </w:tcBorders>
            <w:shd w:val="clear" w:color="auto" w:fill="FFFFFF" w:themeFill="background1"/>
          </w:tcPr>
          <w:p w14:paraId="4F185115" w14:textId="77777777" w:rsidR="00120717" w:rsidRPr="00B93EE1" w:rsidRDefault="00120717" w:rsidP="00811A7B">
            <w:pPr>
              <w:widowControl w:val="0"/>
              <w:autoSpaceDE w:val="0"/>
              <w:autoSpaceDN w:val="0"/>
              <w:jc w:val="left"/>
              <w:rPr>
                <w:rFonts w:eastAsia="Arial Narrow" w:cs="Arial Narrow"/>
                <w:sz w:val="15"/>
                <w:szCs w:val="15"/>
              </w:rPr>
            </w:pPr>
          </w:p>
        </w:tc>
        <w:tc>
          <w:tcPr>
            <w:tcW w:w="1429" w:type="pct"/>
            <w:tcBorders>
              <w:top w:val="single" w:sz="4" w:space="0" w:color="auto"/>
              <w:bottom w:val="single" w:sz="4" w:space="0" w:color="auto"/>
            </w:tcBorders>
            <w:shd w:val="clear" w:color="auto" w:fill="FFFFFF" w:themeFill="background1"/>
          </w:tcPr>
          <w:p w14:paraId="72EB69B2"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China</w:t>
            </w:r>
          </w:p>
        </w:tc>
        <w:tc>
          <w:tcPr>
            <w:tcW w:w="1594" w:type="pct"/>
            <w:tcBorders>
              <w:top w:val="single" w:sz="4" w:space="0" w:color="auto"/>
              <w:bottom w:val="single" w:sz="4" w:space="0" w:color="auto"/>
            </w:tcBorders>
            <w:shd w:val="clear" w:color="auto" w:fill="FFFFFF" w:themeFill="background1"/>
          </w:tcPr>
          <w:p w14:paraId="4C42BC70" w14:textId="77777777" w:rsidR="00120717" w:rsidRPr="00B93EE1" w:rsidRDefault="00120717" w:rsidP="00811A7B">
            <w:pPr>
              <w:widowControl w:val="0"/>
              <w:autoSpaceDE w:val="0"/>
              <w:autoSpaceDN w:val="0"/>
              <w:jc w:val="left"/>
              <w:rPr>
                <w:rFonts w:eastAsia="Arial Narrow" w:cs="Arial Narrow"/>
                <w:sz w:val="15"/>
                <w:szCs w:val="15"/>
              </w:rPr>
            </w:pPr>
            <w:r w:rsidRPr="00B93EE1">
              <w:rPr>
                <w:rFonts w:eastAsia="Arial Narrow" w:cs="Arial Narrow"/>
                <w:sz w:val="15"/>
                <w:szCs w:val="15"/>
              </w:rPr>
              <w:t>Sample and Test</w:t>
            </w:r>
          </w:p>
        </w:tc>
      </w:tr>
      <w:tr w:rsidR="00120717" w:rsidRPr="00B93EE1" w14:paraId="159FC2B5" w14:textId="77777777" w:rsidTr="00811A7B">
        <w:trPr>
          <w:cnfStyle w:val="000000100000" w:firstRow="0" w:lastRow="0" w:firstColumn="0" w:lastColumn="0" w:oddVBand="0" w:evenVBand="0" w:oddHBand="1" w:evenHBand="0" w:firstRowFirstColumn="0" w:firstRowLastColumn="0" w:lastRowFirstColumn="0" w:lastRowLastColumn="0"/>
          <w:cantSplit/>
        </w:trPr>
        <w:tc>
          <w:tcPr>
            <w:tcW w:w="925" w:type="pct"/>
            <w:vMerge w:val="restart"/>
            <w:tcBorders>
              <w:top w:val="single" w:sz="4" w:space="0" w:color="auto"/>
              <w:bottom w:val="nil"/>
            </w:tcBorders>
            <w:shd w:val="clear" w:color="auto" w:fill="C9DED4"/>
          </w:tcPr>
          <w:p w14:paraId="4336CD52" w14:textId="77777777" w:rsidR="00120717" w:rsidRPr="00B93EE1" w:rsidRDefault="00120717" w:rsidP="00811A7B">
            <w:pPr>
              <w:keepNext/>
              <w:widowControl w:val="0"/>
              <w:autoSpaceDE w:val="0"/>
              <w:autoSpaceDN w:val="0"/>
              <w:jc w:val="left"/>
              <w:rPr>
                <w:rFonts w:eastAsia="Arial Narrow" w:cs="Arial Narrow"/>
                <w:b/>
                <w:sz w:val="15"/>
                <w:szCs w:val="15"/>
              </w:rPr>
            </w:pPr>
            <w:r w:rsidRPr="00B93EE1">
              <w:rPr>
                <w:rFonts w:eastAsia="Arial Narrow" w:cs="Arial Narrow"/>
                <w:b/>
                <w:sz w:val="15"/>
                <w:szCs w:val="15"/>
              </w:rPr>
              <w:t>Seafood:</w:t>
            </w:r>
          </w:p>
          <w:p w14:paraId="286F94D6" w14:textId="77777777" w:rsidR="00120717" w:rsidRPr="00B93EE1" w:rsidRDefault="00120717" w:rsidP="00811A7B">
            <w:pPr>
              <w:keepNext/>
              <w:widowControl w:val="0"/>
              <w:autoSpaceDE w:val="0"/>
              <w:autoSpaceDN w:val="0"/>
              <w:jc w:val="left"/>
              <w:rPr>
                <w:rFonts w:eastAsia="Arial Narrow" w:cs="Arial Narrow"/>
                <w:b/>
                <w:sz w:val="15"/>
                <w:szCs w:val="15"/>
              </w:rPr>
            </w:pPr>
          </w:p>
          <w:p w14:paraId="5BADAB9C" w14:textId="77777777" w:rsidR="00120717" w:rsidRPr="00B93EE1" w:rsidRDefault="00120717" w:rsidP="00811A7B">
            <w:pPr>
              <w:keepNext/>
              <w:widowControl w:val="0"/>
              <w:autoSpaceDE w:val="0"/>
              <w:autoSpaceDN w:val="0"/>
              <w:jc w:val="left"/>
              <w:rPr>
                <w:rFonts w:eastAsia="Arial Narrow" w:cs="Arial Narrow"/>
                <w:b/>
                <w:sz w:val="15"/>
                <w:szCs w:val="15"/>
              </w:rPr>
            </w:pPr>
            <w:r w:rsidRPr="00B93EE1">
              <w:rPr>
                <w:rFonts w:eastAsia="Arial Narrow" w:cs="Arial Narrow"/>
                <w:b/>
                <w:sz w:val="15"/>
                <w:szCs w:val="15"/>
              </w:rPr>
              <w:t>Ready to Eat (RTE) crustaceans – lobsters, crabs, bugs, shrimps and prawns and their products</w:t>
            </w:r>
          </w:p>
        </w:tc>
        <w:tc>
          <w:tcPr>
            <w:tcW w:w="1053" w:type="pct"/>
            <w:vMerge w:val="restart"/>
            <w:tcBorders>
              <w:top w:val="single" w:sz="4" w:space="0" w:color="auto"/>
              <w:bottom w:val="nil"/>
            </w:tcBorders>
            <w:shd w:val="clear" w:color="auto" w:fill="C9DED4"/>
          </w:tcPr>
          <w:p w14:paraId="309D5FA8" w14:textId="77777777" w:rsidR="00120717" w:rsidRPr="00B93EE1" w:rsidRDefault="00120717" w:rsidP="00811A7B">
            <w:pPr>
              <w:keepNext/>
              <w:widowControl w:val="0"/>
              <w:autoSpaceDE w:val="0"/>
              <w:autoSpaceDN w:val="0"/>
              <w:jc w:val="left"/>
              <w:rPr>
                <w:rFonts w:eastAsia="Arial Narrow" w:cs="Arial Narrow"/>
                <w:i/>
                <w:sz w:val="15"/>
                <w:szCs w:val="15"/>
              </w:rPr>
            </w:pPr>
          </w:p>
        </w:tc>
        <w:tc>
          <w:tcPr>
            <w:tcW w:w="1429" w:type="pct"/>
            <w:tcBorders>
              <w:top w:val="single" w:sz="4" w:space="0" w:color="auto"/>
              <w:bottom w:val="single" w:sz="4" w:space="0" w:color="auto"/>
            </w:tcBorders>
            <w:shd w:val="clear" w:color="auto" w:fill="C9DED4"/>
          </w:tcPr>
          <w:p w14:paraId="206B7DA9"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Malaysia</w:t>
            </w:r>
          </w:p>
          <w:p w14:paraId="56C076C3"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Thailand</w:t>
            </w:r>
          </w:p>
          <w:p w14:paraId="309903C9"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European Union</w:t>
            </w:r>
          </w:p>
          <w:p w14:paraId="793313E7" w14:textId="77777777" w:rsidR="00120717" w:rsidRPr="00B93EE1" w:rsidRDefault="00120717" w:rsidP="00E962FF">
            <w:pPr>
              <w:widowControl w:val="0"/>
              <w:numPr>
                <w:ilvl w:val="0"/>
                <w:numId w:val="12"/>
              </w:numPr>
              <w:tabs>
                <w:tab w:val="left" w:pos="335"/>
              </w:tabs>
              <w:autoSpaceDE w:val="0"/>
              <w:autoSpaceDN w:val="0"/>
              <w:jc w:val="left"/>
              <w:rPr>
                <w:rFonts w:eastAsia="Arial Narrow" w:cs="Arial Narrow"/>
                <w:sz w:val="15"/>
                <w:szCs w:val="15"/>
              </w:rPr>
            </w:pPr>
            <w:r w:rsidRPr="00B93EE1">
              <w:rPr>
                <w:rFonts w:eastAsia="Arial Narrow" w:cs="Arial Narrow"/>
                <w:sz w:val="15"/>
                <w:szCs w:val="15"/>
              </w:rPr>
              <w:t>United Kingdom</w:t>
            </w:r>
          </w:p>
        </w:tc>
        <w:tc>
          <w:tcPr>
            <w:tcW w:w="1594" w:type="pct"/>
            <w:tcBorders>
              <w:top w:val="single" w:sz="4" w:space="0" w:color="auto"/>
              <w:bottom w:val="single" w:sz="4" w:space="0" w:color="auto"/>
            </w:tcBorders>
            <w:shd w:val="clear" w:color="auto" w:fill="C9DED4"/>
          </w:tcPr>
          <w:p w14:paraId="378F759C" w14:textId="77777777" w:rsidR="00120717" w:rsidRPr="00B93EE1" w:rsidRDefault="00120717" w:rsidP="00811A7B">
            <w:pPr>
              <w:keepNext/>
              <w:widowControl w:val="0"/>
              <w:autoSpaceDE w:val="0"/>
              <w:autoSpaceDN w:val="0"/>
              <w:jc w:val="left"/>
              <w:rPr>
                <w:rFonts w:eastAsia="Arial Narrow" w:cs="Arial Narrow"/>
                <w:sz w:val="15"/>
                <w:szCs w:val="15"/>
              </w:rPr>
            </w:pPr>
            <w:r w:rsidRPr="00B93EE1">
              <w:rPr>
                <w:rFonts w:eastAsia="Arial Narrow" w:cs="Arial Narrow"/>
                <w:sz w:val="15"/>
                <w:szCs w:val="15"/>
              </w:rPr>
              <w:t>Official Certificate or Sample and Test</w:t>
            </w:r>
          </w:p>
        </w:tc>
      </w:tr>
      <w:tr w:rsidR="00120717" w:rsidRPr="00B93EE1" w14:paraId="0C53D861" w14:textId="77777777" w:rsidTr="00811A7B">
        <w:trPr>
          <w:cnfStyle w:val="000000010000" w:firstRow="0" w:lastRow="0" w:firstColumn="0" w:lastColumn="0" w:oddVBand="0" w:evenVBand="0" w:oddHBand="0" w:evenHBand="1" w:firstRowFirstColumn="0" w:firstRowLastColumn="0" w:lastRowFirstColumn="0" w:lastRowLastColumn="0"/>
          <w:cantSplit/>
          <w:trHeight w:val="181"/>
        </w:trPr>
        <w:tc>
          <w:tcPr>
            <w:tcW w:w="925" w:type="pct"/>
            <w:vMerge/>
            <w:tcBorders>
              <w:top w:val="nil"/>
              <w:bottom w:val="single" w:sz="4" w:space="0" w:color="auto"/>
            </w:tcBorders>
          </w:tcPr>
          <w:p w14:paraId="2CFD55D9" w14:textId="77777777" w:rsidR="00120717" w:rsidRPr="00B93EE1" w:rsidRDefault="00120717" w:rsidP="00811A7B">
            <w:pPr>
              <w:keepNext/>
              <w:widowControl w:val="0"/>
              <w:autoSpaceDE w:val="0"/>
              <w:autoSpaceDN w:val="0"/>
              <w:jc w:val="left"/>
              <w:rPr>
                <w:rFonts w:eastAsia="Arial Narrow" w:cs="Arial Narrow"/>
                <w:sz w:val="15"/>
                <w:szCs w:val="15"/>
              </w:rPr>
            </w:pPr>
          </w:p>
        </w:tc>
        <w:tc>
          <w:tcPr>
            <w:tcW w:w="1053" w:type="pct"/>
            <w:vMerge/>
            <w:tcBorders>
              <w:top w:val="nil"/>
              <w:bottom w:val="single" w:sz="4" w:space="0" w:color="auto"/>
            </w:tcBorders>
          </w:tcPr>
          <w:p w14:paraId="0DD3333D" w14:textId="77777777" w:rsidR="00120717" w:rsidRPr="00B93EE1" w:rsidRDefault="00120717" w:rsidP="00811A7B">
            <w:pPr>
              <w:keepNext/>
              <w:widowControl w:val="0"/>
              <w:autoSpaceDE w:val="0"/>
              <w:autoSpaceDN w:val="0"/>
              <w:jc w:val="left"/>
              <w:rPr>
                <w:rFonts w:eastAsia="Arial Narrow" w:cs="Arial Narrow"/>
                <w:sz w:val="15"/>
                <w:szCs w:val="15"/>
              </w:rPr>
            </w:pPr>
          </w:p>
        </w:tc>
        <w:tc>
          <w:tcPr>
            <w:tcW w:w="1429" w:type="pct"/>
            <w:tcBorders>
              <w:top w:val="single" w:sz="4" w:space="0" w:color="auto"/>
              <w:bottom w:val="single" w:sz="4" w:space="0" w:color="auto"/>
            </w:tcBorders>
          </w:tcPr>
          <w:p w14:paraId="7A61509F" w14:textId="77777777" w:rsidR="00120717" w:rsidRPr="00B93EE1" w:rsidRDefault="00120717" w:rsidP="00811A7B">
            <w:pPr>
              <w:keepNext/>
              <w:widowControl w:val="0"/>
              <w:autoSpaceDE w:val="0"/>
              <w:autoSpaceDN w:val="0"/>
              <w:jc w:val="left"/>
              <w:rPr>
                <w:rFonts w:eastAsia="Arial Narrow" w:cs="Arial Narrow"/>
                <w:sz w:val="15"/>
                <w:szCs w:val="15"/>
              </w:rPr>
            </w:pPr>
            <w:r w:rsidRPr="00B93EE1">
              <w:rPr>
                <w:rFonts w:eastAsia="Arial Narrow" w:cs="Arial Narrow"/>
                <w:sz w:val="15"/>
                <w:szCs w:val="15"/>
              </w:rPr>
              <w:t>All other countries</w:t>
            </w:r>
          </w:p>
        </w:tc>
        <w:tc>
          <w:tcPr>
            <w:tcW w:w="1594" w:type="pct"/>
            <w:tcBorders>
              <w:top w:val="single" w:sz="4" w:space="0" w:color="auto"/>
              <w:bottom w:val="single" w:sz="4" w:space="0" w:color="auto"/>
            </w:tcBorders>
          </w:tcPr>
          <w:p w14:paraId="025EDD13" w14:textId="77777777" w:rsidR="00120717" w:rsidRPr="00B93EE1" w:rsidRDefault="00120717" w:rsidP="00811A7B">
            <w:pPr>
              <w:keepNext/>
              <w:widowControl w:val="0"/>
              <w:autoSpaceDE w:val="0"/>
              <w:autoSpaceDN w:val="0"/>
              <w:jc w:val="left"/>
              <w:rPr>
                <w:rFonts w:eastAsia="Arial Narrow" w:cs="Arial Narrow"/>
                <w:sz w:val="15"/>
                <w:szCs w:val="15"/>
              </w:rPr>
            </w:pPr>
            <w:r w:rsidRPr="00B93EE1">
              <w:rPr>
                <w:rFonts w:eastAsia="Arial Narrow" w:cs="Arial Narrow"/>
                <w:sz w:val="15"/>
                <w:szCs w:val="15"/>
              </w:rPr>
              <w:t>Sample and Test</w:t>
            </w:r>
          </w:p>
        </w:tc>
      </w:tr>
      <w:tr w:rsidR="00120717" w:rsidRPr="00B93EE1" w14:paraId="299BA04E" w14:textId="77777777" w:rsidTr="00811A7B">
        <w:trPr>
          <w:cnfStyle w:val="000000100000" w:firstRow="0" w:lastRow="0" w:firstColumn="0" w:lastColumn="0" w:oddVBand="0" w:evenVBand="0" w:oddHBand="1" w:evenHBand="0" w:firstRowFirstColumn="0" w:firstRowLastColumn="0" w:lastRowFirstColumn="0" w:lastRowLastColumn="0"/>
          <w:cantSplit/>
        </w:trPr>
        <w:tc>
          <w:tcPr>
            <w:tcW w:w="925" w:type="pct"/>
            <w:tcBorders>
              <w:top w:val="single" w:sz="4" w:space="0" w:color="auto"/>
            </w:tcBorders>
          </w:tcPr>
          <w:p w14:paraId="07A0B6BE" w14:textId="77777777" w:rsidR="00120717" w:rsidRPr="00B93EE1" w:rsidRDefault="00120717" w:rsidP="00811A7B">
            <w:pPr>
              <w:keepNext/>
              <w:widowControl w:val="0"/>
              <w:autoSpaceDE w:val="0"/>
              <w:autoSpaceDN w:val="0"/>
              <w:jc w:val="left"/>
              <w:rPr>
                <w:rFonts w:eastAsia="Arial Narrow" w:cs="Arial Narrow"/>
                <w:b/>
                <w:sz w:val="15"/>
                <w:szCs w:val="15"/>
              </w:rPr>
            </w:pPr>
            <w:r w:rsidRPr="00B93EE1">
              <w:rPr>
                <w:rFonts w:eastAsia="Arial Narrow" w:cs="Arial Narrow"/>
                <w:b/>
                <w:sz w:val="15"/>
                <w:szCs w:val="15"/>
              </w:rPr>
              <w:t>Spices:</w:t>
            </w:r>
          </w:p>
          <w:p w14:paraId="3B8F55A8" w14:textId="77777777" w:rsidR="00120717" w:rsidRPr="00B93EE1" w:rsidRDefault="00120717" w:rsidP="00811A7B">
            <w:pPr>
              <w:keepNext/>
              <w:widowControl w:val="0"/>
              <w:autoSpaceDE w:val="0"/>
              <w:autoSpaceDN w:val="0"/>
              <w:jc w:val="left"/>
              <w:rPr>
                <w:rFonts w:eastAsia="Arial Narrow" w:cs="Arial Narrow"/>
                <w:b/>
                <w:sz w:val="15"/>
                <w:szCs w:val="15"/>
              </w:rPr>
            </w:pPr>
          </w:p>
          <w:p w14:paraId="04D5D2EC" w14:textId="77777777" w:rsidR="00120717" w:rsidRPr="00B93EE1" w:rsidRDefault="00120717" w:rsidP="00811A7B">
            <w:pPr>
              <w:keepNext/>
              <w:widowControl w:val="0"/>
              <w:autoSpaceDE w:val="0"/>
              <w:autoSpaceDN w:val="0"/>
              <w:jc w:val="left"/>
              <w:rPr>
                <w:rFonts w:eastAsia="Arial Narrow" w:cs="Arial Narrow"/>
                <w:b/>
                <w:sz w:val="15"/>
                <w:szCs w:val="15"/>
              </w:rPr>
            </w:pPr>
            <w:r w:rsidRPr="00B93EE1">
              <w:rPr>
                <w:rFonts w:eastAsia="Arial Narrow" w:cs="Arial Narrow"/>
                <w:b/>
                <w:sz w:val="15"/>
                <w:szCs w:val="15"/>
              </w:rPr>
              <w:t>Pepper, chilli and paprika</w:t>
            </w:r>
          </w:p>
        </w:tc>
        <w:tc>
          <w:tcPr>
            <w:tcW w:w="1053" w:type="pct"/>
            <w:tcBorders>
              <w:top w:val="single" w:sz="4" w:space="0" w:color="auto"/>
            </w:tcBorders>
          </w:tcPr>
          <w:p w14:paraId="1A095FDC" w14:textId="77777777" w:rsidR="00120717" w:rsidRPr="00B93EE1" w:rsidRDefault="00120717" w:rsidP="00811A7B">
            <w:pPr>
              <w:keepNext/>
              <w:widowControl w:val="0"/>
              <w:autoSpaceDE w:val="0"/>
              <w:autoSpaceDN w:val="0"/>
              <w:jc w:val="left"/>
              <w:rPr>
                <w:rFonts w:eastAsia="Arial Narrow" w:cs="Arial Narrow"/>
                <w:i/>
                <w:sz w:val="15"/>
                <w:szCs w:val="15"/>
              </w:rPr>
            </w:pPr>
          </w:p>
        </w:tc>
        <w:tc>
          <w:tcPr>
            <w:tcW w:w="1429" w:type="pct"/>
            <w:tcBorders>
              <w:top w:val="single" w:sz="4" w:space="0" w:color="auto"/>
            </w:tcBorders>
          </w:tcPr>
          <w:p w14:paraId="74AF3045" w14:textId="77777777" w:rsidR="00120717" w:rsidRPr="00B93EE1" w:rsidRDefault="00120717" w:rsidP="00811A7B">
            <w:pPr>
              <w:keepNext/>
              <w:widowControl w:val="0"/>
              <w:autoSpaceDE w:val="0"/>
              <w:autoSpaceDN w:val="0"/>
              <w:jc w:val="left"/>
              <w:rPr>
                <w:rFonts w:eastAsia="Arial Narrow" w:cs="Arial Narrow"/>
                <w:sz w:val="15"/>
                <w:szCs w:val="15"/>
              </w:rPr>
            </w:pPr>
            <w:r w:rsidRPr="00B93EE1">
              <w:rPr>
                <w:rFonts w:eastAsia="Arial Narrow" w:cs="Arial Narrow"/>
                <w:sz w:val="15"/>
                <w:szCs w:val="15"/>
              </w:rPr>
              <w:t>All countries</w:t>
            </w:r>
          </w:p>
        </w:tc>
        <w:tc>
          <w:tcPr>
            <w:tcW w:w="1594" w:type="pct"/>
            <w:tcBorders>
              <w:top w:val="single" w:sz="4" w:space="0" w:color="auto"/>
            </w:tcBorders>
          </w:tcPr>
          <w:p w14:paraId="7FDBAD7D" w14:textId="77777777" w:rsidR="00120717" w:rsidRPr="00B93EE1" w:rsidRDefault="00120717" w:rsidP="00811A7B">
            <w:pPr>
              <w:keepNext/>
              <w:widowControl w:val="0"/>
              <w:autoSpaceDE w:val="0"/>
              <w:autoSpaceDN w:val="0"/>
              <w:jc w:val="left"/>
              <w:rPr>
                <w:rFonts w:eastAsia="Arial Narrow" w:cs="Arial Narrow"/>
                <w:sz w:val="15"/>
                <w:szCs w:val="15"/>
              </w:rPr>
            </w:pPr>
            <w:r w:rsidRPr="00B93EE1">
              <w:rPr>
                <w:rFonts w:eastAsia="Arial Narrow" w:cs="Arial Narrow"/>
                <w:sz w:val="15"/>
                <w:szCs w:val="15"/>
              </w:rPr>
              <w:t>Sample and Test</w:t>
            </w:r>
          </w:p>
        </w:tc>
      </w:tr>
    </w:tbl>
    <w:p w14:paraId="5261889B" w14:textId="77777777" w:rsidR="00120717" w:rsidRPr="00B93EE1" w:rsidRDefault="00120717" w:rsidP="00AF569F">
      <w:pPr>
        <w:pStyle w:val="NoteText"/>
        <w:spacing w:before="120" w:after="240"/>
      </w:pPr>
      <w:r w:rsidRPr="00B93EE1">
        <w:t>Source:</w:t>
      </w:r>
      <w:r w:rsidRPr="00B93EE1">
        <w:tab/>
      </w:r>
      <w:proofErr w:type="spellStart"/>
      <w:r w:rsidRPr="00B93EE1">
        <w:t>MPI</w:t>
      </w:r>
      <w:proofErr w:type="spellEnd"/>
      <w:r w:rsidRPr="00B93EE1">
        <w:t xml:space="preserve"> (2021), </w:t>
      </w:r>
      <w:r w:rsidRPr="00B93EE1">
        <w:rPr>
          <w:i/>
          <w:iCs/>
        </w:rPr>
        <w:t>Food Notice: Importing Food</w:t>
      </w:r>
      <w:r w:rsidRPr="00B93EE1">
        <w:t>.</w:t>
      </w:r>
    </w:p>
    <w:p w14:paraId="02C28BF6" w14:textId="3BDAF6FC" w:rsidR="00120717" w:rsidRPr="00B93EE1" w:rsidRDefault="00D37A97" w:rsidP="00D37A97">
      <w:pPr>
        <w:pStyle w:val="Caption"/>
      </w:pPr>
      <w:bookmarkStart w:id="155" w:name="_Toc97793398"/>
      <w:r>
        <w:t xml:space="preserve">Table </w:t>
      </w:r>
      <w:r w:rsidR="0012793B">
        <w:fldChar w:fldCharType="begin"/>
      </w:r>
      <w:r w:rsidR="0012793B">
        <w:instrText xml:space="preserve"> 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12</w:t>
      </w:r>
      <w:r w:rsidR="0012793B">
        <w:rPr>
          <w:noProof/>
        </w:rPr>
        <w:fldChar w:fldCharType="end"/>
      </w:r>
      <w:r>
        <w:t xml:space="preserve"> </w:t>
      </w:r>
      <w:r w:rsidR="00120717" w:rsidRPr="00A326E4">
        <w:t>Food of Increased Regulatory Interest</w:t>
      </w:r>
      <w:bookmarkEnd w:id="155"/>
    </w:p>
    <w:tbl>
      <w:tblPr>
        <w:tblStyle w:val="WTOTable1"/>
        <w:tblW w:w="5000" w:type="pct"/>
        <w:tblLook w:val="01E0" w:firstRow="1" w:lastRow="1" w:firstColumn="1" w:lastColumn="1" w:noHBand="0" w:noVBand="0"/>
      </w:tblPr>
      <w:tblGrid>
        <w:gridCol w:w="1832"/>
        <w:gridCol w:w="4093"/>
        <w:gridCol w:w="3091"/>
      </w:tblGrid>
      <w:tr w:rsidR="00120717" w:rsidRPr="00B93EE1" w14:paraId="1F6957C5" w14:textId="77777777" w:rsidTr="001A0C34">
        <w:trPr>
          <w:cnfStyle w:val="100000000000" w:firstRow="1" w:lastRow="0" w:firstColumn="0" w:lastColumn="0" w:oddVBand="0" w:evenVBand="0" w:oddHBand="0" w:evenHBand="0" w:firstRowFirstColumn="0" w:firstRowLastColumn="0" w:lastRowFirstColumn="0" w:lastRowLastColumn="0"/>
          <w:tblHeader/>
        </w:trPr>
        <w:tc>
          <w:tcPr>
            <w:tcW w:w="0" w:type="pct"/>
            <w:vAlign w:val="center"/>
          </w:tcPr>
          <w:p w14:paraId="7C80142F" w14:textId="77777777" w:rsidR="00120717" w:rsidRPr="00B93EE1" w:rsidRDefault="00120717" w:rsidP="00740C26">
            <w:pPr>
              <w:keepNext/>
              <w:keepLines/>
              <w:widowControl w:val="0"/>
              <w:autoSpaceDE w:val="0"/>
              <w:autoSpaceDN w:val="0"/>
              <w:jc w:val="left"/>
              <w:rPr>
                <w:rFonts w:eastAsia="Arial Narrow" w:cs="Arial Narrow"/>
                <w:sz w:val="15"/>
                <w:szCs w:val="15"/>
              </w:rPr>
            </w:pPr>
            <w:r w:rsidRPr="00B93EE1">
              <w:rPr>
                <w:rFonts w:eastAsia="Arial Narrow" w:cs="Arial Narrow"/>
                <w:sz w:val="15"/>
                <w:szCs w:val="15"/>
              </w:rPr>
              <w:t>Column A: Foods</w:t>
            </w:r>
          </w:p>
        </w:tc>
        <w:tc>
          <w:tcPr>
            <w:tcW w:w="0" w:type="pct"/>
            <w:vAlign w:val="center"/>
          </w:tcPr>
          <w:p w14:paraId="58935BA4" w14:textId="77777777" w:rsidR="00120717" w:rsidRPr="00B93EE1" w:rsidRDefault="00120717" w:rsidP="00740C26">
            <w:pPr>
              <w:keepNext/>
              <w:keepLines/>
              <w:widowControl w:val="0"/>
              <w:autoSpaceDE w:val="0"/>
              <w:autoSpaceDN w:val="0"/>
              <w:jc w:val="center"/>
              <w:rPr>
                <w:rFonts w:eastAsia="Arial Narrow" w:cs="Arial Narrow"/>
                <w:sz w:val="15"/>
                <w:szCs w:val="15"/>
              </w:rPr>
            </w:pPr>
            <w:r w:rsidRPr="00B93EE1">
              <w:rPr>
                <w:rFonts w:eastAsia="Arial Narrow" w:cs="Arial Narrow"/>
                <w:sz w:val="15"/>
                <w:szCs w:val="15"/>
              </w:rPr>
              <w:t>Column D:</w:t>
            </w:r>
          </w:p>
          <w:p w14:paraId="282F8A35" w14:textId="77777777" w:rsidR="00120717" w:rsidRPr="00B93EE1" w:rsidRDefault="00120717" w:rsidP="00740C26">
            <w:pPr>
              <w:keepNext/>
              <w:keepLines/>
              <w:widowControl w:val="0"/>
              <w:autoSpaceDE w:val="0"/>
              <w:autoSpaceDN w:val="0"/>
              <w:jc w:val="center"/>
              <w:rPr>
                <w:rFonts w:eastAsia="Arial Narrow" w:cs="Arial Narrow"/>
                <w:sz w:val="15"/>
                <w:szCs w:val="15"/>
              </w:rPr>
            </w:pPr>
            <w:r w:rsidRPr="00B93EE1">
              <w:rPr>
                <w:rFonts w:eastAsia="Arial Narrow" w:cs="Arial Narrow"/>
                <w:sz w:val="15"/>
                <w:szCs w:val="15"/>
              </w:rPr>
              <w:t>Country or geographic region of export</w:t>
            </w:r>
          </w:p>
        </w:tc>
        <w:tc>
          <w:tcPr>
            <w:tcW w:w="0" w:type="pct"/>
            <w:vAlign w:val="center"/>
          </w:tcPr>
          <w:p w14:paraId="42D5CEBF" w14:textId="77777777" w:rsidR="00120717" w:rsidRPr="00B93EE1" w:rsidRDefault="00120717" w:rsidP="00740C26">
            <w:pPr>
              <w:keepNext/>
              <w:keepLines/>
              <w:widowControl w:val="0"/>
              <w:autoSpaceDE w:val="0"/>
              <w:autoSpaceDN w:val="0"/>
              <w:jc w:val="center"/>
              <w:rPr>
                <w:rFonts w:eastAsia="Arial Narrow" w:cs="Arial Narrow"/>
                <w:sz w:val="15"/>
                <w:szCs w:val="15"/>
              </w:rPr>
            </w:pPr>
            <w:r w:rsidRPr="00B93EE1">
              <w:rPr>
                <w:rFonts w:eastAsia="Arial Narrow" w:cs="Arial Narrow"/>
                <w:sz w:val="15"/>
                <w:szCs w:val="15"/>
              </w:rPr>
              <w:t>Column E: Evidence required</w:t>
            </w:r>
          </w:p>
        </w:tc>
      </w:tr>
      <w:tr w:rsidR="00120717" w:rsidRPr="00B93EE1" w14:paraId="0C0E3B1E" w14:textId="77777777" w:rsidTr="00811A7B">
        <w:tc>
          <w:tcPr>
            <w:tcW w:w="1016" w:type="pct"/>
            <w:vMerge w:val="restart"/>
          </w:tcPr>
          <w:p w14:paraId="2758E700" w14:textId="77777777" w:rsidR="00120717" w:rsidRPr="00B93EE1" w:rsidRDefault="00120717" w:rsidP="00740C26">
            <w:pPr>
              <w:keepNext/>
              <w:keepLines/>
              <w:widowControl w:val="0"/>
              <w:autoSpaceDE w:val="0"/>
              <w:autoSpaceDN w:val="0"/>
              <w:jc w:val="left"/>
              <w:rPr>
                <w:rFonts w:eastAsia="Arial Narrow" w:cs="Arial Narrow"/>
                <w:b/>
                <w:sz w:val="15"/>
                <w:szCs w:val="15"/>
              </w:rPr>
            </w:pPr>
            <w:r w:rsidRPr="00B93EE1">
              <w:rPr>
                <w:rFonts w:eastAsia="Arial Narrow" w:cs="Arial Narrow"/>
                <w:b/>
                <w:sz w:val="15"/>
                <w:szCs w:val="15"/>
              </w:rPr>
              <w:t>Frozen Berries</w:t>
            </w:r>
          </w:p>
        </w:tc>
        <w:tc>
          <w:tcPr>
            <w:tcW w:w="2270" w:type="pct"/>
            <w:vMerge w:val="restart"/>
          </w:tcPr>
          <w:p w14:paraId="18A2BAF4" w14:textId="77777777" w:rsidR="00120717" w:rsidRPr="00B93EE1" w:rsidRDefault="00120717" w:rsidP="00740C26">
            <w:pPr>
              <w:keepNext/>
              <w:keepLines/>
              <w:widowControl w:val="0"/>
              <w:autoSpaceDE w:val="0"/>
              <w:autoSpaceDN w:val="0"/>
              <w:jc w:val="left"/>
              <w:rPr>
                <w:rFonts w:eastAsia="Arial Narrow" w:cs="Arial Narrow"/>
                <w:sz w:val="15"/>
                <w:szCs w:val="15"/>
              </w:rPr>
            </w:pPr>
            <w:r w:rsidRPr="00B93EE1">
              <w:rPr>
                <w:rFonts w:eastAsia="Arial Narrow" w:cs="Arial Narrow"/>
                <w:sz w:val="15"/>
                <w:szCs w:val="15"/>
              </w:rPr>
              <w:t>All countries</w:t>
            </w:r>
          </w:p>
        </w:tc>
        <w:tc>
          <w:tcPr>
            <w:tcW w:w="1714" w:type="pct"/>
          </w:tcPr>
          <w:p w14:paraId="35EACED9" w14:textId="77777777" w:rsidR="00120717" w:rsidRPr="00B93EE1" w:rsidRDefault="00120717" w:rsidP="00740C26">
            <w:pPr>
              <w:keepNext/>
              <w:keepLines/>
              <w:widowControl w:val="0"/>
              <w:autoSpaceDE w:val="0"/>
              <w:autoSpaceDN w:val="0"/>
              <w:jc w:val="left"/>
              <w:rPr>
                <w:rFonts w:eastAsia="Arial Narrow" w:cs="Arial Narrow"/>
                <w:sz w:val="15"/>
                <w:szCs w:val="15"/>
              </w:rPr>
            </w:pPr>
            <w:r w:rsidRPr="00B93EE1">
              <w:rPr>
                <w:rFonts w:eastAsia="Arial Narrow" w:cs="Arial Narrow"/>
                <w:sz w:val="15"/>
                <w:szCs w:val="15"/>
              </w:rPr>
              <w:t>Official Certificate</w:t>
            </w:r>
          </w:p>
        </w:tc>
      </w:tr>
      <w:tr w:rsidR="00120717" w:rsidRPr="00B93EE1" w14:paraId="74A6DD00" w14:textId="77777777" w:rsidTr="00811A7B">
        <w:trPr>
          <w:cnfStyle w:val="000000010000" w:firstRow="0" w:lastRow="0" w:firstColumn="0" w:lastColumn="0" w:oddVBand="0" w:evenVBand="0" w:oddHBand="0" w:evenHBand="1" w:firstRowFirstColumn="0" w:firstRowLastColumn="0" w:lastRowFirstColumn="0" w:lastRowLastColumn="0"/>
          <w:trHeight w:val="55"/>
        </w:trPr>
        <w:tc>
          <w:tcPr>
            <w:tcW w:w="1016" w:type="pct"/>
            <w:vMerge/>
          </w:tcPr>
          <w:p w14:paraId="18FEB109" w14:textId="77777777" w:rsidR="00120717" w:rsidRPr="00B93EE1" w:rsidRDefault="00120717" w:rsidP="00740C26">
            <w:pPr>
              <w:keepNext/>
              <w:keepLines/>
              <w:widowControl w:val="0"/>
              <w:autoSpaceDE w:val="0"/>
              <w:autoSpaceDN w:val="0"/>
              <w:jc w:val="left"/>
              <w:rPr>
                <w:rFonts w:eastAsia="Arial Narrow" w:cs="Arial Narrow"/>
                <w:sz w:val="15"/>
                <w:szCs w:val="15"/>
              </w:rPr>
            </w:pPr>
          </w:p>
        </w:tc>
        <w:tc>
          <w:tcPr>
            <w:tcW w:w="2270" w:type="pct"/>
            <w:vMerge/>
            <w:tcBorders>
              <w:bottom w:val="nil"/>
            </w:tcBorders>
          </w:tcPr>
          <w:p w14:paraId="7DDA7684" w14:textId="77777777" w:rsidR="00120717" w:rsidRPr="00B93EE1" w:rsidRDefault="00120717" w:rsidP="00740C26">
            <w:pPr>
              <w:keepNext/>
              <w:keepLines/>
              <w:widowControl w:val="0"/>
              <w:autoSpaceDE w:val="0"/>
              <w:autoSpaceDN w:val="0"/>
              <w:jc w:val="left"/>
              <w:rPr>
                <w:rFonts w:eastAsia="Arial Narrow" w:cs="Arial Narrow"/>
                <w:sz w:val="15"/>
                <w:szCs w:val="15"/>
              </w:rPr>
            </w:pPr>
          </w:p>
        </w:tc>
        <w:tc>
          <w:tcPr>
            <w:tcW w:w="1714" w:type="pct"/>
            <w:tcBorders>
              <w:bottom w:val="nil"/>
            </w:tcBorders>
            <w:shd w:val="clear" w:color="auto" w:fill="auto"/>
          </w:tcPr>
          <w:p w14:paraId="41019466" w14:textId="77777777" w:rsidR="00120717" w:rsidRPr="00B93EE1" w:rsidRDefault="00120717" w:rsidP="00740C26">
            <w:pPr>
              <w:keepNext/>
              <w:keepLines/>
              <w:widowControl w:val="0"/>
              <w:autoSpaceDE w:val="0"/>
              <w:autoSpaceDN w:val="0"/>
              <w:jc w:val="left"/>
              <w:rPr>
                <w:rFonts w:eastAsia="Arial Narrow" w:cs="Arial Narrow"/>
                <w:sz w:val="15"/>
                <w:szCs w:val="15"/>
              </w:rPr>
            </w:pPr>
            <w:r w:rsidRPr="00B93EE1">
              <w:rPr>
                <w:rFonts w:eastAsia="Arial Narrow" w:cs="Arial Narrow"/>
                <w:sz w:val="15"/>
                <w:szCs w:val="15"/>
              </w:rPr>
              <w:t>Sample and Test</w:t>
            </w:r>
          </w:p>
        </w:tc>
      </w:tr>
      <w:tr w:rsidR="00120717" w:rsidRPr="00B93EE1" w14:paraId="3C3AB9BB" w14:textId="77777777" w:rsidTr="00811A7B">
        <w:tc>
          <w:tcPr>
            <w:tcW w:w="1016" w:type="pct"/>
            <w:vMerge/>
          </w:tcPr>
          <w:p w14:paraId="407941EF" w14:textId="77777777" w:rsidR="00120717" w:rsidRPr="00B93EE1" w:rsidRDefault="00120717" w:rsidP="00740C26">
            <w:pPr>
              <w:keepNext/>
              <w:keepLines/>
              <w:widowControl w:val="0"/>
              <w:autoSpaceDE w:val="0"/>
              <w:autoSpaceDN w:val="0"/>
              <w:jc w:val="left"/>
              <w:rPr>
                <w:rFonts w:eastAsia="Arial Narrow" w:cs="Arial Narrow"/>
                <w:sz w:val="15"/>
                <w:szCs w:val="15"/>
              </w:rPr>
            </w:pPr>
          </w:p>
        </w:tc>
        <w:tc>
          <w:tcPr>
            <w:tcW w:w="2270" w:type="pct"/>
            <w:tcBorders>
              <w:top w:val="nil"/>
              <w:bottom w:val="single" w:sz="4" w:space="0" w:color="auto"/>
            </w:tcBorders>
            <w:shd w:val="clear" w:color="auto" w:fill="C9DED4"/>
          </w:tcPr>
          <w:p w14:paraId="06E34E43" w14:textId="77777777" w:rsidR="00120717" w:rsidRPr="00B93EE1" w:rsidRDefault="00120717" w:rsidP="00740C26">
            <w:pPr>
              <w:keepNext/>
              <w:keepLines/>
              <w:widowControl w:val="0"/>
              <w:autoSpaceDE w:val="0"/>
              <w:autoSpaceDN w:val="0"/>
              <w:jc w:val="left"/>
              <w:rPr>
                <w:rFonts w:eastAsia="Arial Narrow" w:cs="Arial Narrow"/>
                <w:sz w:val="15"/>
                <w:szCs w:val="15"/>
              </w:rPr>
            </w:pPr>
            <w:r w:rsidRPr="00B93EE1">
              <w:rPr>
                <w:rFonts w:eastAsia="Arial Narrow" w:cs="Arial Narrow"/>
                <w:sz w:val="15"/>
                <w:szCs w:val="15"/>
              </w:rPr>
              <w:t>All countries</w:t>
            </w:r>
          </w:p>
        </w:tc>
        <w:tc>
          <w:tcPr>
            <w:tcW w:w="1714" w:type="pct"/>
            <w:tcBorders>
              <w:top w:val="nil"/>
              <w:bottom w:val="single" w:sz="4" w:space="0" w:color="auto"/>
            </w:tcBorders>
            <w:shd w:val="clear" w:color="auto" w:fill="C9DED4"/>
          </w:tcPr>
          <w:p w14:paraId="593E0B0C" w14:textId="77777777" w:rsidR="00120717" w:rsidRPr="00B93EE1" w:rsidRDefault="00120717" w:rsidP="00740C26">
            <w:pPr>
              <w:keepNext/>
              <w:keepLines/>
              <w:widowControl w:val="0"/>
              <w:autoSpaceDE w:val="0"/>
              <w:autoSpaceDN w:val="0"/>
              <w:jc w:val="left"/>
              <w:rPr>
                <w:rFonts w:eastAsia="Arial Narrow" w:cs="Arial Narrow"/>
                <w:sz w:val="15"/>
                <w:szCs w:val="15"/>
              </w:rPr>
            </w:pPr>
            <w:r w:rsidRPr="00B93EE1">
              <w:rPr>
                <w:rFonts w:eastAsia="Arial Narrow" w:cs="Arial Narrow"/>
                <w:sz w:val="15"/>
                <w:szCs w:val="15"/>
              </w:rPr>
              <w:t>Manufacturers Declaration</w:t>
            </w:r>
          </w:p>
        </w:tc>
      </w:tr>
    </w:tbl>
    <w:p w14:paraId="33F403C4" w14:textId="77777777" w:rsidR="00120717" w:rsidRPr="00B93EE1" w:rsidRDefault="00120717" w:rsidP="00AF569F">
      <w:pPr>
        <w:pStyle w:val="NoteText"/>
        <w:spacing w:before="120" w:after="240"/>
      </w:pPr>
      <w:r w:rsidRPr="00B93EE1">
        <w:t>Source:</w:t>
      </w:r>
      <w:r w:rsidRPr="00B93EE1">
        <w:tab/>
      </w:r>
      <w:proofErr w:type="spellStart"/>
      <w:r w:rsidRPr="00B93EE1">
        <w:t>MPI</w:t>
      </w:r>
      <w:proofErr w:type="spellEnd"/>
      <w:r w:rsidRPr="00B93EE1">
        <w:t xml:space="preserve"> (2021), </w:t>
      </w:r>
      <w:r w:rsidRPr="00B93EE1">
        <w:rPr>
          <w:i/>
          <w:iCs/>
        </w:rPr>
        <w:t>Food Notice: Importing Food</w:t>
      </w:r>
      <w:r w:rsidRPr="00B93EE1">
        <w:t>.</w:t>
      </w:r>
    </w:p>
    <w:p w14:paraId="33413EF6" w14:textId="77777777" w:rsidR="00120717" w:rsidRPr="00F64A35" w:rsidRDefault="00120717" w:rsidP="008851C2">
      <w:pPr>
        <w:pStyle w:val="BodyText"/>
      </w:pPr>
      <w:r w:rsidRPr="00B93EE1">
        <w:t>Foods that are not specified in Schedule 1 or 2 of the Notice do not require clearance under the Act. The authorities indicate that the safety of these foods is managed by ensuring that importers take reasonable steps to assess their safety and suitability, including their compliance with relevant New Zealand food standards, prior to their importation into New Zealand. In general, foods from Australia do not require food safety clearance, except for bivalve molluscan shellfish and products containing them, and bovine meat and meat products containing greater than 5% bovine meat.</w:t>
      </w:r>
    </w:p>
    <w:p w14:paraId="69192527" w14:textId="77777777" w:rsidR="00120717" w:rsidRPr="00F64A35" w:rsidRDefault="00120717" w:rsidP="008851C2">
      <w:pPr>
        <w:pStyle w:val="BodyText"/>
      </w:pPr>
      <w:proofErr w:type="spellStart"/>
      <w:r w:rsidRPr="00B93EE1">
        <w:t>HRI</w:t>
      </w:r>
      <w:proofErr w:type="spellEnd"/>
      <w:r w:rsidRPr="00B93EE1">
        <w:t xml:space="preserve"> and </w:t>
      </w:r>
      <w:proofErr w:type="spellStart"/>
      <w:r w:rsidRPr="00B93EE1">
        <w:t>IRI</w:t>
      </w:r>
      <w:proofErr w:type="spellEnd"/>
      <w:r w:rsidRPr="00B93EE1">
        <w:t xml:space="preserve"> foods must be from a specific country or geographic region of export listed in Column D of Schedule 1 or 2 of the Notice. The notice also indicates, </w:t>
      </w:r>
      <w:r w:rsidRPr="00B93EE1">
        <w:rPr>
          <w:i/>
          <w:iCs/>
        </w:rPr>
        <w:t>inter alia</w:t>
      </w:r>
      <w:r w:rsidRPr="00B93EE1">
        <w:t xml:space="preserve">, the clearance requirements for the food, and the forms of evidence that the importer must provide to give assurance that food safety has been effectively managed. Regarding </w:t>
      </w:r>
      <w:r w:rsidRPr="00B93EE1">
        <w:rPr>
          <w:bCs/>
        </w:rPr>
        <w:t xml:space="preserve">importers from other countries (not listed) that are willing to import </w:t>
      </w:r>
      <w:proofErr w:type="spellStart"/>
      <w:r w:rsidRPr="00B93EE1">
        <w:rPr>
          <w:bCs/>
        </w:rPr>
        <w:t>HRI</w:t>
      </w:r>
      <w:proofErr w:type="spellEnd"/>
      <w:r w:rsidRPr="00B93EE1">
        <w:rPr>
          <w:bCs/>
        </w:rPr>
        <w:t xml:space="preserve"> and </w:t>
      </w:r>
      <w:proofErr w:type="spellStart"/>
      <w:r w:rsidRPr="00B93EE1">
        <w:rPr>
          <w:bCs/>
        </w:rPr>
        <w:t>IRI</w:t>
      </w:r>
      <w:proofErr w:type="spellEnd"/>
      <w:r w:rsidRPr="00B93EE1">
        <w:rPr>
          <w:bCs/>
        </w:rPr>
        <w:t xml:space="preserve"> foods to New Zealand, </w:t>
      </w:r>
      <w:r w:rsidRPr="00B93EE1">
        <w:t xml:space="preserve">the competent authority of the exporting country or geographical region informs the </w:t>
      </w:r>
      <w:proofErr w:type="spellStart"/>
      <w:r w:rsidRPr="00B93EE1">
        <w:t>MPI</w:t>
      </w:r>
      <w:proofErr w:type="spellEnd"/>
      <w:r w:rsidRPr="00B93EE1">
        <w:t xml:space="preserve"> of its interest in exporting a particular </w:t>
      </w:r>
      <w:proofErr w:type="spellStart"/>
      <w:r w:rsidRPr="00B93EE1">
        <w:t>HRI</w:t>
      </w:r>
      <w:proofErr w:type="spellEnd"/>
      <w:r w:rsidRPr="00B93EE1">
        <w:t xml:space="preserve"> food and requests for information regarding the import requirements. Exchanges between the two parties will determine whether New Zealand's requirements can be met by the exporting country or geographical region and official certification negotiated.</w:t>
      </w:r>
    </w:p>
    <w:p w14:paraId="04B33571" w14:textId="77777777" w:rsidR="00120717" w:rsidRPr="00F64A35" w:rsidRDefault="00120717" w:rsidP="008851C2">
      <w:pPr>
        <w:pStyle w:val="BodyText"/>
      </w:pPr>
      <w:r w:rsidRPr="00B93EE1">
        <w:lastRenderedPageBreak/>
        <w:t>Not meeting the requirements of the Importing Food Notice may result in failure to obtain entry of the food into New Zealand, re-exportation or destruction of the product at the importer's cost, or suspension of an importer's registration.</w:t>
      </w:r>
    </w:p>
    <w:p w14:paraId="6A15F595" w14:textId="77777777" w:rsidR="00120717" w:rsidRPr="00F64A35" w:rsidRDefault="00120717" w:rsidP="008851C2">
      <w:pPr>
        <w:pStyle w:val="BodyText"/>
      </w:pPr>
      <w:r w:rsidRPr="00B93EE1">
        <w:t>In the context of the COVID</w:t>
      </w:r>
      <w:r w:rsidRPr="00B93EE1">
        <w:noBreakHyphen/>
        <w:t>19 pandemic, New Zealand authorities published guidance for workers in food service, food retail, and food manufacturing businesses in line with the World Health Organization's COVID</w:t>
      </w:r>
      <w:r w:rsidRPr="00B93EE1">
        <w:noBreakHyphen/>
        <w:t>19 and food safety advice. According to the authorities, these documents have been regularly updated as the COVID</w:t>
      </w:r>
      <w:r w:rsidRPr="00B93EE1">
        <w:noBreakHyphen/>
        <w:t>19 situation develops.</w:t>
      </w:r>
    </w:p>
    <w:p w14:paraId="677B448C" w14:textId="77777777" w:rsidR="00120717" w:rsidRPr="00F64A35" w:rsidRDefault="00120717" w:rsidP="005E5ED6">
      <w:pPr>
        <w:pStyle w:val="Heading4"/>
      </w:pPr>
      <w:bookmarkStart w:id="156" w:name="_Toc97800163"/>
      <w:r w:rsidRPr="00B93EE1">
        <w:t>Animal and plant products</w:t>
      </w:r>
      <w:bookmarkEnd w:id="156"/>
    </w:p>
    <w:p w14:paraId="7F018C84" w14:textId="77777777" w:rsidR="00120717" w:rsidRPr="00F64A35" w:rsidRDefault="00120717" w:rsidP="008851C2">
      <w:pPr>
        <w:pStyle w:val="BodyText"/>
      </w:pPr>
      <w:r w:rsidRPr="00B93EE1">
        <w:t>No major changes were introduced regarding animal and plant products since the previous review. Under the Biosecurity Act, animal and plant products cannot be imported into New Zealand, unless an import health standard (</w:t>
      </w:r>
      <w:proofErr w:type="spellStart"/>
      <w:r w:rsidRPr="00B93EE1">
        <w:t>IHS</w:t>
      </w:r>
      <w:proofErr w:type="spellEnd"/>
      <w:r w:rsidRPr="00B93EE1">
        <w:t xml:space="preserve">) has been developed for that product. </w:t>
      </w:r>
      <w:proofErr w:type="spellStart"/>
      <w:r w:rsidRPr="00B93EE1">
        <w:t>IHSs</w:t>
      </w:r>
      <w:proofErr w:type="spellEnd"/>
      <w:r w:rsidRPr="00B93EE1">
        <w:t xml:space="preserve"> specify the biosecurity requirements that must be met for a product to be imported. According to the authorities, there are currently over 338 </w:t>
      </w:r>
      <w:proofErr w:type="spellStart"/>
      <w:r w:rsidRPr="00B93EE1">
        <w:t>IHSs</w:t>
      </w:r>
      <w:proofErr w:type="spellEnd"/>
      <w:r w:rsidRPr="00B93EE1">
        <w:t xml:space="preserve"> issued, with 16 having been drafted between 2015 and 2020. Of the 16 drafted since 2015, 4 are for plant germplasm, 7 for fruits or vegetables or flowers for consumption, and 5 for animal products. In addition to drafting new </w:t>
      </w:r>
      <w:proofErr w:type="spellStart"/>
      <w:r w:rsidRPr="00B93EE1">
        <w:t>IHSs</w:t>
      </w:r>
      <w:proofErr w:type="spellEnd"/>
      <w:r w:rsidRPr="00B93EE1">
        <w:t xml:space="preserve">, the existing </w:t>
      </w:r>
      <w:proofErr w:type="spellStart"/>
      <w:r w:rsidRPr="00B93EE1">
        <w:t>IHSs</w:t>
      </w:r>
      <w:proofErr w:type="spellEnd"/>
      <w:r w:rsidRPr="00B93EE1">
        <w:t xml:space="preserve"> are continuously amended to manage emerging pest risks and improve market access conditions. Information on </w:t>
      </w:r>
      <w:proofErr w:type="spellStart"/>
      <w:r w:rsidRPr="00B93EE1">
        <w:t>IHSs</w:t>
      </w:r>
      <w:proofErr w:type="spellEnd"/>
      <w:r w:rsidRPr="00B93EE1">
        <w:t xml:space="preserve"> is regularly published online.</w:t>
      </w:r>
      <w:r w:rsidRPr="00B93EE1">
        <w:rPr>
          <w:vertAlign w:val="superscript"/>
        </w:rPr>
        <w:footnoteReference w:id="209"/>
      </w:r>
    </w:p>
    <w:p w14:paraId="7978A61A" w14:textId="77777777" w:rsidR="00120717" w:rsidRPr="00F64A35" w:rsidRDefault="00120717" w:rsidP="008851C2">
      <w:pPr>
        <w:pStyle w:val="BodyText"/>
      </w:pPr>
      <w:r w:rsidRPr="00B93EE1">
        <w:t xml:space="preserve">Risk analysis is the first stage in the development of an </w:t>
      </w:r>
      <w:proofErr w:type="spellStart"/>
      <w:r w:rsidRPr="00B93EE1">
        <w:t>IHS</w:t>
      </w:r>
      <w:proofErr w:type="spellEnd"/>
      <w:r w:rsidRPr="00B93EE1">
        <w:t xml:space="preserve">. It involves the identification of potential pests and diseases associated with a product; the likelihood of entry and establishment in New Zealand; and the potential impacts on the economy, the environment, and human health. In the 2015-20 period, no </w:t>
      </w:r>
      <w:proofErr w:type="spellStart"/>
      <w:r w:rsidRPr="00B93EE1">
        <w:t>IHS</w:t>
      </w:r>
      <w:proofErr w:type="spellEnd"/>
      <w:r w:rsidRPr="00B93EE1">
        <w:t xml:space="preserve"> requests were denied due to economic, environmental, or health reasons. Proposed </w:t>
      </w:r>
      <w:proofErr w:type="spellStart"/>
      <w:r w:rsidRPr="00B93EE1">
        <w:t>IHSs</w:t>
      </w:r>
      <w:proofErr w:type="spellEnd"/>
      <w:r w:rsidRPr="00B93EE1">
        <w:t xml:space="preserve"> go through a public consultation before their adoption.</w:t>
      </w:r>
    </w:p>
    <w:p w14:paraId="248920EB" w14:textId="77777777" w:rsidR="00120717" w:rsidRPr="00F64A35" w:rsidRDefault="00120717" w:rsidP="008851C2">
      <w:pPr>
        <w:pStyle w:val="BodyText"/>
      </w:pPr>
      <w:r w:rsidRPr="00B93EE1">
        <w:t xml:space="preserve">For some products (e.g. table eggs, uncooked chicken meat, honey), no </w:t>
      </w:r>
      <w:proofErr w:type="spellStart"/>
      <w:r w:rsidRPr="00B93EE1">
        <w:t>IHS</w:t>
      </w:r>
      <w:proofErr w:type="spellEnd"/>
      <w:r w:rsidRPr="00B93EE1">
        <w:t xml:space="preserve"> is in place, i.e. they cannot be imported as they do not meet the required sanitary standards. However, the authorities indicate that </w:t>
      </w:r>
      <w:proofErr w:type="spellStart"/>
      <w:r w:rsidRPr="00B93EE1">
        <w:t>IHSs</w:t>
      </w:r>
      <w:proofErr w:type="spellEnd"/>
      <w:r w:rsidRPr="00B93EE1">
        <w:t xml:space="preserve"> have been requested and are currently being worked under </w:t>
      </w:r>
      <w:proofErr w:type="spellStart"/>
      <w:r w:rsidRPr="00B93EE1">
        <w:t>MPI's</w:t>
      </w:r>
      <w:proofErr w:type="spellEnd"/>
      <w:r w:rsidRPr="00B93EE1">
        <w:t xml:space="preserve"> broader work programme.</w:t>
      </w:r>
    </w:p>
    <w:p w14:paraId="3BC09962" w14:textId="77777777" w:rsidR="00120717" w:rsidRPr="00F64A35" w:rsidRDefault="00120717" w:rsidP="008851C2">
      <w:pPr>
        <w:pStyle w:val="BodyText"/>
      </w:pPr>
      <w:r w:rsidRPr="00B93EE1">
        <w:t xml:space="preserve">In July 2017, following the discovery of </w:t>
      </w:r>
      <w:r w:rsidRPr="00B93EE1">
        <w:rPr>
          <w:i/>
          <w:iCs/>
        </w:rPr>
        <w:t xml:space="preserve">Mycoplasma </w:t>
      </w:r>
      <w:proofErr w:type="spellStart"/>
      <w:r w:rsidRPr="00B93EE1">
        <w:rPr>
          <w:i/>
          <w:iCs/>
        </w:rPr>
        <w:t>bovis</w:t>
      </w:r>
      <w:proofErr w:type="spellEnd"/>
      <w:r w:rsidRPr="00B93EE1">
        <w:rPr>
          <w:iCs/>
        </w:rPr>
        <w:t xml:space="preserve"> (M. </w:t>
      </w:r>
      <w:proofErr w:type="spellStart"/>
      <w:r w:rsidRPr="00B93EE1">
        <w:rPr>
          <w:iCs/>
        </w:rPr>
        <w:t>bovis</w:t>
      </w:r>
      <w:proofErr w:type="spellEnd"/>
      <w:r w:rsidRPr="00B93EE1">
        <w:rPr>
          <w:iCs/>
        </w:rPr>
        <w:t>)</w:t>
      </w:r>
      <w:r w:rsidRPr="00B93EE1">
        <w:t xml:space="preserve">, a bacterial infection, in cattle in New Zealand, the authorities declared a biosecurity response, whereby the Government and agricultural sector stakeholders decided to eradicate the disease. According to the authorities, the 10-year eradication programme has made positive progress towards the eradication of M. </w:t>
      </w:r>
      <w:proofErr w:type="spellStart"/>
      <w:r w:rsidRPr="00B93EE1">
        <w:t>bovis</w:t>
      </w:r>
      <w:proofErr w:type="spellEnd"/>
      <w:r w:rsidRPr="00B93EE1">
        <w:t xml:space="preserve"> from New Zealand. The focus of the programme is set to shift from finding the disease and clearing active confirmed properties (delimiting phase) to proof of absence surveillance to ensure absence of the disease. The latest report from the independent Technical Advisory Group for the M. </w:t>
      </w:r>
      <w:proofErr w:type="spellStart"/>
      <w:r w:rsidRPr="00B93EE1">
        <w:t>bovis</w:t>
      </w:r>
      <w:proofErr w:type="spellEnd"/>
      <w:r w:rsidRPr="00B93EE1">
        <w:t xml:space="preserve"> response recognizes the progress made by the Programme towards eradication. The report highlights that data from surveillance activities and genomic analysis suggest infection of M. </w:t>
      </w:r>
      <w:proofErr w:type="spellStart"/>
      <w:r w:rsidRPr="00B93EE1">
        <w:t>bovis</w:t>
      </w:r>
      <w:proofErr w:type="spellEnd"/>
      <w:r w:rsidRPr="00B93EE1">
        <w:t xml:space="preserve"> is not widespread, and that the rate of infection in the national herd is declining. As at mid-October 2021, the Programme had cleared 267 of the 271 total confirmed properties to date.</w:t>
      </w:r>
    </w:p>
    <w:p w14:paraId="66C91F6A" w14:textId="77777777" w:rsidR="00120717" w:rsidRPr="00F64A35" w:rsidRDefault="00120717" w:rsidP="008851C2">
      <w:pPr>
        <w:pStyle w:val="BodyText"/>
      </w:pPr>
      <w:r w:rsidRPr="00B93EE1">
        <w:t xml:space="preserve">As part of the authorities' efforts to ensure a sound biosecurity framework for livestock, the National Animal Identification and Tracing (NAIT) Act 2012, which </w:t>
      </w:r>
      <w:r w:rsidRPr="00B93EE1">
        <w:rPr>
          <w:bCs/>
        </w:rPr>
        <w:t>is fundamental to supporting responses to animal disease outbreaks, was amended in 2019. According to the authorities, the 2019 amendments were made to ensure the scheme is fit for future purpose and has since led to improvements in compliance with the scheme, enhancing traceability of cattle and deer in New Zealand.</w:t>
      </w:r>
    </w:p>
    <w:p w14:paraId="4CC7050A" w14:textId="77777777" w:rsidR="00120717" w:rsidRPr="00F64A35" w:rsidRDefault="00120717" w:rsidP="005E5ED6">
      <w:pPr>
        <w:pStyle w:val="Heading4"/>
      </w:pPr>
      <w:bookmarkStart w:id="157" w:name="_Toc97800164"/>
      <w:r w:rsidRPr="00B93EE1">
        <w:t>Genetically modified organisms (GMOs)</w:t>
      </w:r>
      <w:bookmarkEnd w:id="157"/>
    </w:p>
    <w:p w14:paraId="0A19412E" w14:textId="77777777" w:rsidR="00120717" w:rsidRPr="00F64A35" w:rsidRDefault="00120717" w:rsidP="008851C2">
      <w:pPr>
        <w:pStyle w:val="BodyText"/>
      </w:pPr>
      <w:r w:rsidRPr="00B93EE1">
        <w:t>GMOs are regulated through the Hazardous Substances and New Organisms (</w:t>
      </w:r>
      <w:proofErr w:type="spellStart"/>
      <w:r w:rsidRPr="00B93EE1">
        <w:t>HSNO</w:t>
      </w:r>
      <w:proofErr w:type="spellEnd"/>
      <w:r w:rsidRPr="00B93EE1">
        <w:t xml:space="preserve">) Act 1996. Under the </w:t>
      </w:r>
      <w:proofErr w:type="spellStart"/>
      <w:r w:rsidRPr="00B93EE1">
        <w:t>HSNO</w:t>
      </w:r>
      <w:proofErr w:type="spellEnd"/>
      <w:r w:rsidRPr="00B93EE1">
        <w:t xml:space="preserve"> Act, all new organisms, including GMOs, are prohibited from importation, development, field testing, or release without formal approval from the Environmental Protection Authority (EPA), which is required to take into account various factors related to the potential risks and benefits of the proposal. These include environmental, economic, social, cultural, and public </w:t>
      </w:r>
      <w:r w:rsidRPr="00B93EE1">
        <w:lastRenderedPageBreak/>
        <w:t xml:space="preserve">health considerations. The </w:t>
      </w:r>
      <w:proofErr w:type="spellStart"/>
      <w:r w:rsidRPr="00B93EE1">
        <w:t>MPI</w:t>
      </w:r>
      <w:proofErr w:type="spellEnd"/>
      <w:r w:rsidRPr="00B93EE1">
        <w:t xml:space="preserve"> ensures that the controls placed on new organism approvals by the EPA are complied with by enforcing the </w:t>
      </w:r>
      <w:proofErr w:type="spellStart"/>
      <w:r w:rsidRPr="00B93EE1">
        <w:t>HSNO</w:t>
      </w:r>
      <w:proofErr w:type="spellEnd"/>
      <w:r w:rsidRPr="00B93EE1">
        <w:t xml:space="preserve"> Act at the border and ensuring no unapproved GMOs material enters the country.</w:t>
      </w:r>
      <w:r w:rsidRPr="00B93EE1">
        <w:rPr>
          <w:rStyle w:val="FootnoteReference"/>
        </w:rPr>
        <w:footnoteReference w:id="210"/>
      </w:r>
      <w:r w:rsidRPr="00B93EE1">
        <w:t xml:space="preserve"> Genetically modified foods must undergo a safety assessment and approval by </w:t>
      </w:r>
      <w:proofErr w:type="spellStart"/>
      <w:r w:rsidRPr="00B93EE1">
        <w:t>FSANZ</w:t>
      </w:r>
      <w:proofErr w:type="spellEnd"/>
      <w:r w:rsidRPr="00B93EE1">
        <w:t xml:space="preserve"> before being able to be imported into New Zealand and be labelled accordingly. According to the authorities, </w:t>
      </w:r>
      <w:proofErr w:type="spellStart"/>
      <w:r w:rsidRPr="00B93EE1">
        <w:rPr>
          <w:szCs w:val="18"/>
        </w:rPr>
        <w:t>FSANZ</w:t>
      </w:r>
      <w:proofErr w:type="spellEnd"/>
      <w:r w:rsidRPr="00B93EE1">
        <w:rPr>
          <w:szCs w:val="18"/>
        </w:rPr>
        <w:t xml:space="preserve"> is currently publicly consulting on a proposal to amend the definitions of "food produced using gene technology" and "gene technology" in the Australia New Zealand Food Standards Code. </w:t>
      </w:r>
      <w:r w:rsidRPr="00B93EE1">
        <w:rPr>
          <w:rFonts w:cs="Helvetica"/>
          <w:szCs w:val="18"/>
          <w:shd w:val="clear" w:color="auto" w:fill="FFFFFF"/>
        </w:rPr>
        <w:t>These definitions determine what foods are classified as genetically modified food under the Code.</w:t>
      </w:r>
    </w:p>
    <w:p w14:paraId="05E62E72" w14:textId="77777777" w:rsidR="00120717" w:rsidRPr="00F64A35" w:rsidRDefault="00120717" w:rsidP="00185006">
      <w:pPr>
        <w:pStyle w:val="Heading3"/>
      </w:pPr>
      <w:bookmarkStart w:id="158" w:name="_Toc415735888"/>
      <w:bookmarkStart w:id="159" w:name="_Toc97800165"/>
      <w:r w:rsidRPr="00B93EE1">
        <w:t>Competition policy</w:t>
      </w:r>
      <w:bookmarkEnd w:id="158"/>
      <w:r w:rsidRPr="00B93EE1">
        <w:t xml:space="preserve"> and price controls</w:t>
      </w:r>
      <w:bookmarkEnd w:id="159"/>
    </w:p>
    <w:p w14:paraId="6A908FBF" w14:textId="77777777" w:rsidR="00120717" w:rsidRPr="00F64A35" w:rsidRDefault="00120717" w:rsidP="00E962FF">
      <w:pPr>
        <w:pStyle w:val="Heading4"/>
        <w:numPr>
          <w:ilvl w:val="3"/>
          <w:numId w:val="33"/>
        </w:numPr>
      </w:pPr>
      <w:bookmarkStart w:id="160" w:name="_Toc97800166"/>
      <w:r w:rsidRPr="00B93EE1">
        <w:t>Competition policy</w:t>
      </w:r>
      <w:bookmarkEnd w:id="160"/>
    </w:p>
    <w:p w14:paraId="46E78567" w14:textId="77777777" w:rsidR="00120717" w:rsidRPr="00F64A35" w:rsidRDefault="00120717" w:rsidP="00CC0CEB">
      <w:pPr>
        <w:pStyle w:val="BodyText"/>
      </w:pPr>
      <w:r w:rsidRPr="00B93EE1">
        <w:t>New Zealand's competition regime continues to be governed mainly by the Commerce Act 1986 (Commerce Act) as amended.</w:t>
      </w:r>
      <w:r w:rsidRPr="00B93EE1">
        <w:rPr>
          <w:rStyle w:val="FootnoteReference"/>
        </w:rPr>
        <w:footnoteReference w:id="211"/>
      </w:r>
      <w:r w:rsidRPr="00B93EE1">
        <w:t xml:space="preserve"> The Commerce Act aims to promote competition in New Zealand markets for the long-term benefit of consumers. It prohibits anti-competitive behaviour (anti-competitive coordinated behaviour and unilateral conduct) as well as acquisition of assets of a business or shares if the acquisition is likely to lead to a substantial lessening of competition in a market. It applies broadly across the economy, including the public sector insofar as it engages in trade.</w:t>
      </w:r>
      <w:r w:rsidRPr="00B93EE1">
        <w:rPr>
          <w:rStyle w:val="FootnoteReference"/>
        </w:rPr>
        <w:footnoteReference w:id="212"/>
      </w:r>
      <w:r w:rsidRPr="00B93EE1">
        <w:t xml:space="preserve"> In addition, the Commerce Act applies to persons residing or carrying out business in New Zealand who engage in anti-competitive conduct outside the country as long as this conduct affects a market in New Zealand.</w:t>
      </w:r>
    </w:p>
    <w:p w14:paraId="3AF5934A" w14:textId="77777777" w:rsidR="00120717" w:rsidRPr="00F64A35" w:rsidRDefault="00120717" w:rsidP="00CC0CEB">
      <w:pPr>
        <w:pStyle w:val="BodyText"/>
      </w:pPr>
      <w:r w:rsidRPr="00B93EE1">
        <w:t xml:space="preserve">The New Zealand Commerce Commission (Commerce Commission or </w:t>
      </w:r>
      <w:proofErr w:type="spellStart"/>
      <w:r w:rsidRPr="00B93EE1">
        <w:t>NZCC</w:t>
      </w:r>
      <w:proofErr w:type="spellEnd"/>
      <w:r w:rsidRPr="00B93EE1">
        <w:t xml:space="preserve">) is an independent statutory body and is responsible for enforcing the Commerce Act. The Commerce Commission is primarily accountable to the Minister of Commerce and Consumer Affairs for its operational performance and outputs. Competition policy is determined mainly by the </w:t>
      </w:r>
      <w:proofErr w:type="spellStart"/>
      <w:r w:rsidRPr="00B93EE1">
        <w:t>MBIE</w:t>
      </w:r>
      <w:proofErr w:type="spellEnd"/>
      <w:r w:rsidRPr="00B93EE1">
        <w:t>, though the Commerce Commission can sometimes provide advice on policy developments with a focus on the operational aspects of competition policy.</w:t>
      </w:r>
      <w:r w:rsidRPr="00B93EE1">
        <w:rPr>
          <w:rStyle w:val="FootnoteReference"/>
        </w:rPr>
        <w:footnoteReference w:id="213"/>
      </w:r>
      <w:r w:rsidRPr="00B93EE1">
        <w:t xml:space="preserve"> Thus, there is a differentiation between the operational side and the policy side of competition regulation in New Zealand. Besides the Commerce Act, the Commerce Commission is also responsible for the implementation of various other industry</w:t>
      </w:r>
      <w:r w:rsidRPr="00B93EE1">
        <w:noBreakHyphen/>
        <w:t>specific regulatory regimes, including those set out under the Telecommunications Act 2001, the Dairy Industry Restructuring Act 2001, and the Fuel Industry Act 2020.</w:t>
      </w:r>
    </w:p>
    <w:p w14:paraId="7A2053AC" w14:textId="77777777" w:rsidR="00120717" w:rsidRPr="00F64A35" w:rsidRDefault="00120717" w:rsidP="00CC0CEB">
      <w:pPr>
        <w:pStyle w:val="BodyText"/>
      </w:pPr>
      <w:r w:rsidRPr="00B93EE1">
        <w:t>During the reporting period, the Commerce Act was amended several times. In 2017, amendments created a new regime governing cartels by categorizing cartel conduct into three different types: price</w:t>
      </w:r>
      <w:r w:rsidRPr="00B93EE1">
        <w:noBreakHyphen/>
        <w:t>fixing, restricting output, and allocating markets. These 2017 amendments also introduced:</w:t>
      </w:r>
    </w:p>
    <w:p w14:paraId="4536ECDD" w14:textId="77777777" w:rsidR="00120717" w:rsidRPr="00B93EE1" w:rsidRDefault="00120717" w:rsidP="00AF569F">
      <w:pPr>
        <w:pStyle w:val="ListBullet2"/>
        <w:contextualSpacing w:val="0"/>
      </w:pPr>
      <w:r w:rsidRPr="00B93EE1">
        <w:t>A new exception to the general cartel prohibition, which permits a cartel provision in an agreement where the agreement involves a collaborative activity between two or more parties that does not have the dominant purpose of lessening competition. A clearance regime was also introduced, allowing a party proposing to enter into an agreement containing a cartel provision that is part of a collaborative activity to apply to the Commerce Commission for clearance.</w:t>
      </w:r>
      <w:r w:rsidRPr="00B93EE1">
        <w:rPr>
          <w:vertAlign w:val="superscript"/>
        </w:rPr>
        <w:footnoteReference w:id="214"/>
      </w:r>
    </w:p>
    <w:p w14:paraId="6729AC08" w14:textId="77777777" w:rsidR="00120717" w:rsidRPr="00B93EE1" w:rsidRDefault="00120717" w:rsidP="00AF569F">
      <w:pPr>
        <w:pStyle w:val="ListBullet2"/>
        <w:contextualSpacing w:val="0"/>
      </w:pPr>
      <w:r w:rsidRPr="00B93EE1">
        <w:t>A new exception relating to the vertical supply of goods and services, where the relevant supply contract contains a cartel provision that does not have the dominant purpose of lessening competition.</w:t>
      </w:r>
      <w:r w:rsidRPr="00B93EE1">
        <w:rPr>
          <w:rStyle w:val="FootnoteReference"/>
        </w:rPr>
        <w:footnoteReference w:id="215"/>
      </w:r>
    </w:p>
    <w:p w14:paraId="44B98F44" w14:textId="77777777" w:rsidR="00120717" w:rsidRPr="00F64A35" w:rsidRDefault="00120717" w:rsidP="00CC0CEB">
      <w:pPr>
        <w:pStyle w:val="BodyText"/>
      </w:pPr>
      <w:r w:rsidRPr="00B93EE1">
        <w:lastRenderedPageBreak/>
        <w:t>Pursuant to further amendments in 2018, the Commerce Commission gained powers to conduct market studies as well as the right to accept enforceable undertakings</w:t>
      </w:r>
      <w:r w:rsidRPr="00B93EE1">
        <w:rPr>
          <w:rStyle w:val="FootnoteReference"/>
        </w:rPr>
        <w:footnoteReference w:id="216"/>
      </w:r>
      <w:r w:rsidRPr="00B93EE1">
        <w:t xml:space="preserve"> to resolve competition concerns. The 2018 amendments also </w:t>
      </w:r>
      <w:r w:rsidRPr="00B93EE1">
        <w:rPr>
          <w:szCs w:val="20"/>
        </w:rPr>
        <w:t>strengthened the regulatory regime for airports under Part 4 of the Commerce Act, by including a new inquiry process that may lead to further regulation of specified activities undertaken by airports.</w:t>
      </w:r>
    </w:p>
    <w:p w14:paraId="1DB9EDCF" w14:textId="77777777" w:rsidR="00120717" w:rsidRPr="00F64A35" w:rsidRDefault="00120717" w:rsidP="00CC0CEB">
      <w:pPr>
        <w:pStyle w:val="BodyText"/>
      </w:pPr>
      <w:r w:rsidRPr="00B93EE1">
        <w:rPr>
          <w:szCs w:val="20"/>
        </w:rPr>
        <w:t xml:space="preserve">In 2019, the Commerce Act was amended again to criminalize cartels. </w:t>
      </w:r>
      <w:r w:rsidRPr="00B93EE1">
        <w:t>The penalty for an individual who has entered into or given effect to an arrangement containing a cartel provision and has intended to fix prices, restrict output, or allocate markets is up to seven years imprisonment, a fine of up to NZD 500,000, or both. For legal entities, the penalty is up to NZD 10 million.</w:t>
      </w:r>
    </w:p>
    <w:p w14:paraId="00E4EA55" w14:textId="77777777" w:rsidR="00120717" w:rsidRPr="00F64A35" w:rsidRDefault="00120717" w:rsidP="00CC0CEB">
      <w:pPr>
        <w:pStyle w:val="BodyText"/>
      </w:pPr>
      <w:r w:rsidRPr="00B93EE1">
        <w:t>In 2021, a new Bill amending the Commerce Act was introduced to the Parliament. The key proposed amendments relate to: (</w:t>
      </w:r>
      <w:proofErr w:type="spellStart"/>
      <w:r w:rsidRPr="00B93EE1">
        <w:t>i</w:t>
      </w:r>
      <w:proofErr w:type="spellEnd"/>
      <w:r w:rsidRPr="00B93EE1">
        <w:t>) </w:t>
      </w:r>
      <w:r w:rsidRPr="00B93EE1">
        <w:rPr>
          <w:szCs w:val="20"/>
        </w:rPr>
        <w:t>reforming the prohibition on taking advantage of substantial market power to adopt an "effects test"; (ii) repealing of provisions that shield some intellectual property arrangements from competition law scrutiny; (iii) increasing the penalties for anti</w:t>
      </w:r>
      <w:r w:rsidRPr="00B93EE1">
        <w:rPr>
          <w:szCs w:val="20"/>
        </w:rPr>
        <w:noBreakHyphen/>
        <w:t xml:space="preserve">competitive mergers; and (iv) making it easier for the Commerce Commission to share confidential information with domestic counterparts. </w:t>
      </w:r>
      <w:r w:rsidRPr="00B93EE1">
        <w:rPr>
          <w:bCs/>
          <w:szCs w:val="20"/>
        </w:rPr>
        <w:t>The Bill is currently undergoing its final stage of scrutiny by Parliament in the Committee of the Whole House and will then be submitted to the Governor General for Royal Assent.</w:t>
      </w:r>
    </w:p>
    <w:p w14:paraId="68FE60F8" w14:textId="77777777" w:rsidR="00120717" w:rsidRPr="00F64A35" w:rsidRDefault="00120717" w:rsidP="00CC0CEB">
      <w:pPr>
        <w:pStyle w:val="BodyText"/>
      </w:pPr>
      <w:r w:rsidRPr="00B93EE1">
        <w:t>Market studies are an important part of competition policy in New Zealand. They can be initiated by the Minister of Commerce and Consumer Affairs or by the Commerce Commission itself. Such studies are carried out to identify factors that prevent, restrict, or distort competition in a given market. The results of a market study might confirm or refute the initial presumption that competition in the market under investigation is distorted. In case a distortion is identified, the Commerce Commission gives non-binding recommendations to which the Government is required to publicly respond. The Commerce Commission has so far completed the Retail Fuel Market Study, and is currently carrying out the Retail Grocery and Residential Building Supplies market studies. The final reports for the Retail Grocery and Residential Building Supplies market studies are due to be published by 8 March 2022 and 6 December 2022, respectively.</w:t>
      </w:r>
      <w:r w:rsidRPr="00B93EE1">
        <w:rPr>
          <w:rStyle w:val="FootnoteReference"/>
        </w:rPr>
        <w:footnoteReference w:id="217"/>
      </w:r>
    </w:p>
    <w:p w14:paraId="01DAFCBD" w14:textId="77777777" w:rsidR="00120717" w:rsidRPr="00F64A35" w:rsidRDefault="00120717" w:rsidP="00CC0CEB">
      <w:pPr>
        <w:pStyle w:val="BodyText"/>
      </w:pPr>
      <w:r w:rsidRPr="00B93EE1">
        <w:t>There is a voluntary merger notification system in New Zealand. The Commerce Commission has the power to clear a proposed merger if it is satisfied that the transaction is unlikely to have the effect of substantially lessen competition in a market in New Zealand. An anti-competitive business acquisition can likewise be voluntarily notified to the Commerce Commission, and authorized by it if the Commission finds that the resulting public benefits from the acquisition are likely to outweigh its anti-competitive effects. Firms can proceed with a merger without seeking clearance or authorization from the Commerce Commission. However, if the Commission finds that a non-notified completed merger is likely to have the effect of substantially lessening competition in a market, the Commission has the power to take enforcement action, including applying to the court for divestments and penalties against companies and individuals.</w:t>
      </w:r>
    </w:p>
    <w:p w14:paraId="491E9A27" w14:textId="77777777" w:rsidR="00120717" w:rsidRPr="00F64A35" w:rsidRDefault="00120717" w:rsidP="00CC0CEB">
      <w:pPr>
        <w:pStyle w:val="BodyText"/>
      </w:pPr>
      <w:r w:rsidRPr="00B93EE1">
        <w:rPr>
          <w:szCs w:val="18"/>
        </w:rPr>
        <w:t xml:space="preserve">There are a number of ways by which the Commerce Commission may learn of non-notified mergers. </w:t>
      </w:r>
      <w:r w:rsidRPr="00B93EE1">
        <w:t xml:space="preserve">The Commission has a </w:t>
      </w:r>
      <w:r w:rsidRPr="00B93EE1">
        <w:rPr>
          <w:szCs w:val="18"/>
        </w:rPr>
        <w:t xml:space="preserve">comprehensive mergers surveillance programme by which it proactively gathers </w:t>
      </w:r>
      <w:r w:rsidRPr="00B93EE1">
        <w:rPr>
          <w:rFonts w:eastAsia="Times New Roman"/>
          <w:szCs w:val="18"/>
        </w:rPr>
        <w:t>information about announced and completed mergers. It can also react to information provided by: (</w:t>
      </w:r>
      <w:proofErr w:type="spellStart"/>
      <w:r w:rsidRPr="00B93EE1">
        <w:rPr>
          <w:rFonts w:eastAsia="Times New Roman"/>
          <w:szCs w:val="18"/>
        </w:rPr>
        <w:t>i</w:t>
      </w:r>
      <w:proofErr w:type="spellEnd"/>
      <w:r w:rsidRPr="00B93EE1">
        <w:rPr>
          <w:rFonts w:eastAsia="Times New Roman"/>
          <w:szCs w:val="18"/>
        </w:rPr>
        <w:t>) counsel acting for parties to a merger (who may send the Commission an informal courtesy letter advising of a proposed merger for which clearance is not proposed to be sought); and/or (ii) external parties (including customers, suppliers, competitors, and industry bodies) that alert the Commission to an announced or completed merger.</w:t>
      </w:r>
      <w:r w:rsidRPr="00B93EE1">
        <w:rPr>
          <w:rStyle w:val="FootnoteReference"/>
          <w:rFonts w:eastAsia="Times New Roman"/>
          <w:szCs w:val="18"/>
        </w:rPr>
        <w:footnoteReference w:id="218"/>
      </w:r>
      <w:r w:rsidRPr="00B93EE1">
        <w:rPr>
          <w:rFonts w:eastAsia="Times New Roman"/>
          <w:szCs w:val="18"/>
        </w:rPr>
        <w:t xml:space="preserve"> The Commission is not required to </w:t>
      </w:r>
      <w:r w:rsidRPr="00B93EE1">
        <w:rPr>
          <w:szCs w:val="18"/>
        </w:rPr>
        <w:t xml:space="preserve">check all non-notified mergers or to examine a specific number each year. However, </w:t>
      </w:r>
      <w:r w:rsidRPr="00B93EE1">
        <w:rPr>
          <w:szCs w:val="18"/>
        </w:rPr>
        <w:lastRenderedPageBreak/>
        <w:t>priority is given to enforcement investigations into mergers that could substantially lessen competition, where an application for clearance or authorization has not been made.</w:t>
      </w:r>
      <w:r w:rsidRPr="00B93EE1">
        <w:rPr>
          <w:rStyle w:val="FootnoteReference"/>
          <w:szCs w:val="18"/>
        </w:rPr>
        <w:footnoteReference w:id="219"/>
      </w:r>
    </w:p>
    <w:p w14:paraId="360CAC8D" w14:textId="77777777" w:rsidR="00120717" w:rsidRPr="00F64A35" w:rsidRDefault="00120717" w:rsidP="00CC0CEB">
      <w:pPr>
        <w:pStyle w:val="BodyText"/>
      </w:pPr>
      <w:r w:rsidRPr="00B93EE1">
        <w:t>Due to the situation created by the COVID</w:t>
      </w:r>
      <w:r w:rsidRPr="00B93EE1">
        <w:noBreakHyphen/>
        <w:t>19 pandemic, in March 2020 the Commerce Commission announced that it would not take enforcement action under the Commerce Act against businesses that cooperated to ensure an uninterrupted supply of essential goods and services during the COVID</w:t>
      </w:r>
      <w:r w:rsidRPr="00B93EE1">
        <w:noBreakHyphen/>
        <w:t>19-related restrictions. Further guidance was issued, explaining the treatment of business collaboration during the COVID</w:t>
      </w:r>
      <w:r w:rsidRPr="00B93EE1">
        <w:noBreakHyphen/>
        <w:t>19 period.</w:t>
      </w:r>
      <w:r w:rsidRPr="00B93EE1">
        <w:rPr>
          <w:rStyle w:val="FootnoteReference"/>
        </w:rPr>
        <w:footnoteReference w:id="220"/>
      </w:r>
    </w:p>
    <w:p w14:paraId="1F447AA9" w14:textId="77777777" w:rsidR="00120717" w:rsidRPr="00F64A35" w:rsidRDefault="00120717" w:rsidP="00CC0CEB">
      <w:pPr>
        <w:pStyle w:val="BodyText"/>
      </w:pPr>
      <w:r w:rsidRPr="00B93EE1">
        <w:t>Some sectors of the economy still suffer from limited competition. For example, the study on retail fuel markets showed that: (</w:t>
      </w:r>
      <w:proofErr w:type="spellStart"/>
      <w:r w:rsidRPr="00B93EE1">
        <w:t>i</w:t>
      </w:r>
      <w:proofErr w:type="spellEnd"/>
      <w:r w:rsidRPr="00B93EE1">
        <w:t>) the main problem is at the wholesale market level; (ii) firms in the fuel market are making higher profits than would have been expected in a competitive environment; and (iii) there are differences in fuel prices in different regions. Consequently, the Commerce Commission made recommendations based on which the Government decided to introduce the Fuel Industry Act 2020</w:t>
      </w:r>
      <w:r w:rsidRPr="00B93EE1">
        <w:rPr>
          <w:vertAlign w:val="superscript"/>
        </w:rPr>
        <w:footnoteReference w:id="221"/>
      </w:r>
      <w:r w:rsidRPr="00B93EE1">
        <w:t>, aimed at increasing competition in the market for retail fuel.</w:t>
      </w:r>
    </w:p>
    <w:p w14:paraId="21226C47" w14:textId="77777777" w:rsidR="00120717" w:rsidRPr="00F64A35" w:rsidRDefault="00120717" w:rsidP="00CC0CEB">
      <w:pPr>
        <w:pStyle w:val="BodyText"/>
      </w:pPr>
      <w:r w:rsidRPr="00B93EE1">
        <w:t xml:space="preserve">Another sector with competition challenges was found to be the retail grocery sector. The Commission's market study made preliminary findings that the prices of groceries are higher in New Zealand when compared to international standards, and the two main retailers consistently make high profits. In addition, little innovation was observed in the sector. It also outlines a range of remedial options in the Commission's draft report, </w:t>
      </w:r>
      <w:r w:rsidRPr="00B93EE1">
        <w:rPr>
          <w:i/>
          <w:iCs/>
        </w:rPr>
        <w:t>inter alia</w:t>
      </w:r>
      <w:r w:rsidRPr="00B93EE1">
        <w:t>, to simplify pricing policies, make the conditions for loyalty programmes clearer, make more land available for new grocery stores to be opened, and increase access to wholesale markets for a wide range of retailers.</w:t>
      </w:r>
      <w:r w:rsidRPr="00B93EE1">
        <w:rPr>
          <w:rStyle w:val="FootnoteReference"/>
        </w:rPr>
        <w:footnoteReference w:id="222"/>
      </w:r>
    </w:p>
    <w:p w14:paraId="40A0B330" w14:textId="77777777" w:rsidR="00120717" w:rsidRPr="00F64A35" w:rsidRDefault="00120717" w:rsidP="00F64A35">
      <w:pPr>
        <w:pStyle w:val="BodyText"/>
      </w:pPr>
      <w:r w:rsidRPr="00B93EE1">
        <w:t>To increase competition in the electricity market, New Zealand's electricity market regulator has banned retailer-initiated saves (where an electricity retailer tries to persuade a customer not to switch providers) and win-backs (where an electricity retailer tries to win back a customer after they have switched providers).</w:t>
      </w:r>
      <w:r w:rsidRPr="00B93EE1">
        <w:rPr>
          <w:rStyle w:val="FootnoteReference"/>
        </w:rPr>
        <w:footnoteReference w:id="223"/>
      </w:r>
    </w:p>
    <w:p w14:paraId="700718A5" w14:textId="77777777" w:rsidR="00120717" w:rsidRPr="00F64A35" w:rsidRDefault="00120717" w:rsidP="00E962FF">
      <w:pPr>
        <w:pStyle w:val="Heading5"/>
        <w:numPr>
          <w:ilvl w:val="4"/>
          <w:numId w:val="34"/>
        </w:numPr>
      </w:pPr>
      <w:bookmarkStart w:id="161" w:name="_Toc97800167"/>
      <w:r w:rsidRPr="00B93EE1">
        <w:t>Enforcement</w:t>
      </w:r>
      <w:bookmarkEnd w:id="161"/>
    </w:p>
    <w:p w14:paraId="5B495479" w14:textId="77777777" w:rsidR="00120717" w:rsidRPr="00F64A35" w:rsidRDefault="00120717" w:rsidP="00CC0CEB">
      <w:pPr>
        <w:pStyle w:val="BodyText"/>
      </w:pPr>
      <w:r w:rsidRPr="00B93EE1">
        <w:t xml:space="preserve">Enforcement of competition policy provisions is carried out by the Commerce Commission and the courts. The Commerce Commission has investigative powers under Sections 98, 98A, and 99 of the Commerce Act pursuant to which it can, </w:t>
      </w:r>
      <w:r w:rsidRPr="00B93EE1">
        <w:rPr>
          <w:i/>
          <w:iCs/>
        </w:rPr>
        <w:t>inter alia</w:t>
      </w:r>
      <w:r w:rsidRPr="00B93EE1">
        <w:t>, request information or documents, search any premises mentioned in the warrant, and take evidence.</w:t>
      </w:r>
    </w:p>
    <w:p w14:paraId="273A7A67" w14:textId="33EB9293" w:rsidR="00120717" w:rsidRPr="00F64A35" w:rsidRDefault="00120717" w:rsidP="00CC0CEB">
      <w:pPr>
        <w:pStyle w:val="BodyText"/>
      </w:pPr>
      <w:r w:rsidRPr="00B93EE1">
        <w:t>In 2018, the Commerce Commission adopted Competition and Consumer Investigation Guidelines under which investigations are to be carried out in an impartial, objective, and fair manner.</w:t>
      </w:r>
      <w:r w:rsidRPr="00B93EE1">
        <w:rPr>
          <w:rStyle w:val="FootnoteReference"/>
        </w:rPr>
        <w:footnoteReference w:id="224"/>
      </w:r>
      <w:r w:rsidRPr="00B93EE1">
        <w:t xml:space="preserve"> Information about potential violations may be received from different sources, such as complaints, the media, a referral from other authorities, as part of another Commission process (e.g. assessment of a merger clearance application), or the Commission's own intelligence, research, and analysis. After the completion of an investigation, decisions might be taken on court action, enforceable undertakings, settlement, a warning, an infringement notice, or a compliance advice letter. The person or legal entity that has violated competition norms can be required by the court to pay penalties and, in the case of anti-competitive mergers, sell assets or shares. Data on competition enforcement during 2016-20 are shown in Table 3.1</w:t>
      </w:r>
      <w:r w:rsidR="000C40BE">
        <w:t>3</w:t>
      </w:r>
      <w:r w:rsidRPr="00B93EE1">
        <w:t>.</w:t>
      </w:r>
    </w:p>
    <w:p w14:paraId="09769019" w14:textId="47B72C0A" w:rsidR="00120717" w:rsidRPr="00B93EE1" w:rsidRDefault="00D37A97" w:rsidP="00D37A97">
      <w:pPr>
        <w:pStyle w:val="Caption"/>
      </w:pPr>
      <w:bookmarkStart w:id="162" w:name="_Toc97793399"/>
      <w:r>
        <w:lastRenderedPageBreak/>
        <w:t xml:space="preserve">Table </w:t>
      </w:r>
      <w:r w:rsidR="0012793B">
        <w:fldChar w:fldCharType="begin"/>
      </w:r>
      <w:r w:rsidR="0012793B">
        <w:instrText xml:space="preserve"> 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13</w:t>
      </w:r>
      <w:r w:rsidR="0012793B">
        <w:rPr>
          <w:noProof/>
        </w:rPr>
        <w:fldChar w:fldCharType="end"/>
      </w:r>
      <w:r>
        <w:t xml:space="preserve"> </w:t>
      </w:r>
      <w:r w:rsidR="00120717" w:rsidRPr="00B93EE1">
        <w:t>Data on competition enforcement, 2016-20</w:t>
      </w:r>
      <w:bookmarkEnd w:id="162"/>
    </w:p>
    <w:tbl>
      <w:tblPr>
        <w:tblW w:w="5028"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258"/>
        <w:gridCol w:w="1160"/>
        <w:gridCol w:w="1162"/>
        <w:gridCol w:w="1162"/>
        <w:gridCol w:w="1162"/>
        <w:gridCol w:w="1162"/>
      </w:tblGrid>
      <w:tr w:rsidR="00120717" w:rsidRPr="00B93EE1" w14:paraId="3D778226" w14:textId="77777777" w:rsidTr="00C83C78">
        <w:trPr>
          <w:trHeight w:val="225"/>
          <w:tblHeader/>
        </w:trPr>
        <w:tc>
          <w:tcPr>
            <w:tcW w:w="1796" w:type="pct"/>
            <w:shd w:val="clear" w:color="auto" w:fill="006283"/>
            <w:noWrap/>
            <w:hideMark/>
          </w:tcPr>
          <w:p w14:paraId="2482B7EC" w14:textId="77777777" w:rsidR="00120717" w:rsidRPr="00B93EE1" w:rsidRDefault="00120717" w:rsidP="00AC04EA">
            <w:pPr>
              <w:keepNext/>
              <w:keepLines/>
              <w:rPr>
                <w:rFonts w:eastAsia="Calibri" w:cs="Times New Roman"/>
                <w:b/>
                <w:color w:val="FFFFFF"/>
                <w:sz w:val="15"/>
                <w:szCs w:val="15"/>
                <w:highlight w:val="cyan"/>
              </w:rPr>
            </w:pPr>
          </w:p>
        </w:tc>
        <w:tc>
          <w:tcPr>
            <w:tcW w:w="640" w:type="pct"/>
            <w:shd w:val="clear" w:color="auto" w:fill="006283"/>
            <w:noWrap/>
            <w:vAlign w:val="center"/>
            <w:hideMark/>
          </w:tcPr>
          <w:p w14:paraId="45D68BFC" w14:textId="77777777" w:rsidR="00120717" w:rsidRPr="00B93EE1" w:rsidRDefault="00120717" w:rsidP="00AC04EA">
            <w:pPr>
              <w:keepNext/>
              <w:keepLines/>
              <w:ind w:right="57"/>
              <w:jc w:val="right"/>
              <w:rPr>
                <w:rFonts w:eastAsia="Times New Roman" w:cs="Times New Roman"/>
                <w:b/>
                <w:bCs/>
                <w:color w:val="FFFFFF"/>
                <w:sz w:val="15"/>
                <w:szCs w:val="15"/>
              </w:rPr>
            </w:pPr>
            <w:r w:rsidRPr="00B93EE1">
              <w:rPr>
                <w:rFonts w:eastAsia="Times New Roman" w:cs="Times New Roman"/>
                <w:b/>
                <w:color w:val="FFFFFF"/>
                <w:sz w:val="15"/>
                <w:szCs w:val="15"/>
              </w:rPr>
              <w:t>2016</w:t>
            </w:r>
          </w:p>
        </w:tc>
        <w:tc>
          <w:tcPr>
            <w:tcW w:w="641" w:type="pct"/>
            <w:shd w:val="clear" w:color="auto" w:fill="006283"/>
            <w:noWrap/>
            <w:vAlign w:val="center"/>
            <w:hideMark/>
          </w:tcPr>
          <w:p w14:paraId="52C525AD" w14:textId="77777777" w:rsidR="00120717" w:rsidRPr="00B93EE1" w:rsidRDefault="00120717" w:rsidP="00AC04EA">
            <w:pPr>
              <w:keepNext/>
              <w:keepLines/>
              <w:ind w:right="57"/>
              <w:jc w:val="right"/>
              <w:rPr>
                <w:rFonts w:eastAsia="Times New Roman" w:cs="Times New Roman"/>
                <w:b/>
                <w:bCs/>
                <w:color w:val="FFFFFF"/>
                <w:sz w:val="15"/>
                <w:szCs w:val="15"/>
              </w:rPr>
            </w:pPr>
            <w:r w:rsidRPr="00B93EE1">
              <w:rPr>
                <w:rFonts w:eastAsia="Times New Roman" w:cs="Times New Roman"/>
                <w:b/>
                <w:color w:val="FFFFFF"/>
                <w:sz w:val="15"/>
                <w:szCs w:val="15"/>
              </w:rPr>
              <w:t>2017</w:t>
            </w:r>
          </w:p>
        </w:tc>
        <w:tc>
          <w:tcPr>
            <w:tcW w:w="641" w:type="pct"/>
            <w:shd w:val="clear" w:color="auto" w:fill="006283"/>
            <w:noWrap/>
            <w:vAlign w:val="center"/>
            <w:hideMark/>
          </w:tcPr>
          <w:p w14:paraId="70434399" w14:textId="77777777" w:rsidR="00120717" w:rsidRPr="00B93EE1" w:rsidRDefault="00120717" w:rsidP="00AC04EA">
            <w:pPr>
              <w:keepNext/>
              <w:keepLines/>
              <w:ind w:right="57"/>
              <w:jc w:val="right"/>
              <w:rPr>
                <w:rFonts w:eastAsia="Times New Roman" w:cs="Times New Roman"/>
                <w:b/>
                <w:bCs/>
                <w:color w:val="FFFFFF"/>
                <w:sz w:val="15"/>
                <w:szCs w:val="15"/>
              </w:rPr>
            </w:pPr>
            <w:r w:rsidRPr="00B93EE1">
              <w:rPr>
                <w:rFonts w:eastAsia="Times New Roman" w:cs="Times New Roman"/>
                <w:b/>
                <w:color w:val="FFFFFF"/>
                <w:sz w:val="15"/>
                <w:szCs w:val="15"/>
              </w:rPr>
              <w:t>2018</w:t>
            </w:r>
          </w:p>
        </w:tc>
        <w:tc>
          <w:tcPr>
            <w:tcW w:w="641" w:type="pct"/>
            <w:shd w:val="clear" w:color="auto" w:fill="006283"/>
            <w:noWrap/>
            <w:vAlign w:val="center"/>
            <w:hideMark/>
          </w:tcPr>
          <w:p w14:paraId="5F85380C" w14:textId="77777777" w:rsidR="00120717" w:rsidRPr="00B93EE1" w:rsidRDefault="00120717" w:rsidP="00AC04EA">
            <w:pPr>
              <w:keepNext/>
              <w:keepLines/>
              <w:ind w:right="57"/>
              <w:jc w:val="right"/>
              <w:rPr>
                <w:rFonts w:eastAsia="Times New Roman" w:cs="Times New Roman"/>
                <w:b/>
                <w:bCs/>
                <w:color w:val="FFFFFF"/>
                <w:sz w:val="15"/>
                <w:szCs w:val="15"/>
              </w:rPr>
            </w:pPr>
            <w:r w:rsidRPr="00B93EE1">
              <w:rPr>
                <w:rFonts w:eastAsia="Times New Roman" w:cs="Times New Roman"/>
                <w:b/>
                <w:color w:val="FFFFFF"/>
                <w:sz w:val="15"/>
                <w:szCs w:val="15"/>
              </w:rPr>
              <w:t>2019</w:t>
            </w:r>
          </w:p>
        </w:tc>
        <w:tc>
          <w:tcPr>
            <w:tcW w:w="641" w:type="pct"/>
            <w:shd w:val="clear" w:color="auto" w:fill="006283"/>
            <w:vAlign w:val="center"/>
          </w:tcPr>
          <w:p w14:paraId="14C3FAC1" w14:textId="77777777" w:rsidR="00120717" w:rsidRPr="00B93EE1" w:rsidRDefault="00120717" w:rsidP="00AC04EA">
            <w:pPr>
              <w:keepNext/>
              <w:keepLines/>
              <w:ind w:right="57"/>
              <w:jc w:val="right"/>
              <w:rPr>
                <w:rFonts w:eastAsia="Times New Roman" w:cs="Times New Roman"/>
                <w:b/>
                <w:color w:val="FFFFFF"/>
                <w:sz w:val="15"/>
                <w:szCs w:val="15"/>
              </w:rPr>
            </w:pPr>
            <w:r w:rsidRPr="00B93EE1">
              <w:rPr>
                <w:rFonts w:eastAsia="Times New Roman" w:cs="Times New Roman"/>
                <w:b/>
                <w:color w:val="FFFFFF"/>
                <w:sz w:val="15"/>
                <w:szCs w:val="15"/>
              </w:rPr>
              <w:t>2020</w:t>
            </w:r>
          </w:p>
        </w:tc>
      </w:tr>
      <w:tr w:rsidR="00120717" w:rsidRPr="00B93EE1" w14:paraId="07D25FCD" w14:textId="77777777" w:rsidTr="00341D46">
        <w:trPr>
          <w:trHeight w:val="183"/>
        </w:trPr>
        <w:tc>
          <w:tcPr>
            <w:tcW w:w="1796" w:type="pct"/>
            <w:shd w:val="clear" w:color="auto" w:fill="auto"/>
            <w:noWrap/>
            <w:hideMark/>
          </w:tcPr>
          <w:p w14:paraId="2CC8C2F3" w14:textId="77777777" w:rsidR="00120717" w:rsidRPr="00B93EE1" w:rsidRDefault="00120717" w:rsidP="00AC04EA">
            <w:pPr>
              <w:keepNext/>
              <w:keepLines/>
              <w:jc w:val="left"/>
              <w:rPr>
                <w:rFonts w:eastAsia="Times New Roman" w:cs="Times New Roman"/>
                <w:color w:val="000000"/>
                <w:sz w:val="15"/>
                <w:szCs w:val="15"/>
              </w:rPr>
            </w:pPr>
            <w:r w:rsidRPr="00B93EE1">
              <w:rPr>
                <w:rFonts w:eastAsia="Calibri" w:cs="Times New Roman"/>
                <w:b/>
                <w:bCs/>
                <w:sz w:val="15"/>
                <w:szCs w:val="15"/>
              </w:rPr>
              <w:t>1 Initiation of case investigations (number)</w:t>
            </w:r>
          </w:p>
        </w:tc>
        <w:tc>
          <w:tcPr>
            <w:tcW w:w="640" w:type="pct"/>
            <w:shd w:val="clear" w:color="auto" w:fill="auto"/>
            <w:noWrap/>
            <w:hideMark/>
          </w:tcPr>
          <w:p w14:paraId="2CEBA145" w14:textId="77777777" w:rsidR="00120717" w:rsidRPr="00B93EE1" w:rsidRDefault="00120717" w:rsidP="00AC04EA">
            <w:pPr>
              <w:keepNext/>
              <w:keepLines/>
              <w:ind w:right="57"/>
              <w:jc w:val="right"/>
              <w:rPr>
                <w:rFonts w:eastAsia="Times New Roman" w:cs="Times New Roman"/>
                <w:color w:val="000000"/>
                <w:sz w:val="15"/>
                <w:szCs w:val="15"/>
                <w:highlight w:val="cyan"/>
              </w:rPr>
            </w:pPr>
          </w:p>
        </w:tc>
        <w:tc>
          <w:tcPr>
            <w:tcW w:w="641" w:type="pct"/>
            <w:shd w:val="clear" w:color="auto" w:fill="auto"/>
            <w:noWrap/>
            <w:hideMark/>
          </w:tcPr>
          <w:p w14:paraId="6696A85C" w14:textId="77777777" w:rsidR="00120717" w:rsidRPr="00B93EE1" w:rsidRDefault="00120717" w:rsidP="00AC04EA">
            <w:pPr>
              <w:keepNext/>
              <w:keepLines/>
              <w:ind w:right="57"/>
              <w:jc w:val="right"/>
              <w:rPr>
                <w:rFonts w:eastAsia="Times New Roman" w:cs="Times New Roman"/>
                <w:color w:val="000000"/>
                <w:sz w:val="15"/>
                <w:szCs w:val="15"/>
                <w:highlight w:val="cyan"/>
              </w:rPr>
            </w:pPr>
          </w:p>
        </w:tc>
        <w:tc>
          <w:tcPr>
            <w:tcW w:w="641" w:type="pct"/>
            <w:shd w:val="clear" w:color="auto" w:fill="auto"/>
            <w:noWrap/>
            <w:hideMark/>
          </w:tcPr>
          <w:p w14:paraId="3CC5B886" w14:textId="77777777" w:rsidR="00120717" w:rsidRPr="00B93EE1" w:rsidRDefault="00120717" w:rsidP="00AC04EA">
            <w:pPr>
              <w:keepNext/>
              <w:keepLines/>
              <w:ind w:right="57"/>
              <w:jc w:val="right"/>
              <w:rPr>
                <w:rFonts w:eastAsia="Times New Roman" w:cs="Times New Roman"/>
                <w:color w:val="000000"/>
                <w:sz w:val="15"/>
                <w:szCs w:val="15"/>
                <w:highlight w:val="cyan"/>
              </w:rPr>
            </w:pPr>
          </w:p>
        </w:tc>
        <w:tc>
          <w:tcPr>
            <w:tcW w:w="641" w:type="pct"/>
            <w:shd w:val="clear" w:color="auto" w:fill="auto"/>
            <w:noWrap/>
            <w:hideMark/>
          </w:tcPr>
          <w:p w14:paraId="0844C420" w14:textId="77777777" w:rsidR="00120717" w:rsidRPr="00B93EE1" w:rsidRDefault="00120717" w:rsidP="00AC04EA">
            <w:pPr>
              <w:keepNext/>
              <w:keepLines/>
              <w:ind w:right="57"/>
              <w:jc w:val="right"/>
              <w:rPr>
                <w:rFonts w:eastAsia="Times New Roman" w:cs="Times New Roman"/>
                <w:color w:val="000000"/>
                <w:sz w:val="15"/>
                <w:szCs w:val="15"/>
                <w:highlight w:val="cyan"/>
              </w:rPr>
            </w:pPr>
          </w:p>
        </w:tc>
        <w:tc>
          <w:tcPr>
            <w:tcW w:w="641" w:type="pct"/>
            <w:shd w:val="clear" w:color="auto" w:fill="auto"/>
          </w:tcPr>
          <w:p w14:paraId="5124B220" w14:textId="77777777" w:rsidR="00120717" w:rsidRPr="00B93EE1" w:rsidRDefault="00120717" w:rsidP="00AC04EA">
            <w:pPr>
              <w:keepNext/>
              <w:keepLines/>
              <w:ind w:right="57"/>
              <w:jc w:val="right"/>
              <w:rPr>
                <w:rFonts w:eastAsia="Times New Roman" w:cs="Verdana"/>
                <w:color w:val="000000"/>
                <w:sz w:val="15"/>
                <w:szCs w:val="15"/>
                <w:highlight w:val="cyan"/>
              </w:rPr>
            </w:pPr>
          </w:p>
        </w:tc>
      </w:tr>
      <w:tr w:rsidR="00120717" w:rsidRPr="00B93EE1" w14:paraId="1A8FAC7B" w14:textId="77777777" w:rsidTr="00341D46">
        <w:trPr>
          <w:trHeight w:val="225"/>
        </w:trPr>
        <w:tc>
          <w:tcPr>
            <w:tcW w:w="1796" w:type="pct"/>
            <w:shd w:val="clear" w:color="auto" w:fill="C9DED4"/>
            <w:noWrap/>
            <w:hideMark/>
          </w:tcPr>
          <w:p w14:paraId="2CB1FDB6" w14:textId="77777777" w:rsidR="00120717" w:rsidRPr="00B93EE1" w:rsidRDefault="00120717" w:rsidP="00AC04EA">
            <w:pPr>
              <w:keepNext/>
              <w:keepLines/>
              <w:ind w:left="284" w:hanging="284"/>
              <w:jc w:val="left"/>
              <w:rPr>
                <w:rFonts w:eastAsia="Times New Roman" w:cs="Times New Roman"/>
                <w:color w:val="000000"/>
                <w:sz w:val="15"/>
                <w:szCs w:val="15"/>
              </w:rPr>
            </w:pPr>
            <w:r w:rsidRPr="00B93EE1">
              <w:rPr>
                <w:rFonts w:eastAsia="Verdana" w:cs="Verdana"/>
                <w:sz w:val="15"/>
                <w:szCs w:val="15"/>
              </w:rPr>
              <w:t>a)</w:t>
            </w:r>
            <w:r w:rsidRPr="00B93EE1">
              <w:rPr>
                <w:rFonts w:eastAsia="Verdana" w:cs="Verdana"/>
                <w:sz w:val="15"/>
                <w:szCs w:val="15"/>
              </w:rPr>
              <w:tab/>
              <w:t>Cases concerning anti-competitive agreements (coordinated behaviour)</w:t>
            </w:r>
          </w:p>
        </w:tc>
        <w:tc>
          <w:tcPr>
            <w:tcW w:w="640" w:type="pct"/>
            <w:shd w:val="clear" w:color="auto" w:fill="C9DED4"/>
            <w:noWrap/>
            <w:hideMark/>
          </w:tcPr>
          <w:p w14:paraId="435EF879" w14:textId="77777777" w:rsidR="00120717" w:rsidRPr="00B93EE1" w:rsidRDefault="00120717" w:rsidP="00AC04EA">
            <w:pPr>
              <w:keepNext/>
              <w:keepLines/>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6</w:t>
            </w:r>
          </w:p>
        </w:tc>
        <w:tc>
          <w:tcPr>
            <w:tcW w:w="641" w:type="pct"/>
            <w:shd w:val="clear" w:color="auto" w:fill="C9DED4"/>
            <w:noWrap/>
            <w:hideMark/>
          </w:tcPr>
          <w:p w14:paraId="2D6F0D21" w14:textId="77777777" w:rsidR="00120717" w:rsidRPr="00B93EE1" w:rsidRDefault="00120717" w:rsidP="00AC04EA">
            <w:pPr>
              <w:keepNext/>
              <w:keepLines/>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8</w:t>
            </w:r>
          </w:p>
        </w:tc>
        <w:tc>
          <w:tcPr>
            <w:tcW w:w="641" w:type="pct"/>
            <w:shd w:val="clear" w:color="auto" w:fill="C9DED4"/>
            <w:noWrap/>
            <w:hideMark/>
          </w:tcPr>
          <w:p w14:paraId="1857764B" w14:textId="77777777" w:rsidR="00120717" w:rsidRPr="00B93EE1" w:rsidRDefault="00120717" w:rsidP="00AC04EA">
            <w:pPr>
              <w:keepNext/>
              <w:keepLines/>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4</w:t>
            </w:r>
          </w:p>
        </w:tc>
        <w:tc>
          <w:tcPr>
            <w:tcW w:w="641" w:type="pct"/>
            <w:shd w:val="clear" w:color="auto" w:fill="C9DED4"/>
            <w:noWrap/>
            <w:hideMark/>
          </w:tcPr>
          <w:p w14:paraId="6E61E3C6" w14:textId="77777777" w:rsidR="00120717" w:rsidRPr="00B93EE1" w:rsidRDefault="00120717" w:rsidP="00AC04EA">
            <w:pPr>
              <w:keepNext/>
              <w:keepLines/>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3</w:t>
            </w:r>
          </w:p>
        </w:tc>
        <w:tc>
          <w:tcPr>
            <w:tcW w:w="641" w:type="pct"/>
            <w:shd w:val="clear" w:color="auto" w:fill="C9DED4"/>
          </w:tcPr>
          <w:p w14:paraId="3C6C1C8A" w14:textId="77777777" w:rsidR="00120717" w:rsidRPr="00B93EE1" w:rsidRDefault="00120717" w:rsidP="00AC04EA">
            <w:pPr>
              <w:keepNext/>
              <w:keepLines/>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4</w:t>
            </w:r>
          </w:p>
        </w:tc>
      </w:tr>
      <w:tr w:rsidR="00120717" w:rsidRPr="00B93EE1" w14:paraId="6BA43B85" w14:textId="77777777" w:rsidTr="00341D46">
        <w:trPr>
          <w:trHeight w:val="225"/>
        </w:trPr>
        <w:tc>
          <w:tcPr>
            <w:tcW w:w="1796" w:type="pct"/>
            <w:shd w:val="clear" w:color="auto" w:fill="auto"/>
            <w:noWrap/>
            <w:hideMark/>
          </w:tcPr>
          <w:p w14:paraId="14D8B610" w14:textId="77777777" w:rsidR="00120717" w:rsidRPr="00B93EE1" w:rsidRDefault="00120717" w:rsidP="00AC04EA">
            <w:pPr>
              <w:ind w:left="284" w:hanging="284"/>
              <w:jc w:val="left"/>
              <w:rPr>
                <w:rFonts w:eastAsia="Verdana" w:cs="Verdana"/>
                <w:sz w:val="15"/>
                <w:szCs w:val="15"/>
              </w:rPr>
            </w:pPr>
            <w:r w:rsidRPr="00B93EE1">
              <w:rPr>
                <w:rFonts w:eastAsia="Verdana" w:cs="Verdana"/>
                <w:sz w:val="15"/>
                <w:szCs w:val="15"/>
              </w:rPr>
              <w:t>b)</w:t>
            </w:r>
            <w:r w:rsidRPr="00B93EE1">
              <w:rPr>
                <w:rFonts w:eastAsia="Verdana" w:cs="Verdana"/>
                <w:sz w:val="15"/>
                <w:szCs w:val="15"/>
              </w:rPr>
              <w:tab/>
              <w:t>Cases concerning abuse of dominance (unilateral conduct)</w:t>
            </w:r>
          </w:p>
        </w:tc>
        <w:tc>
          <w:tcPr>
            <w:tcW w:w="640" w:type="pct"/>
            <w:shd w:val="clear" w:color="auto" w:fill="auto"/>
            <w:noWrap/>
            <w:hideMark/>
          </w:tcPr>
          <w:p w14:paraId="58CD534F"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1</w:t>
            </w:r>
          </w:p>
        </w:tc>
        <w:tc>
          <w:tcPr>
            <w:tcW w:w="641" w:type="pct"/>
            <w:shd w:val="clear" w:color="auto" w:fill="auto"/>
            <w:noWrap/>
            <w:hideMark/>
          </w:tcPr>
          <w:p w14:paraId="5801F330"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2</w:t>
            </w:r>
          </w:p>
        </w:tc>
        <w:tc>
          <w:tcPr>
            <w:tcW w:w="641" w:type="pct"/>
            <w:shd w:val="clear" w:color="auto" w:fill="auto"/>
            <w:noWrap/>
            <w:hideMark/>
          </w:tcPr>
          <w:p w14:paraId="5DDB4B15"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0</w:t>
            </w:r>
          </w:p>
        </w:tc>
        <w:tc>
          <w:tcPr>
            <w:tcW w:w="641" w:type="pct"/>
            <w:shd w:val="clear" w:color="auto" w:fill="auto"/>
            <w:noWrap/>
            <w:hideMark/>
          </w:tcPr>
          <w:p w14:paraId="40DC4BE1"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1</w:t>
            </w:r>
          </w:p>
        </w:tc>
        <w:tc>
          <w:tcPr>
            <w:tcW w:w="641" w:type="pct"/>
            <w:shd w:val="clear" w:color="auto" w:fill="auto"/>
          </w:tcPr>
          <w:p w14:paraId="5E57DC1D"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0</w:t>
            </w:r>
          </w:p>
        </w:tc>
      </w:tr>
      <w:tr w:rsidR="00120717" w:rsidRPr="00B93EE1" w14:paraId="3AFE5146" w14:textId="77777777" w:rsidTr="00341D46">
        <w:trPr>
          <w:trHeight w:val="225"/>
        </w:trPr>
        <w:tc>
          <w:tcPr>
            <w:tcW w:w="1796" w:type="pct"/>
            <w:shd w:val="clear" w:color="auto" w:fill="C9DED4"/>
            <w:noWrap/>
            <w:hideMark/>
          </w:tcPr>
          <w:p w14:paraId="168C483E" w14:textId="77777777" w:rsidR="00120717" w:rsidRPr="00B93EE1" w:rsidRDefault="00120717" w:rsidP="00AC04EA">
            <w:pPr>
              <w:ind w:left="284" w:hanging="284"/>
              <w:jc w:val="left"/>
              <w:rPr>
                <w:rFonts w:eastAsia="Verdana" w:cs="Verdana"/>
                <w:sz w:val="15"/>
                <w:szCs w:val="15"/>
              </w:rPr>
            </w:pPr>
            <w:r w:rsidRPr="00B93EE1">
              <w:rPr>
                <w:rFonts w:eastAsia="Verdana" w:cs="Verdana"/>
                <w:sz w:val="15"/>
                <w:szCs w:val="15"/>
              </w:rPr>
              <w:t>c)</w:t>
            </w:r>
            <w:r w:rsidRPr="00B93EE1">
              <w:rPr>
                <w:rFonts w:eastAsia="Verdana" w:cs="Verdana"/>
                <w:sz w:val="15"/>
                <w:szCs w:val="15"/>
              </w:rPr>
              <w:tab/>
              <w:t>Leniency applications received</w:t>
            </w:r>
          </w:p>
        </w:tc>
        <w:tc>
          <w:tcPr>
            <w:tcW w:w="640" w:type="pct"/>
            <w:shd w:val="clear" w:color="auto" w:fill="C9DED4"/>
            <w:noWrap/>
            <w:hideMark/>
          </w:tcPr>
          <w:p w14:paraId="1EBC2DCB"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4</w:t>
            </w:r>
          </w:p>
        </w:tc>
        <w:tc>
          <w:tcPr>
            <w:tcW w:w="641" w:type="pct"/>
            <w:shd w:val="clear" w:color="auto" w:fill="C9DED4"/>
            <w:noWrap/>
            <w:hideMark/>
          </w:tcPr>
          <w:p w14:paraId="34359239"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5</w:t>
            </w:r>
          </w:p>
        </w:tc>
        <w:tc>
          <w:tcPr>
            <w:tcW w:w="641" w:type="pct"/>
            <w:shd w:val="clear" w:color="auto" w:fill="C9DED4"/>
            <w:noWrap/>
            <w:hideMark/>
          </w:tcPr>
          <w:p w14:paraId="06376782"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5</w:t>
            </w:r>
          </w:p>
        </w:tc>
        <w:tc>
          <w:tcPr>
            <w:tcW w:w="641" w:type="pct"/>
            <w:shd w:val="clear" w:color="auto" w:fill="C9DED4"/>
            <w:noWrap/>
            <w:hideMark/>
          </w:tcPr>
          <w:p w14:paraId="168A8EB1"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6</w:t>
            </w:r>
          </w:p>
        </w:tc>
        <w:tc>
          <w:tcPr>
            <w:tcW w:w="641" w:type="pct"/>
            <w:shd w:val="clear" w:color="auto" w:fill="C9DED4"/>
          </w:tcPr>
          <w:p w14:paraId="5C90D312"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7</w:t>
            </w:r>
          </w:p>
        </w:tc>
      </w:tr>
      <w:tr w:rsidR="00120717" w:rsidRPr="00B93EE1" w14:paraId="5CE027E2" w14:textId="77777777" w:rsidTr="00341D46">
        <w:trPr>
          <w:trHeight w:val="225"/>
        </w:trPr>
        <w:tc>
          <w:tcPr>
            <w:tcW w:w="1796" w:type="pct"/>
            <w:shd w:val="clear" w:color="auto" w:fill="auto"/>
            <w:noWrap/>
            <w:hideMark/>
          </w:tcPr>
          <w:p w14:paraId="4980CE4F" w14:textId="77777777" w:rsidR="00120717" w:rsidRPr="00B93EE1" w:rsidRDefault="00120717" w:rsidP="00AC04EA">
            <w:pPr>
              <w:ind w:left="284" w:hanging="284"/>
              <w:jc w:val="left"/>
              <w:rPr>
                <w:rFonts w:eastAsia="Verdana" w:cs="Verdana"/>
                <w:sz w:val="15"/>
                <w:szCs w:val="15"/>
              </w:rPr>
            </w:pPr>
            <w:r w:rsidRPr="00B93EE1">
              <w:rPr>
                <w:rFonts w:eastAsia="Verdana" w:cs="Verdana"/>
                <w:sz w:val="15"/>
                <w:szCs w:val="15"/>
              </w:rPr>
              <w:t>d)</w:t>
            </w:r>
            <w:r w:rsidRPr="00B93EE1">
              <w:rPr>
                <w:rFonts w:eastAsia="Verdana" w:cs="Verdana"/>
                <w:sz w:val="15"/>
                <w:szCs w:val="15"/>
              </w:rPr>
              <w:tab/>
              <w:t>Merger clearance applications investigated</w:t>
            </w:r>
          </w:p>
        </w:tc>
        <w:tc>
          <w:tcPr>
            <w:tcW w:w="640" w:type="pct"/>
            <w:shd w:val="clear" w:color="auto" w:fill="auto"/>
            <w:noWrap/>
            <w:hideMark/>
          </w:tcPr>
          <w:p w14:paraId="6D778B68"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14</w:t>
            </w:r>
          </w:p>
        </w:tc>
        <w:tc>
          <w:tcPr>
            <w:tcW w:w="641" w:type="pct"/>
            <w:shd w:val="clear" w:color="auto" w:fill="auto"/>
            <w:noWrap/>
            <w:hideMark/>
          </w:tcPr>
          <w:p w14:paraId="1E2C0567"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7</w:t>
            </w:r>
          </w:p>
        </w:tc>
        <w:tc>
          <w:tcPr>
            <w:tcW w:w="641" w:type="pct"/>
            <w:shd w:val="clear" w:color="auto" w:fill="auto"/>
            <w:noWrap/>
            <w:hideMark/>
          </w:tcPr>
          <w:p w14:paraId="19D7F432"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9</w:t>
            </w:r>
          </w:p>
        </w:tc>
        <w:tc>
          <w:tcPr>
            <w:tcW w:w="641" w:type="pct"/>
            <w:shd w:val="clear" w:color="auto" w:fill="auto"/>
            <w:noWrap/>
            <w:hideMark/>
          </w:tcPr>
          <w:p w14:paraId="0CBFE959"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9</w:t>
            </w:r>
          </w:p>
        </w:tc>
        <w:tc>
          <w:tcPr>
            <w:tcW w:w="641" w:type="pct"/>
            <w:shd w:val="clear" w:color="auto" w:fill="auto"/>
          </w:tcPr>
          <w:p w14:paraId="3967C43D" w14:textId="77777777" w:rsidR="00120717" w:rsidRPr="00B93EE1" w:rsidRDefault="00120717" w:rsidP="00AC04EA">
            <w:pPr>
              <w:ind w:right="57"/>
              <w:jc w:val="right"/>
              <w:rPr>
                <w:rFonts w:eastAsia="Times New Roman" w:cs="Verdana"/>
                <w:color w:val="000000"/>
                <w:sz w:val="15"/>
                <w:szCs w:val="15"/>
                <w:highlight w:val="cyan"/>
              </w:rPr>
            </w:pPr>
            <w:r w:rsidRPr="00B93EE1">
              <w:rPr>
                <w:rFonts w:eastAsia="Times New Roman" w:cs="Verdana"/>
                <w:color w:val="000000"/>
                <w:sz w:val="15"/>
                <w:szCs w:val="15"/>
              </w:rPr>
              <w:t>11</w:t>
            </w:r>
          </w:p>
        </w:tc>
      </w:tr>
      <w:tr w:rsidR="00120717" w:rsidRPr="00B93EE1" w14:paraId="15CA66FE" w14:textId="77777777" w:rsidTr="00341D46">
        <w:trPr>
          <w:trHeight w:val="225"/>
        </w:trPr>
        <w:tc>
          <w:tcPr>
            <w:tcW w:w="1796" w:type="pct"/>
            <w:shd w:val="clear" w:color="auto" w:fill="C9DED4"/>
            <w:noWrap/>
          </w:tcPr>
          <w:p w14:paraId="1E66ED22" w14:textId="77777777" w:rsidR="00120717" w:rsidRPr="00B93EE1" w:rsidRDefault="00120717" w:rsidP="00AC04EA">
            <w:pPr>
              <w:ind w:left="284" w:hanging="284"/>
              <w:jc w:val="left"/>
              <w:rPr>
                <w:rFonts w:eastAsia="Verdana" w:cs="Verdana"/>
                <w:sz w:val="15"/>
                <w:szCs w:val="15"/>
              </w:rPr>
            </w:pPr>
            <w:r w:rsidRPr="00B93EE1">
              <w:rPr>
                <w:rFonts w:eastAsia="Verdana" w:cs="Verdana"/>
                <w:sz w:val="15"/>
                <w:szCs w:val="15"/>
              </w:rPr>
              <w:t>e)</w:t>
            </w:r>
            <w:r w:rsidRPr="00B93EE1">
              <w:rPr>
                <w:rFonts w:eastAsia="Verdana" w:cs="Verdana"/>
                <w:sz w:val="15"/>
                <w:szCs w:val="15"/>
              </w:rPr>
              <w:tab/>
              <w:t xml:space="preserve">Merger authorization applications </w:t>
            </w:r>
            <w:proofErr w:type="spellStart"/>
            <w:r w:rsidRPr="00B93EE1">
              <w:rPr>
                <w:rFonts w:eastAsia="Verdana" w:cs="Verdana"/>
                <w:sz w:val="15"/>
                <w:szCs w:val="15"/>
              </w:rPr>
              <w:t>investigated</w:t>
            </w:r>
            <w:r w:rsidRPr="00B93EE1">
              <w:rPr>
                <w:rFonts w:eastAsia="Verdana" w:cs="Verdana"/>
                <w:sz w:val="15"/>
                <w:szCs w:val="15"/>
                <w:vertAlign w:val="superscript"/>
              </w:rPr>
              <w:t>a</w:t>
            </w:r>
            <w:proofErr w:type="spellEnd"/>
          </w:p>
        </w:tc>
        <w:tc>
          <w:tcPr>
            <w:tcW w:w="640" w:type="pct"/>
            <w:shd w:val="clear" w:color="auto" w:fill="C9DED4"/>
            <w:noWrap/>
          </w:tcPr>
          <w:p w14:paraId="6DA3F7A2"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0</w:t>
            </w:r>
          </w:p>
        </w:tc>
        <w:tc>
          <w:tcPr>
            <w:tcW w:w="641" w:type="pct"/>
            <w:shd w:val="clear" w:color="auto" w:fill="C9DED4"/>
            <w:noWrap/>
          </w:tcPr>
          <w:p w14:paraId="465FEA3A"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1</w:t>
            </w:r>
          </w:p>
        </w:tc>
        <w:tc>
          <w:tcPr>
            <w:tcW w:w="641" w:type="pct"/>
            <w:shd w:val="clear" w:color="auto" w:fill="C9DED4"/>
            <w:noWrap/>
          </w:tcPr>
          <w:p w14:paraId="68A98DF5"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0</w:t>
            </w:r>
          </w:p>
        </w:tc>
        <w:tc>
          <w:tcPr>
            <w:tcW w:w="641" w:type="pct"/>
            <w:shd w:val="clear" w:color="auto" w:fill="C9DED4"/>
            <w:noWrap/>
          </w:tcPr>
          <w:p w14:paraId="4BB7D681"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1</w:t>
            </w:r>
          </w:p>
        </w:tc>
        <w:tc>
          <w:tcPr>
            <w:tcW w:w="641" w:type="pct"/>
            <w:shd w:val="clear" w:color="auto" w:fill="C9DED4"/>
          </w:tcPr>
          <w:p w14:paraId="66ACFF48" w14:textId="77777777" w:rsidR="00120717" w:rsidRPr="00B93EE1" w:rsidRDefault="00120717" w:rsidP="00AC04EA">
            <w:pPr>
              <w:ind w:right="57"/>
              <w:jc w:val="right"/>
              <w:rPr>
                <w:rFonts w:eastAsia="Times New Roman" w:cs="Verdana"/>
                <w:color w:val="000000"/>
                <w:sz w:val="15"/>
                <w:szCs w:val="15"/>
                <w:highlight w:val="cyan"/>
              </w:rPr>
            </w:pPr>
            <w:r w:rsidRPr="00B93EE1">
              <w:rPr>
                <w:rFonts w:eastAsia="Times New Roman" w:cs="Verdana"/>
                <w:color w:val="000000"/>
                <w:sz w:val="15"/>
                <w:szCs w:val="15"/>
              </w:rPr>
              <w:t>0</w:t>
            </w:r>
          </w:p>
        </w:tc>
      </w:tr>
      <w:tr w:rsidR="00120717" w:rsidRPr="00B93EE1" w14:paraId="19161F7E" w14:textId="77777777" w:rsidTr="00341D46">
        <w:trPr>
          <w:trHeight w:val="225"/>
        </w:trPr>
        <w:tc>
          <w:tcPr>
            <w:tcW w:w="1796" w:type="pct"/>
            <w:shd w:val="clear" w:color="auto" w:fill="auto"/>
            <w:noWrap/>
          </w:tcPr>
          <w:p w14:paraId="10DDDF17" w14:textId="77777777" w:rsidR="00120717" w:rsidRPr="00B93EE1" w:rsidRDefault="00120717" w:rsidP="00AC04EA">
            <w:pPr>
              <w:ind w:left="284" w:hanging="284"/>
              <w:jc w:val="left"/>
              <w:rPr>
                <w:rFonts w:eastAsia="Verdana" w:cs="Verdana"/>
                <w:sz w:val="15"/>
                <w:szCs w:val="15"/>
              </w:rPr>
            </w:pPr>
            <w:r w:rsidRPr="00B93EE1">
              <w:rPr>
                <w:rFonts w:eastAsia="Verdana" w:cs="Verdana"/>
                <w:sz w:val="15"/>
                <w:szCs w:val="15"/>
              </w:rPr>
              <w:t>f)</w:t>
            </w:r>
            <w:r w:rsidRPr="00B93EE1">
              <w:rPr>
                <w:rFonts w:eastAsia="Verdana" w:cs="Verdana"/>
                <w:sz w:val="15"/>
                <w:szCs w:val="15"/>
              </w:rPr>
              <w:tab/>
              <w:t>Merger enforcement investigations investigated</w:t>
            </w:r>
          </w:p>
        </w:tc>
        <w:tc>
          <w:tcPr>
            <w:tcW w:w="640" w:type="pct"/>
            <w:shd w:val="clear" w:color="auto" w:fill="auto"/>
            <w:noWrap/>
          </w:tcPr>
          <w:p w14:paraId="2AC42D67"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0</w:t>
            </w:r>
          </w:p>
        </w:tc>
        <w:tc>
          <w:tcPr>
            <w:tcW w:w="641" w:type="pct"/>
            <w:shd w:val="clear" w:color="auto" w:fill="auto"/>
            <w:noWrap/>
          </w:tcPr>
          <w:p w14:paraId="430E9D29"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5</w:t>
            </w:r>
          </w:p>
        </w:tc>
        <w:tc>
          <w:tcPr>
            <w:tcW w:w="641" w:type="pct"/>
            <w:shd w:val="clear" w:color="auto" w:fill="auto"/>
            <w:noWrap/>
          </w:tcPr>
          <w:p w14:paraId="22B01872"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5</w:t>
            </w:r>
          </w:p>
        </w:tc>
        <w:tc>
          <w:tcPr>
            <w:tcW w:w="641" w:type="pct"/>
            <w:shd w:val="clear" w:color="auto" w:fill="auto"/>
            <w:noWrap/>
          </w:tcPr>
          <w:p w14:paraId="58A68C21"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3</w:t>
            </w:r>
          </w:p>
        </w:tc>
        <w:tc>
          <w:tcPr>
            <w:tcW w:w="641" w:type="pct"/>
            <w:shd w:val="clear" w:color="auto" w:fill="auto"/>
          </w:tcPr>
          <w:p w14:paraId="085AA91B" w14:textId="77777777" w:rsidR="00120717" w:rsidRPr="00B93EE1" w:rsidRDefault="00120717" w:rsidP="00AC04EA">
            <w:pPr>
              <w:ind w:right="57"/>
              <w:jc w:val="right"/>
              <w:rPr>
                <w:rFonts w:eastAsia="Times New Roman" w:cs="Verdana"/>
                <w:color w:val="000000"/>
                <w:sz w:val="15"/>
                <w:szCs w:val="15"/>
                <w:highlight w:val="cyan"/>
              </w:rPr>
            </w:pPr>
            <w:r w:rsidRPr="00B93EE1">
              <w:rPr>
                <w:rFonts w:eastAsia="Times New Roman" w:cs="Verdana"/>
                <w:color w:val="000000"/>
                <w:sz w:val="15"/>
                <w:szCs w:val="15"/>
              </w:rPr>
              <w:t>2</w:t>
            </w:r>
          </w:p>
        </w:tc>
      </w:tr>
      <w:tr w:rsidR="00120717" w:rsidRPr="00B93EE1" w14:paraId="4824627D" w14:textId="77777777" w:rsidTr="00341D46">
        <w:trPr>
          <w:trHeight w:val="165"/>
        </w:trPr>
        <w:tc>
          <w:tcPr>
            <w:tcW w:w="1796" w:type="pct"/>
            <w:shd w:val="clear" w:color="auto" w:fill="C9DED4"/>
            <w:noWrap/>
            <w:hideMark/>
          </w:tcPr>
          <w:p w14:paraId="00C2DE79" w14:textId="77777777" w:rsidR="00120717" w:rsidRPr="00B93EE1" w:rsidRDefault="00120717" w:rsidP="00AC04EA">
            <w:pPr>
              <w:jc w:val="left"/>
              <w:rPr>
                <w:rFonts w:eastAsia="Times New Roman" w:cs="Times New Roman"/>
                <w:color w:val="000000"/>
                <w:sz w:val="15"/>
                <w:szCs w:val="15"/>
              </w:rPr>
            </w:pPr>
            <w:r w:rsidRPr="00B93EE1">
              <w:rPr>
                <w:rFonts w:eastAsia="Calibri" w:cs="Times New Roman"/>
                <w:b/>
                <w:bCs/>
                <w:sz w:val="15"/>
                <w:szCs w:val="15"/>
              </w:rPr>
              <w:t>2 Completed cases (number)</w:t>
            </w:r>
          </w:p>
        </w:tc>
        <w:tc>
          <w:tcPr>
            <w:tcW w:w="640" w:type="pct"/>
            <w:shd w:val="clear" w:color="auto" w:fill="C9DED4"/>
            <w:noWrap/>
            <w:hideMark/>
          </w:tcPr>
          <w:p w14:paraId="4EDD7630" w14:textId="77777777" w:rsidR="00120717" w:rsidRPr="00B93EE1" w:rsidRDefault="00120717" w:rsidP="00AC04EA">
            <w:pPr>
              <w:ind w:right="57"/>
              <w:jc w:val="right"/>
              <w:rPr>
                <w:rFonts w:eastAsia="Times New Roman" w:cs="Times New Roman"/>
                <w:color w:val="000000"/>
                <w:sz w:val="15"/>
                <w:szCs w:val="15"/>
                <w:highlight w:val="cyan"/>
              </w:rPr>
            </w:pPr>
          </w:p>
        </w:tc>
        <w:tc>
          <w:tcPr>
            <w:tcW w:w="641" w:type="pct"/>
            <w:shd w:val="clear" w:color="auto" w:fill="C9DED4"/>
            <w:noWrap/>
            <w:hideMark/>
          </w:tcPr>
          <w:p w14:paraId="210BEC0D" w14:textId="77777777" w:rsidR="00120717" w:rsidRPr="00B93EE1" w:rsidRDefault="00120717" w:rsidP="00AC04EA">
            <w:pPr>
              <w:ind w:right="57"/>
              <w:jc w:val="right"/>
              <w:rPr>
                <w:rFonts w:eastAsia="Times New Roman" w:cs="Times New Roman"/>
                <w:color w:val="000000"/>
                <w:sz w:val="15"/>
                <w:szCs w:val="15"/>
                <w:highlight w:val="cyan"/>
              </w:rPr>
            </w:pPr>
          </w:p>
        </w:tc>
        <w:tc>
          <w:tcPr>
            <w:tcW w:w="641" w:type="pct"/>
            <w:shd w:val="clear" w:color="auto" w:fill="C9DED4"/>
            <w:noWrap/>
            <w:hideMark/>
          </w:tcPr>
          <w:p w14:paraId="616B8124" w14:textId="77777777" w:rsidR="00120717" w:rsidRPr="00B93EE1" w:rsidRDefault="00120717" w:rsidP="00AC04EA">
            <w:pPr>
              <w:ind w:right="57"/>
              <w:jc w:val="right"/>
              <w:rPr>
                <w:rFonts w:eastAsia="Times New Roman" w:cs="Times New Roman"/>
                <w:color w:val="000000"/>
                <w:sz w:val="15"/>
                <w:szCs w:val="15"/>
                <w:highlight w:val="cyan"/>
              </w:rPr>
            </w:pPr>
          </w:p>
        </w:tc>
        <w:tc>
          <w:tcPr>
            <w:tcW w:w="641" w:type="pct"/>
            <w:shd w:val="clear" w:color="auto" w:fill="C9DED4"/>
            <w:noWrap/>
            <w:hideMark/>
          </w:tcPr>
          <w:p w14:paraId="74463AC9" w14:textId="77777777" w:rsidR="00120717" w:rsidRPr="00B93EE1" w:rsidRDefault="00120717" w:rsidP="00AC04EA">
            <w:pPr>
              <w:ind w:right="57"/>
              <w:jc w:val="right"/>
              <w:rPr>
                <w:rFonts w:eastAsia="Times New Roman" w:cs="Times New Roman"/>
                <w:color w:val="000000"/>
                <w:sz w:val="15"/>
                <w:szCs w:val="15"/>
                <w:highlight w:val="cyan"/>
              </w:rPr>
            </w:pPr>
          </w:p>
        </w:tc>
        <w:tc>
          <w:tcPr>
            <w:tcW w:w="641" w:type="pct"/>
            <w:shd w:val="clear" w:color="auto" w:fill="C9DED4"/>
          </w:tcPr>
          <w:p w14:paraId="454A22C3" w14:textId="77777777" w:rsidR="00120717" w:rsidRPr="00B93EE1" w:rsidRDefault="00120717" w:rsidP="00AC04EA">
            <w:pPr>
              <w:ind w:right="57"/>
              <w:jc w:val="right"/>
              <w:rPr>
                <w:rFonts w:eastAsia="Times New Roman" w:cs="Verdana"/>
                <w:color w:val="000000"/>
                <w:sz w:val="15"/>
                <w:szCs w:val="15"/>
                <w:highlight w:val="cyan"/>
              </w:rPr>
            </w:pPr>
          </w:p>
        </w:tc>
      </w:tr>
      <w:tr w:rsidR="00120717" w:rsidRPr="00B93EE1" w14:paraId="5722EC36" w14:textId="77777777" w:rsidTr="00341D46">
        <w:trPr>
          <w:trHeight w:val="225"/>
        </w:trPr>
        <w:tc>
          <w:tcPr>
            <w:tcW w:w="1796" w:type="pct"/>
            <w:shd w:val="clear" w:color="auto" w:fill="auto"/>
            <w:noWrap/>
            <w:hideMark/>
          </w:tcPr>
          <w:p w14:paraId="36E33279" w14:textId="77777777" w:rsidR="00120717" w:rsidRPr="00B93EE1" w:rsidRDefault="00120717" w:rsidP="00AC04EA">
            <w:pPr>
              <w:ind w:left="284" w:hanging="284"/>
              <w:jc w:val="left"/>
              <w:rPr>
                <w:rFonts w:eastAsia="Verdana" w:cs="Verdana"/>
                <w:sz w:val="15"/>
                <w:szCs w:val="15"/>
              </w:rPr>
            </w:pPr>
            <w:r w:rsidRPr="00B93EE1">
              <w:rPr>
                <w:rFonts w:eastAsia="Verdana" w:cs="Verdana"/>
                <w:sz w:val="15"/>
                <w:szCs w:val="15"/>
              </w:rPr>
              <w:t>a)</w:t>
            </w:r>
            <w:r w:rsidRPr="00B93EE1">
              <w:rPr>
                <w:rFonts w:eastAsia="Verdana" w:cs="Verdana"/>
                <w:sz w:val="15"/>
                <w:szCs w:val="15"/>
              </w:rPr>
              <w:tab/>
              <w:t>Anti-competitive investigations</w:t>
            </w:r>
          </w:p>
        </w:tc>
        <w:tc>
          <w:tcPr>
            <w:tcW w:w="640" w:type="pct"/>
            <w:shd w:val="clear" w:color="auto" w:fill="auto"/>
            <w:noWrap/>
          </w:tcPr>
          <w:p w14:paraId="4514165C"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7</w:t>
            </w:r>
          </w:p>
        </w:tc>
        <w:tc>
          <w:tcPr>
            <w:tcW w:w="641" w:type="pct"/>
            <w:shd w:val="clear" w:color="auto" w:fill="auto"/>
            <w:noWrap/>
          </w:tcPr>
          <w:p w14:paraId="2EAAAF6C"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6</w:t>
            </w:r>
          </w:p>
        </w:tc>
        <w:tc>
          <w:tcPr>
            <w:tcW w:w="641" w:type="pct"/>
            <w:shd w:val="clear" w:color="auto" w:fill="auto"/>
            <w:noWrap/>
          </w:tcPr>
          <w:p w14:paraId="6518A091"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6</w:t>
            </w:r>
          </w:p>
        </w:tc>
        <w:tc>
          <w:tcPr>
            <w:tcW w:w="641" w:type="pct"/>
            <w:shd w:val="clear" w:color="auto" w:fill="auto"/>
            <w:noWrap/>
          </w:tcPr>
          <w:p w14:paraId="7CD4CED0"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1</w:t>
            </w:r>
          </w:p>
        </w:tc>
        <w:tc>
          <w:tcPr>
            <w:tcW w:w="641" w:type="pct"/>
            <w:shd w:val="clear" w:color="auto" w:fill="auto"/>
          </w:tcPr>
          <w:p w14:paraId="0B0EF03C"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4</w:t>
            </w:r>
          </w:p>
        </w:tc>
      </w:tr>
      <w:tr w:rsidR="00120717" w:rsidRPr="00B93EE1" w14:paraId="71E59828" w14:textId="77777777" w:rsidTr="00341D46">
        <w:trPr>
          <w:trHeight w:val="225"/>
        </w:trPr>
        <w:tc>
          <w:tcPr>
            <w:tcW w:w="1796" w:type="pct"/>
            <w:shd w:val="clear" w:color="auto" w:fill="C9DED4"/>
            <w:noWrap/>
          </w:tcPr>
          <w:p w14:paraId="71CCB938" w14:textId="77777777" w:rsidR="00120717" w:rsidRPr="00B93EE1" w:rsidRDefault="00120717" w:rsidP="00AC04EA">
            <w:pPr>
              <w:ind w:left="284" w:hanging="284"/>
              <w:jc w:val="left"/>
              <w:rPr>
                <w:rFonts w:eastAsia="Verdana" w:cs="Verdana"/>
                <w:sz w:val="15"/>
                <w:szCs w:val="15"/>
              </w:rPr>
            </w:pPr>
            <w:r w:rsidRPr="00B93EE1">
              <w:rPr>
                <w:rFonts w:eastAsia="Verdana" w:cs="Verdana"/>
                <w:sz w:val="15"/>
                <w:szCs w:val="15"/>
              </w:rPr>
              <w:t>b)</w:t>
            </w:r>
            <w:r w:rsidRPr="00B93EE1">
              <w:rPr>
                <w:rFonts w:eastAsia="Verdana" w:cs="Verdana"/>
                <w:sz w:val="15"/>
                <w:szCs w:val="15"/>
              </w:rPr>
              <w:tab/>
              <w:t>Abuse of dominance investigations</w:t>
            </w:r>
          </w:p>
        </w:tc>
        <w:tc>
          <w:tcPr>
            <w:tcW w:w="640" w:type="pct"/>
            <w:shd w:val="clear" w:color="auto" w:fill="C9DED4"/>
            <w:noWrap/>
          </w:tcPr>
          <w:p w14:paraId="55EA7EDF"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1</w:t>
            </w:r>
          </w:p>
        </w:tc>
        <w:tc>
          <w:tcPr>
            <w:tcW w:w="641" w:type="pct"/>
            <w:shd w:val="clear" w:color="auto" w:fill="C9DED4"/>
            <w:noWrap/>
          </w:tcPr>
          <w:p w14:paraId="20120FA6"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1</w:t>
            </w:r>
          </w:p>
        </w:tc>
        <w:tc>
          <w:tcPr>
            <w:tcW w:w="641" w:type="pct"/>
            <w:shd w:val="clear" w:color="auto" w:fill="C9DED4"/>
            <w:noWrap/>
          </w:tcPr>
          <w:p w14:paraId="6FEF1696"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2</w:t>
            </w:r>
          </w:p>
        </w:tc>
        <w:tc>
          <w:tcPr>
            <w:tcW w:w="641" w:type="pct"/>
            <w:shd w:val="clear" w:color="auto" w:fill="C9DED4"/>
            <w:noWrap/>
          </w:tcPr>
          <w:p w14:paraId="42427D0A"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1</w:t>
            </w:r>
          </w:p>
        </w:tc>
        <w:tc>
          <w:tcPr>
            <w:tcW w:w="641" w:type="pct"/>
            <w:shd w:val="clear" w:color="auto" w:fill="C9DED4"/>
          </w:tcPr>
          <w:p w14:paraId="0BC3CEEA" w14:textId="77777777" w:rsidR="00120717" w:rsidRPr="00B93EE1" w:rsidRDefault="00120717" w:rsidP="00AC04EA">
            <w:pPr>
              <w:ind w:right="57"/>
              <w:jc w:val="right"/>
              <w:rPr>
                <w:rFonts w:eastAsia="Times New Roman" w:cs="Times New Roman"/>
                <w:color w:val="000000"/>
                <w:sz w:val="15"/>
                <w:szCs w:val="15"/>
                <w:highlight w:val="cyan"/>
              </w:rPr>
            </w:pPr>
            <w:r w:rsidRPr="00B93EE1">
              <w:rPr>
                <w:rFonts w:eastAsia="Times New Roman" w:cs="Times New Roman"/>
                <w:color w:val="000000"/>
                <w:sz w:val="15"/>
                <w:szCs w:val="15"/>
              </w:rPr>
              <w:t>0</w:t>
            </w:r>
          </w:p>
        </w:tc>
      </w:tr>
      <w:tr w:rsidR="00120717" w:rsidRPr="00B93EE1" w14:paraId="57F26FDE" w14:textId="77777777" w:rsidTr="00341D46">
        <w:trPr>
          <w:trHeight w:val="225"/>
        </w:trPr>
        <w:tc>
          <w:tcPr>
            <w:tcW w:w="1796" w:type="pct"/>
            <w:shd w:val="clear" w:color="auto" w:fill="auto"/>
            <w:noWrap/>
          </w:tcPr>
          <w:p w14:paraId="100B3CBB" w14:textId="77777777" w:rsidR="00120717" w:rsidRPr="00B93EE1" w:rsidRDefault="00120717" w:rsidP="00AC04EA">
            <w:pPr>
              <w:ind w:left="284" w:hanging="284"/>
              <w:jc w:val="left"/>
              <w:rPr>
                <w:rFonts w:eastAsia="Verdana" w:cs="Verdana"/>
                <w:sz w:val="15"/>
                <w:szCs w:val="15"/>
              </w:rPr>
            </w:pPr>
            <w:r w:rsidRPr="00B93EE1">
              <w:rPr>
                <w:rFonts w:eastAsia="Verdana" w:cs="Verdana"/>
                <w:sz w:val="15"/>
                <w:szCs w:val="15"/>
              </w:rPr>
              <w:t>c)</w:t>
            </w:r>
            <w:r w:rsidRPr="00B93EE1">
              <w:rPr>
                <w:rFonts w:eastAsia="Verdana" w:cs="Verdana"/>
                <w:sz w:val="15"/>
                <w:szCs w:val="15"/>
              </w:rPr>
              <w:tab/>
              <w:t>Settlements</w:t>
            </w:r>
          </w:p>
        </w:tc>
        <w:tc>
          <w:tcPr>
            <w:tcW w:w="640" w:type="pct"/>
            <w:shd w:val="clear" w:color="auto" w:fill="auto"/>
            <w:noWrap/>
          </w:tcPr>
          <w:p w14:paraId="1A2591B3"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c>
          <w:tcPr>
            <w:tcW w:w="641" w:type="pct"/>
            <w:shd w:val="clear" w:color="auto" w:fill="auto"/>
            <w:noWrap/>
          </w:tcPr>
          <w:p w14:paraId="2E53499C"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2</w:t>
            </w:r>
          </w:p>
        </w:tc>
        <w:tc>
          <w:tcPr>
            <w:tcW w:w="641" w:type="pct"/>
            <w:shd w:val="clear" w:color="auto" w:fill="auto"/>
            <w:noWrap/>
          </w:tcPr>
          <w:p w14:paraId="4C3BA762"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0</w:t>
            </w:r>
          </w:p>
        </w:tc>
        <w:tc>
          <w:tcPr>
            <w:tcW w:w="641" w:type="pct"/>
            <w:shd w:val="clear" w:color="auto" w:fill="auto"/>
            <w:noWrap/>
          </w:tcPr>
          <w:p w14:paraId="27913FE8"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c>
          <w:tcPr>
            <w:tcW w:w="641" w:type="pct"/>
            <w:shd w:val="clear" w:color="auto" w:fill="auto"/>
          </w:tcPr>
          <w:p w14:paraId="0A4D70F0"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4</w:t>
            </w:r>
          </w:p>
        </w:tc>
      </w:tr>
      <w:tr w:rsidR="00120717" w:rsidRPr="00B93EE1" w14:paraId="64203C96" w14:textId="77777777" w:rsidTr="00341D46">
        <w:trPr>
          <w:trHeight w:val="225"/>
        </w:trPr>
        <w:tc>
          <w:tcPr>
            <w:tcW w:w="1796" w:type="pct"/>
            <w:shd w:val="clear" w:color="auto" w:fill="C9DED4"/>
            <w:noWrap/>
          </w:tcPr>
          <w:p w14:paraId="0ABA78D6" w14:textId="77777777" w:rsidR="00120717" w:rsidRPr="00B93EE1" w:rsidRDefault="00120717" w:rsidP="00AC04EA">
            <w:pPr>
              <w:ind w:left="284" w:hanging="284"/>
              <w:jc w:val="left"/>
              <w:rPr>
                <w:rFonts w:eastAsia="Verdana" w:cs="Verdana"/>
                <w:sz w:val="15"/>
                <w:szCs w:val="15"/>
              </w:rPr>
            </w:pPr>
            <w:r w:rsidRPr="00B93EE1">
              <w:rPr>
                <w:rFonts w:eastAsia="Verdana" w:cs="Verdana"/>
                <w:sz w:val="15"/>
                <w:szCs w:val="15"/>
              </w:rPr>
              <w:t>d</w:t>
            </w:r>
            <w:r w:rsidRPr="00B93EE1">
              <w:rPr>
                <w:rFonts w:eastAsia="Verdana" w:cs="Verdana"/>
                <w:sz w:val="15"/>
                <w:szCs w:val="15"/>
              </w:rPr>
              <w:tab/>
              <w:t>(</w:t>
            </w:r>
            <w:proofErr w:type="spellStart"/>
            <w:r w:rsidRPr="00B93EE1">
              <w:rPr>
                <w:rFonts w:eastAsia="Verdana" w:cs="Verdana"/>
                <w:sz w:val="15"/>
                <w:szCs w:val="15"/>
              </w:rPr>
              <w:t>i</w:t>
            </w:r>
            <w:proofErr w:type="spellEnd"/>
            <w:r w:rsidRPr="00B93EE1">
              <w:rPr>
                <w:rFonts w:eastAsia="Verdana" w:cs="Verdana"/>
                <w:sz w:val="15"/>
                <w:szCs w:val="15"/>
              </w:rPr>
              <w:t>) Merger clearance applications decided</w:t>
            </w:r>
          </w:p>
        </w:tc>
        <w:tc>
          <w:tcPr>
            <w:tcW w:w="640" w:type="pct"/>
            <w:shd w:val="clear" w:color="auto" w:fill="C9DED4"/>
            <w:noWrap/>
          </w:tcPr>
          <w:p w14:paraId="2EBA4D69"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12</w:t>
            </w:r>
          </w:p>
        </w:tc>
        <w:tc>
          <w:tcPr>
            <w:tcW w:w="641" w:type="pct"/>
            <w:shd w:val="clear" w:color="auto" w:fill="C9DED4"/>
            <w:noWrap/>
          </w:tcPr>
          <w:p w14:paraId="3C387A4E"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7</w:t>
            </w:r>
          </w:p>
        </w:tc>
        <w:tc>
          <w:tcPr>
            <w:tcW w:w="641" w:type="pct"/>
            <w:shd w:val="clear" w:color="auto" w:fill="C9DED4"/>
            <w:noWrap/>
          </w:tcPr>
          <w:p w14:paraId="5DB8CEE9"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9</w:t>
            </w:r>
          </w:p>
        </w:tc>
        <w:tc>
          <w:tcPr>
            <w:tcW w:w="641" w:type="pct"/>
            <w:shd w:val="clear" w:color="auto" w:fill="C9DED4"/>
            <w:noWrap/>
          </w:tcPr>
          <w:p w14:paraId="15E6B2EA"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11</w:t>
            </w:r>
          </w:p>
        </w:tc>
        <w:tc>
          <w:tcPr>
            <w:tcW w:w="641" w:type="pct"/>
            <w:shd w:val="clear" w:color="auto" w:fill="C9DED4"/>
          </w:tcPr>
          <w:p w14:paraId="4E6A6E8F"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9</w:t>
            </w:r>
          </w:p>
        </w:tc>
      </w:tr>
      <w:tr w:rsidR="00120717" w:rsidRPr="00B93EE1" w14:paraId="11B18607" w14:textId="77777777" w:rsidTr="00341D46">
        <w:trPr>
          <w:trHeight w:val="225"/>
        </w:trPr>
        <w:tc>
          <w:tcPr>
            <w:tcW w:w="1796" w:type="pct"/>
            <w:shd w:val="clear" w:color="auto" w:fill="auto"/>
            <w:noWrap/>
          </w:tcPr>
          <w:p w14:paraId="43C14220" w14:textId="77777777" w:rsidR="00120717" w:rsidRPr="00B93EE1" w:rsidDel="005137E3" w:rsidRDefault="00120717" w:rsidP="00AC04EA">
            <w:pPr>
              <w:ind w:left="284" w:hanging="284"/>
              <w:jc w:val="left"/>
              <w:rPr>
                <w:rFonts w:eastAsia="Verdana" w:cs="Verdana"/>
                <w:sz w:val="15"/>
                <w:szCs w:val="15"/>
              </w:rPr>
            </w:pPr>
            <w:r w:rsidRPr="00B93EE1">
              <w:rPr>
                <w:rFonts w:eastAsia="Verdana" w:cs="Verdana"/>
                <w:sz w:val="15"/>
                <w:szCs w:val="15"/>
              </w:rPr>
              <w:t>d</w:t>
            </w:r>
            <w:r w:rsidRPr="00B93EE1">
              <w:rPr>
                <w:rFonts w:eastAsia="Verdana" w:cs="Verdana"/>
                <w:sz w:val="15"/>
                <w:szCs w:val="15"/>
              </w:rPr>
              <w:tab/>
              <w:t>(ii) Merger authorization applications decided</w:t>
            </w:r>
          </w:p>
        </w:tc>
        <w:tc>
          <w:tcPr>
            <w:tcW w:w="640" w:type="pct"/>
            <w:shd w:val="clear" w:color="auto" w:fill="auto"/>
            <w:noWrap/>
          </w:tcPr>
          <w:p w14:paraId="68129439"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c>
          <w:tcPr>
            <w:tcW w:w="641" w:type="pct"/>
            <w:shd w:val="clear" w:color="auto" w:fill="auto"/>
            <w:noWrap/>
          </w:tcPr>
          <w:p w14:paraId="2BCD3D4E"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c>
          <w:tcPr>
            <w:tcW w:w="641" w:type="pct"/>
            <w:shd w:val="clear" w:color="auto" w:fill="auto"/>
            <w:noWrap/>
          </w:tcPr>
          <w:p w14:paraId="7BB590B4"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0</w:t>
            </w:r>
          </w:p>
        </w:tc>
        <w:tc>
          <w:tcPr>
            <w:tcW w:w="641" w:type="pct"/>
            <w:shd w:val="clear" w:color="auto" w:fill="auto"/>
            <w:noWrap/>
          </w:tcPr>
          <w:p w14:paraId="7F7D5282"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c>
          <w:tcPr>
            <w:tcW w:w="641" w:type="pct"/>
            <w:shd w:val="clear" w:color="auto" w:fill="auto"/>
          </w:tcPr>
          <w:p w14:paraId="05D32EA8"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0</w:t>
            </w:r>
          </w:p>
        </w:tc>
      </w:tr>
      <w:tr w:rsidR="00120717" w:rsidRPr="00B93EE1" w14:paraId="2C7B08FD" w14:textId="77777777" w:rsidTr="00341D46">
        <w:trPr>
          <w:trHeight w:val="225"/>
        </w:trPr>
        <w:tc>
          <w:tcPr>
            <w:tcW w:w="1796" w:type="pct"/>
            <w:shd w:val="clear" w:color="auto" w:fill="C9DED4"/>
            <w:noWrap/>
          </w:tcPr>
          <w:p w14:paraId="626F6759" w14:textId="77777777" w:rsidR="00120717" w:rsidRPr="00B93EE1" w:rsidDel="005137E3" w:rsidRDefault="00120717" w:rsidP="00AC04EA">
            <w:pPr>
              <w:ind w:left="284" w:hanging="284"/>
              <w:jc w:val="left"/>
              <w:rPr>
                <w:rFonts w:eastAsia="Verdana" w:cs="Verdana"/>
                <w:sz w:val="15"/>
                <w:szCs w:val="15"/>
              </w:rPr>
            </w:pPr>
            <w:r w:rsidRPr="00B93EE1">
              <w:rPr>
                <w:rFonts w:eastAsia="Verdana" w:cs="Verdana"/>
                <w:sz w:val="15"/>
                <w:szCs w:val="15"/>
              </w:rPr>
              <w:t>d</w:t>
            </w:r>
            <w:r w:rsidRPr="00B93EE1">
              <w:rPr>
                <w:rFonts w:eastAsia="Verdana" w:cs="Verdana"/>
                <w:sz w:val="15"/>
                <w:szCs w:val="15"/>
              </w:rPr>
              <w:tab/>
              <w:t>(iii) Merger clearance and authorisation applications approved or not challenged</w:t>
            </w:r>
          </w:p>
        </w:tc>
        <w:tc>
          <w:tcPr>
            <w:tcW w:w="640" w:type="pct"/>
            <w:shd w:val="clear" w:color="auto" w:fill="C9DED4"/>
            <w:noWrap/>
          </w:tcPr>
          <w:p w14:paraId="66DCB2FF"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13</w:t>
            </w:r>
          </w:p>
        </w:tc>
        <w:tc>
          <w:tcPr>
            <w:tcW w:w="641" w:type="pct"/>
            <w:shd w:val="clear" w:color="auto" w:fill="C9DED4"/>
            <w:noWrap/>
          </w:tcPr>
          <w:p w14:paraId="3BCBCF88"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4</w:t>
            </w:r>
          </w:p>
        </w:tc>
        <w:tc>
          <w:tcPr>
            <w:tcW w:w="641" w:type="pct"/>
            <w:shd w:val="clear" w:color="auto" w:fill="C9DED4"/>
            <w:noWrap/>
          </w:tcPr>
          <w:p w14:paraId="14E567A8"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11</w:t>
            </w:r>
          </w:p>
        </w:tc>
        <w:tc>
          <w:tcPr>
            <w:tcW w:w="641" w:type="pct"/>
            <w:shd w:val="clear" w:color="auto" w:fill="C9DED4"/>
            <w:noWrap/>
          </w:tcPr>
          <w:p w14:paraId="3FC643F1"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14</w:t>
            </w:r>
          </w:p>
        </w:tc>
        <w:tc>
          <w:tcPr>
            <w:tcW w:w="641" w:type="pct"/>
            <w:shd w:val="clear" w:color="auto" w:fill="C9DED4"/>
          </w:tcPr>
          <w:p w14:paraId="342938F6"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11</w:t>
            </w:r>
          </w:p>
        </w:tc>
      </w:tr>
      <w:tr w:rsidR="00120717" w:rsidRPr="00B93EE1" w14:paraId="3B24B723" w14:textId="77777777" w:rsidTr="00341D46">
        <w:trPr>
          <w:trHeight w:val="225"/>
        </w:trPr>
        <w:tc>
          <w:tcPr>
            <w:tcW w:w="1796" w:type="pct"/>
            <w:shd w:val="clear" w:color="auto" w:fill="auto"/>
            <w:noWrap/>
          </w:tcPr>
          <w:p w14:paraId="0714A0AA" w14:textId="77777777" w:rsidR="00120717" w:rsidRPr="00B93EE1" w:rsidDel="005137E3" w:rsidRDefault="00120717" w:rsidP="00AC04EA">
            <w:pPr>
              <w:ind w:left="284" w:hanging="284"/>
              <w:jc w:val="left"/>
              <w:rPr>
                <w:rFonts w:eastAsia="Verdana" w:cs="Verdana"/>
                <w:sz w:val="15"/>
                <w:szCs w:val="15"/>
              </w:rPr>
            </w:pPr>
            <w:r w:rsidRPr="00B93EE1">
              <w:rPr>
                <w:rFonts w:eastAsia="Verdana" w:cs="Verdana"/>
                <w:sz w:val="15"/>
                <w:szCs w:val="15"/>
              </w:rPr>
              <w:t>d</w:t>
            </w:r>
            <w:r w:rsidRPr="00B93EE1">
              <w:rPr>
                <w:rFonts w:eastAsia="Verdana" w:cs="Verdana"/>
                <w:sz w:val="15"/>
                <w:szCs w:val="15"/>
              </w:rPr>
              <w:tab/>
              <w:t>(iv) Merger clearance and authorisation applications declined or withdrawn (not approved)</w:t>
            </w:r>
          </w:p>
        </w:tc>
        <w:tc>
          <w:tcPr>
            <w:tcW w:w="640" w:type="pct"/>
            <w:shd w:val="clear" w:color="auto" w:fill="auto"/>
            <w:noWrap/>
          </w:tcPr>
          <w:p w14:paraId="3D644990"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c>
          <w:tcPr>
            <w:tcW w:w="641" w:type="pct"/>
            <w:shd w:val="clear" w:color="auto" w:fill="auto"/>
            <w:noWrap/>
          </w:tcPr>
          <w:p w14:paraId="4B66EECE"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5</w:t>
            </w:r>
          </w:p>
        </w:tc>
        <w:tc>
          <w:tcPr>
            <w:tcW w:w="641" w:type="pct"/>
            <w:shd w:val="clear" w:color="auto" w:fill="auto"/>
            <w:noWrap/>
          </w:tcPr>
          <w:p w14:paraId="46E43857"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3</w:t>
            </w:r>
          </w:p>
        </w:tc>
        <w:tc>
          <w:tcPr>
            <w:tcW w:w="641" w:type="pct"/>
            <w:shd w:val="clear" w:color="auto" w:fill="auto"/>
            <w:noWrap/>
          </w:tcPr>
          <w:p w14:paraId="3C5243D6"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c>
          <w:tcPr>
            <w:tcW w:w="641" w:type="pct"/>
            <w:shd w:val="clear" w:color="auto" w:fill="auto"/>
          </w:tcPr>
          <w:p w14:paraId="3B01479A"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0</w:t>
            </w:r>
          </w:p>
        </w:tc>
      </w:tr>
      <w:tr w:rsidR="00120717" w:rsidRPr="00B93EE1" w14:paraId="2B2080AA" w14:textId="77777777" w:rsidTr="00341D46">
        <w:trPr>
          <w:trHeight w:val="225"/>
        </w:trPr>
        <w:tc>
          <w:tcPr>
            <w:tcW w:w="1796" w:type="pct"/>
            <w:shd w:val="clear" w:color="auto" w:fill="C9DED4"/>
            <w:noWrap/>
          </w:tcPr>
          <w:p w14:paraId="0A928B8A" w14:textId="77777777" w:rsidR="00120717" w:rsidRPr="00B93EE1" w:rsidDel="005137E3" w:rsidRDefault="00120717" w:rsidP="00AC04EA">
            <w:pPr>
              <w:ind w:left="284" w:hanging="284"/>
              <w:jc w:val="left"/>
              <w:rPr>
                <w:rFonts w:eastAsia="Verdana" w:cs="Verdana"/>
                <w:sz w:val="15"/>
                <w:szCs w:val="15"/>
              </w:rPr>
            </w:pPr>
            <w:r w:rsidRPr="00B93EE1">
              <w:rPr>
                <w:rFonts w:eastAsia="Verdana" w:cs="Verdana"/>
                <w:sz w:val="15"/>
                <w:szCs w:val="15"/>
              </w:rPr>
              <w:t>f)</w:t>
            </w:r>
            <w:r w:rsidRPr="00B93EE1">
              <w:rPr>
                <w:rFonts w:eastAsia="Verdana" w:cs="Verdana"/>
                <w:sz w:val="15"/>
                <w:szCs w:val="15"/>
              </w:rPr>
              <w:tab/>
              <w:t>Merger enforcement investigations decided</w:t>
            </w:r>
          </w:p>
        </w:tc>
        <w:tc>
          <w:tcPr>
            <w:tcW w:w="640" w:type="pct"/>
            <w:shd w:val="clear" w:color="auto" w:fill="C9DED4"/>
            <w:noWrap/>
          </w:tcPr>
          <w:p w14:paraId="32FFEE19"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c>
          <w:tcPr>
            <w:tcW w:w="641" w:type="pct"/>
            <w:shd w:val="clear" w:color="auto" w:fill="C9DED4"/>
            <w:noWrap/>
          </w:tcPr>
          <w:p w14:paraId="1F5DFB11"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c>
          <w:tcPr>
            <w:tcW w:w="641" w:type="pct"/>
            <w:shd w:val="clear" w:color="auto" w:fill="C9DED4"/>
            <w:noWrap/>
          </w:tcPr>
          <w:p w14:paraId="737587AD"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7</w:t>
            </w:r>
          </w:p>
        </w:tc>
        <w:tc>
          <w:tcPr>
            <w:tcW w:w="641" w:type="pct"/>
            <w:shd w:val="clear" w:color="auto" w:fill="C9DED4"/>
            <w:noWrap/>
          </w:tcPr>
          <w:p w14:paraId="7EE2E324"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4</w:t>
            </w:r>
          </w:p>
        </w:tc>
        <w:tc>
          <w:tcPr>
            <w:tcW w:w="641" w:type="pct"/>
            <w:shd w:val="clear" w:color="auto" w:fill="C9DED4"/>
          </w:tcPr>
          <w:p w14:paraId="6130E07A"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2</w:t>
            </w:r>
          </w:p>
        </w:tc>
      </w:tr>
      <w:tr w:rsidR="00120717" w:rsidRPr="00B93EE1" w14:paraId="340BFF4F" w14:textId="77777777" w:rsidTr="00341D46">
        <w:trPr>
          <w:trHeight w:val="225"/>
        </w:trPr>
        <w:tc>
          <w:tcPr>
            <w:tcW w:w="1796" w:type="pct"/>
            <w:shd w:val="clear" w:color="auto" w:fill="auto"/>
            <w:noWrap/>
          </w:tcPr>
          <w:p w14:paraId="18F4B328" w14:textId="77777777" w:rsidR="00120717" w:rsidRPr="00B93EE1" w:rsidDel="005137E3" w:rsidRDefault="00120717" w:rsidP="00AC04EA">
            <w:pPr>
              <w:ind w:left="284" w:hanging="284"/>
              <w:jc w:val="left"/>
              <w:rPr>
                <w:rFonts w:eastAsia="Verdana" w:cs="Verdana"/>
                <w:sz w:val="15"/>
                <w:szCs w:val="15"/>
              </w:rPr>
            </w:pPr>
            <w:r w:rsidRPr="00B93EE1">
              <w:rPr>
                <w:rFonts w:eastAsia="Verdana" w:cs="Verdana"/>
                <w:sz w:val="15"/>
                <w:szCs w:val="15"/>
              </w:rPr>
              <w:t>f</w:t>
            </w:r>
            <w:r w:rsidRPr="00B93EE1">
              <w:rPr>
                <w:rFonts w:eastAsia="Verdana" w:cs="Verdana"/>
                <w:sz w:val="15"/>
                <w:szCs w:val="15"/>
              </w:rPr>
              <w:tab/>
              <w:t>(</w:t>
            </w:r>
            <w:proofErr w:type="spellStart"/>
            <w:r w:rsidRPr="00B93EE1">
              <w:rPr>
                <w:rFonts w:eastAsia="Verdana" w:cs="Verdana"/>
                <w:sz w:val="15"/>
                <w:szCs w:val="15"/>
              </w:rPr>
              <w:t>i</w:t>
            </w:r>
            <w:proofErr w:type="spellEnd"/>
            <w:r w:rsidRPr="00B93EE1">
              <w:rPr>
                <w:rFonts w:eastAsia="Verdana" w:cs="Verdana"/>
                <w:sz w:val="15"/>
                <w:szCs w:val="15"/>
              </w:rPr>
              <w:t xml:space="preserve">) Merger enforcement investigations with outcome of </w:t>
            </w:r>
            <w:proofErr w:type="spellStart"/>
            <w:r w:rsidRPr="00B93EE1">
              <w:rPr>
                <w:rFonts w:eastAsia="Verdana" w:cs="Verdana"/>
                <w:sz w:val="15"/>
                <w:szCs w:val="15"/>
              </w:rPr>
              <w:t>NZCC</w:t>
            </w:r>
            <w:proofErr w:type="spellEnd"/>
            <w:r w:rsidRPr="00B93EE1">
              <w:rPr>
                <w:rFonts w:eastAsia="Verdana" w:cs="Verdana"/>
                <w:sz w:val="15"/>
                <w:szCs w:val="15"/>
              </w:rPr>
              <w:t xml:space="preserve"> challenging merger in the court</w:t>
            </w:r>
          </w:p>
        </w:tc>
        <w:tc>
          <w:tcPr>
            <w:tcW w:w="640" w:type="pct"/>
            <w:shd w:val="clear" w:color="auto" w:fill="auto"/>
            <w:noWrap/>
          </w:tcPr>
          <w:p w14:paraId="7E89BE40"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0</w:t>
            </w:r>
          </w:p>
        </w:tc>
        <w:tc>
          <w:tcPr>
            <w:tcW w:w="641" w:type="pct"/>
            <w:shd w:val="clear" w:color="auto" w:fill="auto"/>
            <w:noWrap/>
          </w:tcPr>
          <w:p w14:paraId="05548A59"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0</w:t>
            </w:r>
          </w:p>
        </w:tc>
        <w:tc>
          <w:tcPr>
            <w:tcW w:w="641" w:type="pct"/>
            <w:shd w:val="clear" w:color="auto" w:fill="auto"/>
            <w:noWrap/>
          </w:tcPr>
          <w:p w14:paraId="174C3DCB"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2</w:t>
            </w:r>
          </w:p>
        </w:tc>
        <w:tc>
          <w:tcPr>
            <w:tcW w:w="641" w:type="pct"/>
            <w:shd w:val="clear" w:color="auto" w:fill="auto"/>
            <w:noWrap/>
          </w:tcPr>
          <w:p w14:paraId="62EB56D5"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c>
          <w:tcPr>
            <w:tcW w:w="641" w:type="pct"/>
            <w:shd w:val="clear" w:color="auto" w:fill="auto"/>
          </w:tcPr>
          <w:p w14:paraId="796F0B28" w14:textId="77777777" w:rsidR="00120717" w:rsidRPr="00B93EE1" w:rsidRDefault="00120717" w:rsidP="00AC04EA">
            <w:pPr>
              <w:ind w:right="57"/>
              <w:jc w:val="right"/>
              <w:rPr>
                <w:rFonts w:eastAsia="Times New Roman" w:cs="Times New Roman"/>
                <w:color w:val="000000"/>
                <w:sz w:val="15"/>
                <w:szCs w:val="15"/>
              </w:rPr>
            </w:pPr>
            <w:r w:rsidRPr="00B93EE1">
              <w:rPr>
                <w:rFonts w:eastAsia="Times New Roman" w:cs="Times New Roman"/>
                <w:color w:val="000000"/>
                <w:sz w:val="15"/>
                <w:szCs w:val="15"/>
              </w:rPr>
              <w:t>0</w:t>
            </w:r>
          </w:p>
        </w:tc>
      </w:tr>
      <w:tr w:rsidR="00120717" w:rsidRPr="00B93EE1" w14:paraId="519981B2" w14:textId="77777777" w:rsidTr="00341D46">
        <w:trPr>
          <w:trHeight w:val="225"/>
        </w:trPr>
        <w:tc>
          <w:tcPr>
            <w:tcW w:w="1796" w:type="pct"/>
            <w:shd w:val="clear" w:color="auto" w:fill="C9DED4"/>
            <w:noWrap/>
          </w:tcPr>
          <w:p w14:paraId="4B4E4441" w14:textId="77777777" w:rsidR="00120717" w:rsidRPr="00B93EE1" w:rsidRDefault="00120717" w:rsidP="00AF569F">
            <w:pPr>
              <w:keepNext/>
              <w:keepLines/>
              <w:jc w:val="left"/>
              <w:rPr>
                <w:rFonts w:eastAsia="Calibri" w:cs="Times New Roman"/>
                <w:b/>
                <w:bCs/>
                <w:sz w:val="15"/>
                <w:szCs w:val="15"/>
              </w:rPr>
            </w:pPr>
            <w:r w:rsidRPr="00B93EE1">
              <w:rPr>
                <w:rFonts w:eastAsia="Calibri" w:cs="Times New Roman"/>
                <w:b/>
                <w:bCs/>
                <w:sz w:val="15"/>
                <w:szCs w:val="15"/>
              </w:rPr>
              <w:t xml:space="preserve">3 Infringement penalties </w:t>
            </w:r>
          </w:p>
          <w:p w14:paraId="149D4131" w14:textId="77777777" w:rsidR="00120717" w:rsidRPr="00B93EE1" w:rsidRDefault="00120717" w:rsidP="00AF569F">
            <w:pPr>
              <w:keepNext/>
              <w:keepLines/>
              <w:jc w:val="left"/>
              <w:rPr>
                <w:rFonts w:eastAsia="Calibri" w:cs="Times New Roman"/>
                <w:sz w:val="15"/>
                <w:szCs w:val="15"/>
              </w:rPr>
            </w:pPr>
            <w:r w:rsidRPr="00B93EE1">
              <w:rPr>
                <w:rFonts w:eastAsia="Calibri" w:cs="Times New Roman"/>
                <w:b/>
                <w:bCs/>
                <w:sz w:val="15"/>
                <w:szCs w:val="15"/>
              </w:rPr>
              <w:t>(number / NZD)</w:t>
            </w:r>
          </w:p>
        </w:tc>
        <w:tc>
          <w:tcPr>
            <w:tcW w:w="640" w:type="pct"/>
            <w:shd w:val="clear" w:color="auto" w:fill="C9DED4"/>
            <w:noWrap/>
          </w:tcPr>
          <w:p w14:paraId="6FDAA487"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3 /</w:t>
            </w:r>
          </w:p>
          <w:p w14:paraId="31E6C3EF"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4.855 MM</w:t>
            </w:r>
          </w:p>
        </w:tc>
        <w:tc>
          <w:tcPr>
            <w:tcW w:w="641" w:type="pct"/>
            <w:shd w:val="clear" w:color="auto" w:fill="C9DED4"/>
            <w:noWrap/>
          </w:tcPr>
          <w:p w14:paraId="7CF76915"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2 /</w:t>
            </w:r>
          </w:p>
          <w:p w14:paraId="3A8752D9"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16.780 MM</w:t>
            </w:r>
          </w:p>
        </w:tc>
        <w:tc>
          <w:tcPr>
            <w:tcW w:w="641" w:type="pct"/>
            <w:shd w:val="clear" w:color="auto" w:fill="C9DED4"/>
            <w:noWrap/>
          </w:tcPr>
          <w:p w14:paraId="7482315C"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1 /</w:t>
            </w:r>
          </w:p>
          <w:p w14:paraId="41AC9128"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1.05 MM</w:t>
            </w:r>
          </w:p>
        </w:tc>
        <w:tc>
          <w:tcPr>
            <w:tcW w:w="641" w:type="pct"/>
            <w:shd w:val="clear" w:color="auto" w:fill="C9DED4"/>
            <w:noWrap/>
          </w:tcPr>
          <w:p w14:paraId="14497364"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2 /</w:t>
            </w:r>
          </w:p>
          <w:p w14:paraId="60DC7E38"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4.225 MM</w:t>
            </w:r>
          </w:p>
        </w:tc>
        <w:tc>
          <w:tcPr>
            <w:tcW w:w="641" w:type="pct"/>
            <w:shd w:val="clear" w:color="auto" w:fill="C9DED4"/>
          </w:tcPr>
          <w:p w14:paraId="05E321B5"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2 /</w:t>
            </w:r>
          </w:p>
          <w:p w14:paraId="7590DDCA"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0.794 MM</w:t>
            </w:r>
          </w:p>
        </w:tc>
      </w:tr>
      <w:tr w:rsidR="00120717" w:rsidRPr="00B93EE1" w14:paraId="4F620B4B" w14:textId="77777777" w:rsidTr="00341D46">
        <w:trPr>
          <w:trHeight w:val="225"/>
        </w:trPr>
        <w:tc>
          <w:tcPr>
            <w:tcW w:w="1796" w:type="pct"/>
            <w:shd w:val="clear" w:color="auto" w:fill="auto"/>
            <w:noWrap/>
          </w:tcPr>
          <w:p w14:paraId="0911787D" w14:textId="77777777" w:rsidR="00120717" w:rsidRPr="00B93EE1" w:rsidRDefault="00120717" w:rsidP="00AF569F">
            <w:pPr>
              <w:keepNext/>
              <w:keepLines/>
              <w:jc w:val="left"/>
              <w:rPr>
                <w:rFonts w:eastAsia="Calibri" w:cs="Times New Roman"/>
                <w:sz w:val="15"/>
                <w:szCs w:val="15"/>
              </w:rPr>
            </w:pPr>
            <w:r w:rsidRPr="00B93EE1">
              <w:rPr>
                <w:rFonts w:eastAsia="Calibri" w:cs="Times New Roman"/>
                <w:b/>
                <w:bCs/>
                <w:sz w:val="15"/>
                <w:szCs w:val="15"/>
              </w:rPr>
              <w:t>4 Appeals (completed)</w:t>
            </w:r>
          </w:p>
        </w:tc>
        <w:tc>
          <w:tcPr>
            <w:tcW w:w="640" w:type="pct"/>
            <w:shd w:val="clear" w:color="auto" w:fill="auto"/>
            <w:noWrap/>
          </w:tcPr>
          <w:p w14:paraId="7E47F952"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c>
          <w:tcPr>
            <w:tcW w:w="641" w:type="pct"/>
            <w:shd w:val="clear" w:color="auto" w:fill="auto"/>
            <w:noWrap/>
          </w:tcPr>
          <w:p w14:paraId="2A34BB8C"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2</w:t>
            </w:r>
          </w:p>
        </w:tc>
        <w:tc>
          <w:tcPr>
            <w:tcW w:w="641" w:type="pct"/>
            <w:shd w:val="clear" w:color="auto" w:fill="auto"/>
            <w:noWrap/>
          </w:tcPr>
          <w:p w14:paraId="440BADF8"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2</w:t>
            </w:r>
          </w:p>
        </w:tc>
        <w:tc>
          <w:tcPr>
            <w:tcW w:w="641" w:type="pct"/>
            <w:shd w:val="clear" w:color="auto" w:fill="auto"/>
            <w:noWrap/>
          </w:tcPr>
          <w:p w14:paraId="0F1DE135"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0</w:t>
            </w:r>
          </w:p>
        </w:tc>
        <w:tc>
          <w:tcPr>
            <w:tcW w:w="641" w:type="pct"/>
            <w:shd w:val="clear" w:color="auto" w:fill="auto"/>
          </w:tcPr>
          <w:p w14:paraId="08556721" w14:textId="77777777" w:rsidR="00120717" w:rsidRPr="00B93EE1" w:rsidRDefault="00120717" w:rsidP="00AF569F">
            <w:pPr>
              <w:keepNext/>
              <w:keepLines/>
              <w:ind w:right="57"/>
              <w:jc w:val="right"/>
              <w:rPr>
                <w:rFonts w:eastAsia="Times New Roman" w:cs="Times New Roman"/>
                <w:color w:val="000000"/>
                <w:sz w:val="15"/>
                <w:szCs w:val="15"/>
              </w:rPr>
            </w:pPr>
            <w:r w:rsidRPr="00B93EE1">
              <w:rPr>
                <w:rFonts w:eastAsia="Times New Roman" w:cs="Times New Roman"/>
                <w:color w:val="000000"/>
                <w:sz w:val="15"/>
                <w:szCs w:val="15"/>
              </w:rPr>
              <w:t>1</w:t>
            </w:r>
          </w:p>
        </w:tc>
      </w:tr>
    </w:tbl>
    <w:p w14:paraId="7F581FD2" w14:textId="77777777" w:rsidR="00120717" w:rsidRPr="00B93EE1" w:rsidRDefault="00120717" w:rsidP="00AF569F">
      <w:pPr>
        <w:pStyle w:val="NoteText"/>
        <w:keepNext/>
        <w:keepLines/>
        <w:spacing w:before="120"/>
      </w:pPr>
      <w:r w:rsidRPr="00B93EE1">
        <w:t>Note:</w:t>
      </w:r>
      <w:r w:rsidRPr="00B93EE1">
        <w:tab/>
        <w:t xml:space="preserve">MM = million. </w:t>
      </w:r>
    </w:p>
    <w:p w14:paraId="72C9CAD9" w14:textId="77777777" w:rsidR="00120717" w:rsidRPr="00B93EE1" w:rsidRDefault="00120717" w:rsidP="00AF569F">
      <w:pPr>
        <w:pStyle w:val="NoteText"/>
        <w:keepNext/>
        <w:keepLines/>
        <w:spacing w:before="120"/>
      </w:pPr>
      <w:proofErr w:type="spellStart"/>
      <w:r w:rsidRPr="00B93EE1">
        <w:t>a</w:t>
      </w:r>
      <w:proofErr w:type="spellEnd"/>
      <w:r w:rsidRPr="00B93EE1">
        <w:tab/>
        <w:t>Authorizations in the merger context relate to parties seeking the approval of the Commission for mergers that would likely have the effect of substantially lessening competition in a market and may not ordinarily receive merger clearance on that basis. The test for authorizations is the public benefit test.</w:t>
      </w:r>
    </w:p>
    <w:p w14:paraId="4277E7EF" w14:textId="77777777" w:rsidR="00120717" w:rsidRPr="00B93EE1" w:rsidRDefault="00120717" w:rsidP="00AF569F">
      <w:pPr>
        <w:pStyle w:val="NoteText"/>
        <w:spacing w:before="120" w:after="240"/>
      </w:pPr>
      <w:r w:rsidRPr="00B93EE1">
        <w:t>Source:</w:t>
      </w:r>
      <w:r w:rsidRPr="00B93EE1">
        <w:tab/>
        <w:t>Information provided by the authorities.</w:t>
      </w:r>
    </w:p>
    <w:p w14:paraId="0D099478" w14:textId="4CBCD029" w:rsidR="00120717" w:rsidRPr="00F64A35" w:rsidRDefault="00120717" w:rsidP="00241695">
      <w:pPr>
        <w:pStyle w:val="Heading5"/>
      </w:pPr>
      <w:bookmarkStart w:id="163" w:name="_Toc97800168"/>
      <w:r w:rsidRPr="00B93EE1">
        <w:t xml:space="preserve">International </w:t>
      </w:r>
      <w:r w:rsidR="003614B4">
        <w:t>c</w:t>
      </w:r>
      <w:r w:rsidRPr="00B93EE1">
        <w:t>ooperation</w:t>
      </w:r>
      <w:bookmarkEnd w:id="163"/>
    </w:p>
    <w:p w14:paraId="43916E80" w14:textId="028A9256" w:rsidR="00120717" w:rsidRPr="00F64A35" w:rsidRDefault="00120717" w:rsidP="00241695">
      <w:pPr>
        <w:pStyle w:val="BodyText"/>
      </w:pPr>
      <w:r w:rsidRPr="00B93EE1">
        <w:t>New Zealand continues to cooperate bilaterally with overseas competition authorities (Table 3.1</w:t>
      </w:r>
      <w:r w:rsidR="003614B4">
        <w:t>4</w:t>
      </w:r>
      <w:r w:rsidRPr="00B93EE1">
        <w:t>) as well as multilaterally in international frameworks such as the International Competition Network (</w:t>
      </w:r>
      <w:proofErr w:type="spellStart"/>
      <w:r w:rsidRPr="00B93EE1">
        <w:t>ICN</w:t>
      </w:r>
      <w:proofErr w:type="spellEnd"/>
      <w:r w:rsidRPr="00B93EE1">
        <w:t>) and the Competition Committee of the OECD. The Multilateral Mutual Assistance Framework for Competition Authorities enables competition authorities in Australia, Canada, the United Kingdom, the United States, and New Zealand to share intelligence, case theories, and investigative techniques to better coordinate investigations across borders. The Competition Commission has also signed an MOU with New Zealand Police on issues pertaining to investigations.</w:t>
      </w:r>
      <w:r w:rsidRPr="00B93EE1">
        <w:rPr>
          <w:rStyle w:val="FootnoteReference"/>
        </w:rPr>
        <w:footnoteReference w:id="225"/>
      </w:r>
    </w:p>
    <w:p w14:paraId="3D48F31A" w14:textId="6E521FF1" w:rsidR="00120717" w:rsidRPr="00B93EE1" w:rsidRDefault="00D37A97" w:rsidP="00D37A97">
      <w:pPr>
        <w:pStyle w:val="Caption"/>
      </w:pPr>
      <w:bookmarkStart w:id="164" w:name="_Toc97793400"/>
      <w:r>
        <w:lastRenderedPageBreak/>
        <w:t xml:space="preserve">Table </w:t>
      </w:r>
      <w:r w:rsidR="0012793B">
        <w:fldChar w:fldCharType="begin"/>
      </w:r>
      <w:r w:rsidR="0012793B">
        <w:instrText xml:space="preserve"> 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14</w:t>
      </w:r>
      <w:r w:rsidR="0012793B">
        <w:rPr>
          <w:noProof/>
        </w:rPr>
        <w:fldChar w:fldCharType="end"/>
      </w:r>
      <w:r>
        <w:t xml:space="preserve"> </w:t>
      </w:r>
      <w:r w:rsidR="00120717" w:rsidRPr="00B93EE1">
        <w:t>Signed bilateral agreements/arrangements on competition issues, 2016-21</w:t>
      </w:r>
      <w:bookmarkEnd w:id="164"/>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128"/>
        <w:gridCol w:w="4876"/>
        <w:gridCol w:w="1012"/>
      </w:tblGrid>
      <w:tr w:rsidR="00120717" w:rsidRPr="00B93EE1" w14:paraId="4362C360" w14:textId="77777777" w:rsidTr="001A460A">
        <w:trPr>
          <w:tblHeader/>
        </w:trPr>
        <w:tc>
          <w:tcPr>
            <w:tcW w:w="1735" w:type="pct"/>
            <w:shd w:val="clear" w:color="auto" w:fill="006283"/>
          </w:tcPr>
          <w:p w14:paraId="32A2F4AD" w14:textId="77777777" w:rsidR="00120717" w:rsidRPr="00B93EE1" w:rsidRDefault="00120717" w:rsidP="001A460A">
            <w:pPr>
              <w:jc w:val="left"/>
              <w:rPr>
                <w:b/>
                <w:color w:val="FFFFFF"/>
                <w:sz w:val="16"/>
                <w:szCs w:val="16"/>
              </w:rPr>
            </w:pPr>
            <w:r w:rsidRPr="00B93EE1">
              <w:rPr>
                <w:b/>
                <w:color w:val="FFFFFF"/>
                <w:sz w:val="16"/>
                <w:szCs w:val="16"/>
              </w:rPr>
              <w:t>Agreement / Arrangement type</w:t>
            </w:r>
          </w:p>
        </w:tc>
        <w:tc>
          <w:tcPr>
            <w:tcW w:w="2704" w:type="pct"/>
            <w:shd w:val="clear" w:color="auto" w:fill="006283"/>
          </w:tcPr>
          <w:p w14:paraId="30916E96" w14:textId="77777777" w:rsidR="00120717" w:rsidRPr="00B93EE1" w:rsidRDefault="00120717" w:rsidP="001A460A">
            <w:pPr>
              <w:jc w:val="left"/>
              <w:rPr>
                <w:b/>
                <w:color w:val="FFFFFF"/>
                <w:sz w:val="16"/>
                <w:szCs w:val="16"/>
              </w:rPr>
            </w:pPr>
            <w:r w:rsidRPr="00B93EE1">
              <w:rPr>
                <w:b/>
                <w:color w:val="FFFFFF"/>
                <w:sz w:val="16"/>
                <w:szCs w:val="16"/>
              </w:rPr>
              <w:t>Parties / Participants</w:t>
            </w:r>
          </w:p>
        </w:tc>
        <w:tc>
          <w:tcPr>
            <w:tcW w:w="561" w:type="pct"/>
            <w:shd w:val="clear" w:color="auto" w:fill="006283"/>
          </w:tcPr>
          <w:p w14:paraId="564C2CE2" w14:textId="77777777" w:rsidR="00120717" w:rsidRPr="00B93EE1" w:rsidRDefault="00120717" w:rsidP="00CC7B21">
            <w:pPr>
              <w:jc w:val="left"/>
              <w:rPr>
                <w:b/>
                <w:color w:val="FFFFFF"/>
                <w:sz w:val="16"/>
                <w:szCs w:val="16"/>
              </w:rPr>
            </w:pPr>
            <w:r w:rsidRPr="00B93EE1">
              <w:rPr>
                <w:b/>
                <w:color w:val="FFFFFF"/>
                <w:sz w:val="16"/>
                <w:szCs w:val="16"/>
              </w:rPr>
              <w:t>Year</w:t>
            </w:r>
          </w:p>
        </w:tc>
      </w:tr>
      <w:tr w:rsidR="00120717" w:rsidRPr="00B93EE1" w14:paraId="3E5C7B77" w14:textId="77777777" w:rsidTr="001A460A">
        <w:tc>
          <w:tcPr>
            <w:tcW w:w="1735" w:type="pct"/>
            <w:shd w:val="clear" w:color="auto" w:fill="C9DED4"/>
          </w:tcPr>
          <w:p w14:paraId="3EEE1B95" w14:textId="77777777" w:rsidR="00120717" w:rsidRPr="00B93EE1" w:rsidRDefault="00120717" w:rsidP="001A460A">
            <w:pPr>
              <w:keepNext/>
              <w:jc w:val="left"/>
              <w:rPr>
                <w:sz w:val="16"/>
                <w:szCs w:val="16"/>
              </w:rPr>
            </w:pPr>
            <w:r w:rsidRPr="00B93EE1">
              <w:rPr>
                <w:sz w:val="16"/>
                <w:szCs w:val="16"/>
              </w:rPr>
              <w:t>Cooperation Arrangement (information sharing and investigative assistance)</w:t>
            </w:r>
          </w:p>
        </w:tc>
        <w:tc>
          <w:tcPr>
            <w:tcW w:w="2704" w:type="pct"/>
            <w:shd w:val="clear" w:color="auto" w:fill="C9DED4"/>
          </w:tcPr>
          <w:p w14:paraId="4FA4F793" w14:textId="77777777" w:rsidR="00120717" w:rsidRPr="00B93EE1" w:rsidRDefault="00120717" w:rsidP="001A460A">
            <w:pPr>
              <w:keepNext/>
              <w:jc w:val="left"/>
              <w:rPr>
                <w:color w:val="000000"/>
                <w:sz w:val="16"/>
                <w:szCs w:val="16"/>
              </w:rPr>
            </w:pPr>
            <w:r w:rsidRPr="00B93EE1">
              <w:rPr>
                <w:sz w:val="16"/>
                <w:szCs w:val="16"/>
              </w:rPr>
              <w:t>New Zealand Commerce Commission and Commissioner of Competition (Canada)</w:t>
            </w:r>
          </w:p>
        </w:tc>
        <w:tc>
          <w:tcPr>
            <w:tcW w:w="561" w:type="pct"/>
            <w:shd w:val="clear" w:color="auto" w:fill="C9DED4"/>
          </w:tcPr>
          <w:p w14:paraId="06BA9115" w14:textId="77777777" w:rsidR="00120717" w:rsidRPr="00B93EE1" w:rsidRDefault="00120717" w:rsidP="00CC7B21">
            <w:pPr>
              <w:keepNext/>
              <w:jc w:val="left"/>
              <w:rPr>
                <w:sz w:val="16"/>
                <w:szCs w:val="16"/>
              </w:rPr>
            </w:pPr>
            <w:r w:rsidRPr="00B93EE1">
              <w:rPr>
                <w:sz w:val="16"/>
                <w:szCs w:val="16"/>
              </w:rPr>
              <w:t>2016</w:t>
            </w:r>
          </w:p>
        </w:tc>
      </w:tr>
      <w:tr w:rsidR="00120717" w:rsidRPr="00B93EE1" w14:paraId="6F7E1136" w14:textId="77777777" w:rsidTr="001A460A">
        <w:tc>
          <w:tcPr>
            <w:tcW w:w="1735" w:type="pct"/>
            <w:shd w:val="clear" w:color="auto" w:fill="auto"/>
          </w:tcPr>
          <w:p w14:paraId="7CF95DD7" w14:textId="77777777" w:rsidR="00120717" w:rsidRPr="00B93EE1" w:rsidRDefault="00120717" w:rsidP="001A460A">
            <w:pPr>
              <w:keepNext/>
              <w:jc w:val="left"/>
              <w:rPr>
                <w:sz w:val="16"/>
                <w:szCs w:val="16"/>
              </w:rPr>
            </w:pPr>
            <w:r w:rsidRPr="00B93EE1">
              <w:rPr>
                <w:sz w:val="16"/>
                <w:szCs w:val="16"/>
              </w:rPr>
              <w:t>Multilateral Mutual Assistance and Cooperation Framework for Competition Authorities (MMAC)</w:t>
            </w:r>
            <w:r w:rsidRPr="00B93EE1">
              <w:rPr>
                <w:sz w:val="16"/>
                <w:szCs w:val="16"/>
                <w:vertAlign w:val="superscript"/>
              </w:rPr>
              <w:t>a</w:t>
            </w:r>
          </w:p>
        </w:tc>
        <w:tc>
          <w:tcPr>
            <w:tcW w:w="2704" w:type="pct"/>
            <w:shd w:val="clear" w:color="auto" w:fill="auto"/>
          </w:tcPr>
          <w:p w14:paraId="05920A9A" w14:textId="77777777" w:rsidR="00120717" w:rsidRPr="00B93EE1" w:rsidRDefault="00120717" w:rsidP="001A460A">
            <w:pPr>
              <w:keepNext/>
              <w:jc w:val="left"/>
              <w:rPr>
                <w:sz w:val="16"/>
                <w:szCs w:val="16"/>
              </w:rPr>
            </w:pPr>
            <w:r w:rsidRPr="00B93EE1">
              <w:rPr>
                <w:sz w:val="16"/>
                <w:szCs w:val="16"/>
              </w:rPr>
              <w:t>New Zealand Commerce Commission, Australian Competition and Consumer Commission, Competition Bureau of the Government of Canada, the UK Competition and Markets Authority, the U.S. Department of Justice, and U.S. Federal Trade Commission</w:t>
            </w:r>
          </w:p>
        </w:tc>
        <w:tc>
          <w:tcPr>
            <w:tcW w:w="561" w:type="pct"/>
            <w:shd w:val="clear" w:color="auto" w:fill="auto"/>
          </w:tcPr>
          <w:p w14:paraId="4EAD7569" w14:textId="77777777" w:rsidR="00120717" w:rsidRPr="00B93EE1" w:rsidRDefault="00120717" w:rsidP="00CC7B21">
            <w:pPr>
              <w:keepNext/>
              <w:jc w:val="left"/>
              <w:rPr>
                <w:sz w:val="16"/>
                <w:szCs w:val="16"/>
              </w:rPr>
            </w:pPr>
            <w:r w:rsidRPr="00B93EE1">
              <w:rPr>
                <w:sz w:val="16"/>
                <w:szCs w:val="16"/>
              </w:rPr>
              <w:t>2020</w:t>
            </w:r>
          </w:p>
        </w:tc>
      </w:tr>
    </w:tbl>
    <w:p w14:paraId="52673D2D" w14:textId="77777777" w:rsidR="00120717" w:rsidRPr="00B93EE1" w:rsidRDefault="00120717" w:rsidP="00AF569F">
      <w:pPr>
        <w:pStyle w:val="NoteText"/>
        <w:spacing w:before="120"/>
        <w:rPr>
          <w:rFonts w:eastAsia="Times New Roman"/>
          <w:color w:val="000000"/>
          <w:shd w:val="clear" w:color="auto" w:fill="FFFFFF"/>
        </w:rPr>
      </w:pPr>
      <w:r w:rsidRPr="00B93EE1">
        <w:t>a</w:t>
      </w:r>
      <w:r w:rsidRPr="00B93EE1">
        <w:tab/>
        <w:t xml:space="preserve">As informed by the authorities, </w:t>
      </w:r>
      <w:r w:rsidRPr="00B93EE1">
        <w:rPr>
          <w:rFonts w:eastAsia="Times New Roman"/>
        </w:rPr>
        <w:t xml:space="preserve">the MMAC </w:t>
      </w:r>
      <w:r w:rsidRPr="00B93EE1">
        <w:rPr>
          <w:rFonts w:eastAsia="Times New Roman"/>
          <w:color w:val="000000"/>
          <w:shd w:val="clear" w:color="auto" w:fill="FFFFFF"/>
        </w:rPr>
        <w:t>supports coordinated and informal cooperation and assistance, including cooperation on investigations, work on joint projects, and interagency training initiatives.</w:t>
      </w:r>
    </w:p>
    <w:p w14:paraId="5DA2CB3A" w14:textId="77777777" w:rsidR="00120717" w:rsidRPr="00B93EE1" w:rsidRDefault="00120717" w:rsidP="00AF569F">
      <w:pPr>
        <w:pStyle w:val="NoteText"/>
        <w:spacing w:before="120" w:after="240"/>
      </w:pPr>
      <w:r w:rsidRPr="00B93EE1">
        <w:t>Source:</w:t>
      </w:r>
      <w:r w:rsidRPr="00B93EE1">
        <w:tab/>
        <w:t>Information provided by the authorities.</w:t>
      </w:r>
    </w:p>
    <w:p w14:paraId="495B4EC8" w14:textId="09DC90DE" w:rsidR="00120717" w:rsidRPr="00F64A35" w:rsidRDefault="00120717" w:rsidP="00341DC9">
      <w:pPr>
        <w:pStyle w:val="BodyText"/>
      </w:pPr>
      <w:r w:rsidRPr="00B93EE1">
        <w:t>Competition chapters are also found in most RTAs signed by New Zealand during the reporting period (Table 3.1</w:t>
      </w:r>
      <w:r w:rsidR="003614B4">
        <w:t>5</w:t>
      </w:r>
      <w:r w:rsidRPr="00B93EE1">
        <w:t>). Competition chapters are included to ensure that the benefits of the agreement are not undermined by anti-competitive practices as well as to give greater certainty and transparency for New Zealand businesses operating in partner countries. In general, competition chapters recognize the importance of promoting and maintaining competition regulations that enhance economic efficiency and consumer welfare. As such, they usually include provisions on transparency, cooperation, and capacity-building.</w:t>
      </w:r>
    </w:p>
    <w:p w14:paraId="4EEA18E9" w14:textId="5A26808B" w:rsidR="00120717" w:rsidRPr="00B93EE1" w:rsidRDefault="00D37A97" w:rsidP="00D37A97">
      <w:pPr>
        <w:pStyle w:val="Caption"/>
      </w:pPr>
      <w:bookmarkStart w:id="165" w:name="_Toc418783247"/>
      <w:bookmarkStart w:id="166" w:name="_Toc97793401"/>
      <w:r>
        <w:t xml:space="preserve">Table </w:t>
      </w:r>
      <w:r w:rsidR="0012793B">
        <w:fldChar w:fldCharType="begin"/>
      </w:r>
      <w:r w:rsidR="0012793B">
        <w:instrText xml:space="preserve"> 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15</w:t>
      </w:r>
      <w:r w:rsidR="0012793B">
        <w:rPr>
          <w:noProof/>
        </w:rPr>
        <w:fldChar w:fldCharType="end"/>
      </w:r>
      <w:r>
        <w:t xml:space="preserve"> </w:t>
      </w:r>
      <w:r w:rsidR="00120717" w:rsidRPr="00B93EE1">
        <w:t xml:space="preserve">Summary of RTAs with competition chapters </w:t>
      </w:r>
      <w:bookmarkEnd w:id="165"/>
      <w:r w:rsidR="00120717" w:rsidRPr="00B93EE1">
        <w:t>signed, 2016-21</w:t>
      </w:r>
      <w:bookmarkEnd w:id="166"/>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320"/>
        <w:gridCol w:w="5696"/>
      </w:tblGrid>
      <w:tr w:rsidR="00120717" w:rsidRPr="00B93EE1" w14:paraId="770F13E7" w14:textId="77777777" w:rsidTr="00535F84">
        <w:trPr>
          <w:tblHeader/>
        </w:trPr>
        <w:tc>
          <w:tcPr>
            <w:tcW w:w="3320" w:type="dxa"/>
            <w:shd w:val="clear" w:color="auto" w:fill="006283"/>
            <w:hideMark/>
          </w:tcPr>
          <w:p w14:paraId="05CA7CB6" w14:textId="77777777" w:rsidR="00120717" w:rsidRPr="00B93EE1" w:rsidRDefault="00120717" w:rsidP="00AF569F">
            <w:pPr>
              <w:jc w:val="left"/>
              <w:rPr>
                <w:b/>
                <w:color w:val="FFFFFF"/>
                <w:sz w:val="16"/>
                <w:szCs w:val="16"/>
              </w:rPr>
            </w:pPr>
            <w:r w:rsidRPr="00B93EE1">
              <w:rPr>
                <w:b/>
                <w:color w:val="FFFFFF"/>
                <w:sz w:val="16"/>
                <w:szCs w:val="16"/>
              </w:rPr>
              <w:t>RTA</w:t>
            </w:r>
          </w:p>
        </w:tc>
        <w:tc>
          <w:tcPr>
            <w:tcW w:w="5696" w:type="dxa"/>
            <w:shd w:val="clear" w:color="auto" w:fill="006283"/>
            <w:hideMark/>
          </w:tcPr>
          <w:p w14:paraId="441F1255" w14:textId="77777777" w:rsidR="00120717" w:rsidRPr="00B93EE1" w:rsidRDefault="00120717" w:rsidP="00AF569F">
            <w:pPr>
              <w:jc w:val="left"/>
              <w:rPr>
                <w:b/>
                <w:color w:val="FFFFFF"/>
                <w:sz w:val="16"/>
                <w:szCs w:val="16"/>
              </w:rPr>
            </w:pPr>
            <w:r w:rsidRPr="00B93EE1">
              <w:rPr>
                <w:b/>
                <w:color w:val="FFFFFF"/>
                <w:sz w:val="16"/>
                <w:szCs w:val="16"/>
              </w:rPr>
              <w:t>Competition chapter: brief overview</w:t>
            </w:r>
          </w:p>
        </w:tc>
      </w:tr>
      <w:tr w:rsidR="00120717" w:rsidRPr="00B93EE1" w14:paraId="5EB9EC64" w14:textId="77777777" w:rsidTr="001A460A">
        <w:tc>
          <w:tcPr>
            <w:tcW w:w="3320" w:type="dxa"/>
            <w:shd w:val="clear" w:color="auto" w:fill="C9DED4"/>
            <w:hideMark/>
          </w:tcPr>
          <w:p w14:paraId="187B7AA2" w14:textId="77777777" w:rsidR="00120717" w:rsidRPr="00B93EE1" w:rsidRDefault="00120717" w:rsidP="00AF569F">
            <w:pPr>
              <w:jc w:val="left"/>
              <w:rPr>
                <w:sz w:val="16"/>
                <w:szCs w:val="16"/>
              </w:rPr>
            </w:pPr>
            <w:r w:rsidRPr="00B93EE1">
              <w:rPr>
                <w:sz w:val="16"/>
                <w:szCs w:val="16"/>
              </w:rPr>
              <w:t>New Zealand-Korea FTA</w:t>
            </w:r>
          </w:p>
        </w:tc>
        <w:tc>
          <w:tcPr>
            <w:tcW w:w="5696" w:type="dxa"/>
            <w:shd w:val="clear" w:color="auto" w:fill="C9DED4"/>
            <w:hideMark/>
          </w:tcPr>
          <w:p w14:paraId="541C5A1D" w14:textId="77777777" w:rsidR="00120717" w:rsidRPr="00B93EE1" w:rsidRDefault="00120717" w:rsidP="00AF569F">
            <w:pPr>
              <w:jc w:val="left"/>
              <w:rPr>
                <w:sz w:val="16"/>
                <w:szCs w:val="16"/>
              </w:rPr>
            </w:pPr>
            <w:r w:rsidRPr="00B93EE1">
              <w:rPr>
                <w:sz w:val="16"/>
                <w:szCs w:val="16"/>
              </w:rPr>
              <w:t xml:space="preserve">Transparency; existence of and cooperation and coordination between competition authorities; rules on consultation and exchange of information; and technical cooperation between authorities. </w:t>
            </w:r>
          </w:p>
        </w:tc>
      </w:tr>
      <w:tr w:rsidR="00120717" w:rsidRPr="00B93EE1" w14:paraId="063F372D" w14:textId="77777777" w:rsidTr="001A460A">
        <w:tc>
          <w:tcPr>
            <w:tcW w:w="3320" w:type="dxa"/>
            <w:shd w:val="clear" w:color="auto" w:fill="auto"/>
          </w:tcPr>
          <w:p w14:paraId="1DAE9AB6" w14:textId="77777777" w:rsidR="00120717" w:rsidRPr="00B93EE1" w:rsidRDefault="00120717" w:rsidP="00AF569F">
            <w:pPr>
              <w:keepNext/>
              <w:jc w:val="left"/>
              <w:rPr>
                <w:sz w:val="16"/>
                <w:szCs w:val="16"/>
              </w:rPr>
            </w:pPr>
            <w:r w:rsidRPr="00B93EE1">
              <w:rPr>
                <w:sz w:val="16"/>
                <w:szCs w:val="16"/>
              </w:rPr>
              <w:t>Comprehensive and Progressive Agreement for Trans-Pacific Partnership (</w:t>
            </w:r>
            <w:proofErr w:type="spellStart"/>
            <w:r w:rsidRPr="00B93EE1">
              <w:rPr>
                <w:sz w:val="16"/>
                <w:szCs w:val="16"/>
              </w:rPr>
              <w:t>CPTPP</w:t>
            </w:r>
            <w:proofErr w:type="spellEnd"/>
            <w:r w:rsidRPr="00B93EE1">
              <w:rPr>
                <w:sz w:val="16"/>
                <w:szCs w:val="16"/>
              </w:rPr>
              <w:t>)</w:t>
            </w:r>
          </w:p>
        </w:tc>
        <w:tc>
          <w:tcPr>
            <w:tcW w:w="5696" w:type="dxa"/>
            <w:shd w:val="clear" w:color="auto" w:fill="auto"/>
          </w:tcPr>
          <w:p w14:paraId="4E71FE8D" w14:textId="77777777" w:rsidR="00120717" w:rsidRPr="00B93EE1" w:rsidRDefault="00120717" w:rsidP="00AF569F">
            <w:pPr>
              <w:keepNext/>
              <w:jc w:val="left"/>
              <w:rPr>
                <w:sz w:val="16"/>
                <w:szCs w:val="16"/>
              </w:rPr>
            </w:pPr>
            <w:r w:rsidRPr="00B93EE1">
              <w:rPr>
                <w:sz w:val="16"/>
                <w:szCs w:val="16"/>
              </w:rPr>
              <w:t>Adoption or maintenance of laws proscribing fraudulent and deceptive commercial activities that may distort competition; existence of an enforcement authority; rules on procedural fairness; transparency and cooperation; and experience and information sharing.</w:t>
            </w:r>
            <w:r w:rsidRPr="00B93EE1">
              <w:rPr>
                <w:rStyle w:val="FootnoteReference"/>
                <w:sz w:val="16"/>
                <w:szCs w:val="16"/>
              </w:rPr>
              <w:footnoteReference w:id="226"/>
            </w:r>
          </w:p>
        </w:tc>
      </w:tr>
      <w:tr w:rsidR="00120717" w:rsidRPr="00B93EE1" w14:paraId="0D14A627" w14:textId="77777777" w:rsidTr="001A460A">
        <w:tc>
          <w:tcPr>
            <w:tcW w:w="3320" w:type="dxa"/>
            <w:shd w:val="clear" w:color="auto" w:fill="C9DED4"/>
          </w:tcPr>
          <w:p w14:paraId="4234658E" w14:textId="77777777" w:rsidR="00120717" w:rsidRPr="00B93EE1" w:rsidRDefault="00120717" w:rsidP="001A460A">
            <w:pPr>
              <w:jc w:val="left"/>
              <w:rPr>
                <w:sz w:val="16"/>
                <w:szCs w:val="16"/>
              </w:rPr>
            </w:pPr>
            <w:r w:rsidRPr="00B93EE1">
              <w:rPr>
                <w:sz w:val="16"/>
                <w:szCs w:val="16"/>
              </w:rPr>
              <w:t>New Zealand-Singapore Comprehensive Economic Partnership (CEP) Upgrade</w:t>
            </w:r>
          </w:p>
        </w:tc>
        <w:tc>
          <w:tcPr>
            <w:tcW w:w="5696" w:type="dxa"/>
            <w:shd w:val="clear" w:color="auto" w:fill="C9DED4"/>
          </w:tcPr>
          <w:p w14:paraId="6F28D8DE" w14:textId="77777777" w:rsidR="00120717" w:rsidRPr="00B93EE1" w:rsidRDefault="00120717" w:rsidP="001A460A">
            <w:pPr>
              <w:jc w:val="left"/>
              <w:rPr>
                <w:sz w:val="16"/>
                <w:szCs w:val="16"/>
              </w:rPr>
            </w:pPr>
            <w:r w:rsidRPr="00B93EE1">
              <w:rPr>
                <w:sz w:val="16"/>
                <w:szCs w:val="16"/>
              </w:rPr>
              <w:t xml:space="preserve">Application and enforcement of competition laws and regulations in a manner that does not discriminate on the basis of nationality; procedural rights for persons or entities subject to sanction; cooperation and capacity-building. </w:t>
            </w:r>
          </w:p>
        </w:tc>
      </w:tr>
      <w:tr w:rsidR="00120717" w:rsidRPr="00B93EE1" w14:paraId="437A4E92" w14:textId="77777777" w:rsidTr="001A460A">
        <w:tc>
          <w:tcPr>
            <w:tcW w:w="3320" w:type="dxa"/>
            <w:shd w:val="clear" w:color="auto" w:fill="auto"/>
          </w:tcPr>
          <w:p w14:paraId="6C36D00D" w14:textId="77777777" w:rsidR="00120717" w:rsidRPr="00B93EE1" w:rsidRDefault="00120717" w:rsidP="00535F84">
            <w:pPr>
              <w:keepNext/>
              <w:keepLines/>
              <w:jc w:val="left"/>
              <w:rPr>
                <w:sz w:val="16"/>
                <w:szCs w:val="16"/>
              </w:rPr>
            </w:pPr>
            <w:r w:rsidRPr="00B93EE1">
              <w:rPr>
                <w:sz w:val="16"/>
                <w:szCs w:val="16"/>
              </w:rPr>
              <w:t>Digital Economy Partnership Agreement (</w:t>
            </w:r>
            <w:proofErr w:type="spellStart"/>
            <w:r w:rsidRPr="00B93EE1">
              <w:rPr>
                <w:sz w:val="16"/>
                <w:szCs w:val="16"/>
              </w:rPr>
              <w:t>DEPA</w:t>
            </w:r>
            <w:proofErr w:type="spellEnd"/>
            <w:r w:rsidRPr="00B93EE1">
              <w:rPr>
                <w:sz w:val="16"/>
                <w:szCs w:val="16"/>
              </w:rPr>
              <w:t>)</w:t>
            </w:r>
          </w:p>
        </w:tc>
        <w:tc>
          <w:tcPr>
            <w:tcW w:w="5696" w:type="dxa"/>
            <w:shd w:val="clear" w:color="auto" w:fill="auto"/>
          </w:tcPr>
          <w:p w14:paraId="0DD8712C" w14:textId="77777777" w:rsidR="00120717" w:rsidRPr="00B93EE1" w:rsidRDefault="00120717" w:rsidP="00535F84">
            <w:pPr>
              <w:keepNext/>
              <w:keepLines/>
              <w:jc w:val="left"/>
              <w:rPr>
                <w:sz w:val="16"/>
                <w:szCs w:val="16"/>
              </w:rPr>
            </w:pPr>
            <w:r w:rsidRPr="00B93EE1">
              <w:rPr>
                <w:sz w:val="16"/>
                <w:szCs w:val="16"/>
              </w:rPr>
              <w:t>Technical cooperation activities, including exchanging information and experiences on development of competition policies in the digital markets; sharing best practices on promotion of competition in digital markets; providing advice or training, including through the exchange of officials; cooperation in the area of law enforcement in digital markets.</w:t>
            </w:r>
          </w:p>
        </w:tc>
      </w:tr>
      <w:tr w:rsidR="00120717" w:rsidRPr="00B93EE1" w14:paraId="7A95CB23" w14:textId="77777777" w:rsidTr="001A460A">
        <w:tc>
          <w:tcPr>
            <w:tcW w:w="3320" w:type="dxa"/>
            <w:shd w:val="clear" w:color="auto" w:fill="C9DED4"/>
          </w:tcPr>
          <w:p w14:paraId="4625099C" w14:textId="77777777" w:rsidR="00120717" w:rsidRPr="00B93EE1" w:rsidRDefault="00120717" w:rsidP="001A460A">
            <w:pPr>
              <w:jc w:val="left"/>
              <w:rPr>
                <w:sz w:val="16"/>
                <w:szCs w:val="16"/>
              </w:rPr>
            </w:pPr>
            <w:r w:rsidRPr="00B93EE1">
              <w:rPr>
                <w:sz w:val="16"/>
                <w:szCs w:val="16"/>
              </w:rPr>
              <w:t>Regional Comprehensive Economic Partnership (RCEP)</w:t>
            </w:r>
          </w:p>
        </w:tc>
        <w:tc>
          <w:tcPr>
            <w:tcW w:w="5696" w:type="dxa"/>
            <w:shd w:val="clear" w:color="auto" w:fill="C9DED4"/>
          </w:tcPr>
          <w:p w14:paraId="15EE85F5" w14:textId="77777777" w:rsidR="00120717" w:rsidRPr="00B93EE1" w:rsidRDefault="00120717" w:rsidP="001A460A">
            <w:pPr>
              <w:jc w:val="left"/>
              <w:rPr>
                <w:sz w:val="16"/>
                <w:szCs w:val="16"/>
              </w:rPr>
            </w:pPr>
            <w:r w:rsidRPr="00B93EE1">
              <w:rPr>
                <w:sz w:val="16"/>
                <w:szCs w:val="16"/>
              </w:rPr>
              <w:t xml:space="preserve">Adoption or maintenance of competition enforcement authorities and competition laws and regulations to proscribe anti-competitive activities; application of laws in a manner that does not discriminate on the basis of nationality; transparency and cooperation; technical cooperation. </w:t>
            </w:r>
          </w:p>
        </w:tc>
      </w:tr>
      <w:tr w:rsidR="00120717" w:rsidRPr="00B93EE1" w14:paraId="31435741" w14:textId="77777777" w:rsidTr="001A460A">
        <w:tc>
          <w:tcPr>
            <w:tcW w:w="3320" w:type="dxa"/>
            <w:shd w:val="clear" w:color="auto" w:fill="auto"/>
          </w:tcPr>
          <w:p w14:paraId="5F9EF453" w14:textId="77777777" w:rsidR="00120717" w:rsidRPr="00B93EE1" w:rsidRDefault="00120717" w:rsidP="001A460A">
            <w:pPr>
              <w:jc w:val="left"/>
              <w:rPr>
                <w:sz w:val="16"/>
                <w:szCs w:val="16"/>
              </w:rPr>
            </w:pPr>
            <w:r w:rsidRPr="00B93EE1">
              <w:rPr>
                <w:sz w:val="16"/>
                <w:szCs w:val="16"/>
              </w:rPr>
              <w:t>New Zealand-China Free Trade Agreement Upgrade</w:t>
            </w:r>
          </w:p>
        </w:tc>
        <w:tc>
          <w:tcPr>
            <w:tcW w:w="5696" w:type="dxa"/>
            <w:shd w:val="clear" w:color="auto" w:fill="auto"/>
          </w:tcPr>
          <w:p w14:paraId="701002AB" w14:textId="77777777" w:rsidR="00120717" w:rsidRPr="00B93EE1" w:rsidRDefault="00120717" w:rsidP="001A460A">
            <w:pPr>
              <w:jc w:val="left"/>
              <w:rPr>
                <w:sz w:val="16"/>
                <w:szCs w:val="16"/>
              </w:rPr>
            </w:pPr>
            <w:r w:rsidRPr="00B93EE1">
              <w:rPr>
                <w:sz w:val="16"/>
                <w:szCs w:val="16"/>
              </w:rPr>
              <w:t>Act consistently with the principles of transparency, non</w:t>
            </w:r>
            <w:r w:rsidRPr="00B93EE1">
              <w:rPr>
                <w:sz w:val="16"/>
                <w:szCs w:val="16"/>
              </w:rPr>
              <w:noBreakHyphen/>
              <w:t xml:space="preserve">discrimination and procedural fairness in the enforcement of competition laws; transparency and cooperation; independence of competition authorities. </w:t>
            </w:r>
          </w:p>
        </w:tc>
      </w:tr>
    </w:tbl>
    <w:p w14:paraId="7F771946" w14:textId="77777777" w:rsidR="00120717" w:rsidRPr="00B93EE1" w:rsidRDefault="00120717" w:rsidP="00AF569F">
      <w:pPr>
        <w:pStyle w:val="NoteText"/>
        <w:spacing w:before="120" w:after="240"/>
      </w:pPr>
      <w:r w:rsidRPr="00B93EE1">
        <w:t>Source:</w:t>
      </w:r>
      <w:r w:rsidRPr="00B93EE1">
        <w:tab/>
        <w:t>Information provided by the authorities.</w:t>
      </w:r>
    </w:p>
    <w:p w14:paraId="17118945" w14:textId="77777777" w:rsidR="00120717" w:rsidRPr="00F64A35" w:rsidRDefault="00120717" w:rsidP="00DF1C80">
      <w:pPr>
        <w:pStyle w:val="Heading4"/>
      </w:pPr>
      <w:bookmarkStart w:id="167" w:name="_Toc97800169"/>
      <w:r w:rsidRPr="00B93EE1">
        <w:t>Price controls</w:t>
      </w:r>
      <w:bookmarkEnd w:id="167"/>
    </w:p>
    <w:p w14:paraId="16CBD2D8" w14:textId="586AB46C" w:rsidR="00120717" w:rsidRPr="00F64A35" w:rsidRDefault="00120717" w:rsidP="00F57207">
      <w:pPr>
        <w:pStyle w:val="BodyText"/>
      </w:pPr>
      <w:r w:rsidRPr="00B93EE1">
        <w:t xml:space="preserve">Price controls are regulated under Part 4 of the Commerce Act. The Commerce Commission sets price and quality controls to regulated businesses from raising prices or reducing quality beyond levels expected in competitive markets. Price controls also allow for a customized approach if in the </w:t>
      </w:r>
      <w:r w:rsidRPr="00B93EE1">
        <w:lastRenderedPageBreak/>
        <w:t xml:space="preserve">long-term interests of consumers (e.g. </w:t>
      </w:r>
      <w:proofErr w:type="spellStart"/>
      <w:r w:rsidRPr="00B93EE1">
        <w:t>Powerco</w:t>
      </w:r>
      <w:proofErr w:type="spellEnd"/>
      <w:r w:rsidRPr="00B93EE1">
        <w:t>, Wellington Electricity). These controls are used in relation to 4 gas pipeline businesses (distribution and transmission), 17 electricity distribution businesses (</w:t>
      </w:r>
      <w:proofErr w:type="spellStart"/>
      <w:r w:rsidRPr="00B93EE1">
        <w:t>EDBs</w:t>
      </w:r>
      <w:proofErr w:type="spellEnd"/>
      <w:r w:rsidRPr="00B93EE1">
        <w:t>), and the sole electricity transmission business (Transpower).</w:t>
      </w:r>
    </w:p>
    <w:p w14:paraId="2464537B" w14:textId="77777777" w:rsidR="00120717" w:rsidRPr="00F64A35" w:rsidRDefault="00120717" w:rsidP="00F57207">
      <w:pPr>
        <w:pStyle w:val="BodyText"/>
      </w:pPr>
      <w:r w:rsidRPr="00B93EE1">
        <w:t>Chorus, a publicly listed company, is also regulated under the Telecommunications Act. According to the authorities, this is done to create incentives for Chorus to act in the best interests of consumers and promote competition in telecommunications markets. One of the types of price controls used for Chorus is a revenue cap.</w:t>
      </w:r>
    </w:p>
    <w:p w14:paraId="37E35333" w14:textId="77777777" w:rsidR="00120717" w:rsidRPr="00F64A35" w:rsidRDefault="00120717" w:rsidP="00185006">
      <w:pPr>
        <w:pStyle w:val="Heading3"/>
      </w:pPr>
      <w:bookmarkStart w:id="168" w:name="_Toc415735889"/>
      <w:bookmarkStart w:id="169" w:name="_Toc97800170"/>
      <w:r w:rsidRPr="00B93EE1">
        <w:t>State trading, state-owned enterprises</w:t>
      </w:r>
      <w:bookmarkEnd w:id="168"/>
      <w:r w:rsidRPr="00B93EE1">
        <w:t>, and privatization</w:t>
      </w:r>
      <w:bookmarkEnd w:id="169"/>
    </w:p>
    <w:p w14:paraId="26FBAA3D" w14:textId="77777777" w:rsidR="00120717" w:rsidRPr="00F64A35" w:rsidRDefault="00120717" w:rsidP="00185006">
      <w:pPr>
        <w:pStyle w:val="BodyText"/>
      </w:pPr>
      <w:r w:rsidRPr="00B93EE1">
        <w:t>According to New Zealand's latest notification pursuant to the provisions of Article XVII:4(a) of the GATT 1994 and paragraph 1 of the Understanding on the Interpretation of Article XVII, Zespri Group Limited (Zespri) remains the only state trading enterprise in operation in New Zealand.</w:t>
      </w:r>
      <w:r w:rsidRPr="00B93EE1">
        <w:rPr>
          <w:vertAlign w:val="superscript"/>
        </w:rPr>
        <w:footnoteReference w:id="227"/>
      </w:r>
      <w:r w:rsidRPr="00B93EE1">
        <w:t xml:space="preserve"> Zespri has an automatic, but not exclusive, right to export kiwifruit from New Zealand to overseas markets other than Australia. </w:t>
      </w:r>
      <w:r w:rsidRPr="00B93EE1">
        <w:rPr>
          <w:szCs w:val="18"/>
        </w:rPr>
        <w:t>Under the Kiwifruit Export Regulations 1999, private traders can engage in exporting kiwifruit to markets other than Australia in collaboration with Zespri,</w:t>
      </w:r>
      <w:r w:rsidRPr="00B93EE1">
        <w:t xml:space="preserve"> subject to authorization by Kiwifruit New Zealand, an independent regulatory body. There is no need for private traders to seek for such authorization to export kiwifruit to Australia. The Commerce Commission regulates markets where there is little or no competition (Section 3.3.4).</w:t>
      </w:r>
      <w:r w:rsidRPr="00B93EE1">
        <w:rPr>
          <w:vertAlign w:val="superscript"/>
        </w:rPr>
        <w:footnoteReference w:id="228"/>
      </w:r>
    </w:p>
    <w:p w14:paraId="1FBEB06B" w14:textId="10988594" w:rsidR="00120717" w:rsidRPr="00F64A35" w:rsidRDefault="00120717" w:rsidP="00AF569F">
      <w:pPr>
        <w:pStyle w:val="BodyText"/>
        <w:keepNext/>
        <w:keepLines/>
      </w:pPr>
      <w:r w:rsidRPr="00B93EE1">
        <w:t>The Government maintains equity shares in 50 enterprises in different economic sectors. Table 3.1</w:t>
      </w:r>
      <w:r w:rsidR="000C40BE">
        <w:t>6</w:t>
      </w:r>
      <w:r w:rsidRPr="00B93EE1">
        <w:t xml:space="preserve"> shows an illustrative list of firms with state participation. According to the authorities, government-owned enterprises generally operate in competitive markets. The Treasury reviews the performance of these government-owned enterprises that may have full or partial commercial objectives. Collectively, these enterprises employ over 37,000 people and, as at 2021, held assets of around NZD 231 billion.</w:t>
      </w:r>
      <w:r w:rsidRPr="00B93EE1">
        <w:rPr>
          <w:vertAlign w:val="superscript"/>
        </w:rPr>
        <w:footnoteReference w:id="229"/>
      </w:r>
    </w:p>
    <w:p w14:paraId="7182AC92" w14:textId="680F50CC" w:rsidR="00120717" w:rsidRPr="00B93EE1" w:rsidRDefault="00D37A97" w:rsidP="00D37A97">
      <w:pPr>
        <w:pStyle w:val="Caption"/>
      </w:pPr>
      <w:bookmarkStart w:id="170" w:name="_Toc97793402"/>
      <w:bookmarkStart w:id="171" w:name="_Hlk85213522"/>
      <w:r>
        <w:t xml:space="preserve">Table </w:t>
      </w:r>
      <w:r w:rsidR="0012793B">
        <w:fldChar w:fldCharType="begin"/>
      </w:r>
      <w:r w:rsidR="0012793B">
        <w:instrText xml:space="preserve"> 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16</w:t>
      </w:r>
      <w:r w:rsidR="0012793B">
        <w:rPr>
          <w:noProof/>
        </w:rPr>
        <w:fldChar w:fldCharType="end"/>
      </w:r>
      <w:r>
        <w:t xml:space="preserve"> </w:t>
      </w:r>
      <w:r w:rsidR="00120717" w:rsidRPr="00B93EE1">
        <w:t>Illustrative list of firms with state participation, 2021</w:t>
      </w:r>
      <w:bookmarkEnd w:id="170"/>
    </w:p>
    <w:tbl>
      <w:tblPr>
        <w:tblStyle w:val="WTOTable1"/>
        <w:tblW w:w="0" w:type="auto"/>
        <w:tblLook w:val="04A0" w:firstRow="1" w:lastRow="0" w:firstColumn="1" w:lastColumn="0" w:noHBand="0" w:noVBand="1"/>
      </w:tblPr>
      <w:tblGrid>
        <w:gridCol w:w="9016"/>
      </w:tblGrid>
      <w:tr w:rsidR="00120717" w:rsidRPr="00B93EE1" w14:paraId="0CE5D181" w14:textId="77777777" w:rsidTr="008851C2">
        <w:trPr>
          <w:cnfStyle w:val="100000000000" w:firstRow="1" w:lastRow="0" w:firstColumn="0" w:lastColumn="0" w:oddVBand="0" w:evenVBand="0" w:oddHBand="0" w:evenHBand="0" w:firstRowFirstColumn="0" w:firstRowLastColumn="0" w:lastRowFirstColumn="0" w:lastRowLastColumn="0"/>
          <w:tblHeader/>
        </w:trPr>
        <w:tc>
          <w:tcPr>
            <w:tcW w:w="9016" w:type="dxa"/>
          </w:tcPr>
          <w:bookmarkEnd w:id="171"/>
          <w:p w14:paraId="3D23439E" w14:textId="77777777" w:rsidR="00120717" w:rsidRPr="00B93EE1" w:rsidRDefault="00120717" w:rsidP="00535F84">
            <w:pPr>
              <w:keepNext/>
              <w:keepLines/>
              <w:rPr>
                <w:sz w:val="16"/>
                <w:szCs w:val="16"/>
              </w:rPr>
            </w:pPr>
            <w:r w:rsidRPr="00B93EE1">
              <w:rPr>
                <w:sz w:val="16"/>
                <w:szCs w:val="16"/>
              </w:rPr>
              <w:t>Description</w:t>
            </w:r>
          </w:p>
        </w:tc>
      </w:tr>
      <w:tr w:rsidR="00120717" w:rsidRPr="00B93EE1" w14:paraId="6A1006E3" w14:textId="77777777" w:rsidTr="008851C2">
        <w:tc>
          <w:tcPr>
            <w:tcW w:w="9016" w:type="dxa"/>
          </w:tcPr>
          <w:p w14:paraId="67A2F1D1" w14:textId="77777777" w:rsidR="00120717" w:rsidRPr="00B93EE1" w:rsidRDefault="00120717" w:rsidP="00535F84">
            <w:pPr>
              <w:keepNext/>
              <w:keepLines/>
              <w:shd w:val="clear" w:color="auto" w:fill="FFFFFF"/>
              <w:rPr>
                <w:sz w:val="16"/>
                <w:szCs w:val="16"/>
                <w:u w:val="single"/>
                <w:lang w:eastAsia="en-NZ"/>
              </w:rPr>
            </w:pPr>
            <w:r w:rsidRPr="00B93EE1">
              <w:rPr>
                <w:sz w:val="16"/>
                <w:szCs w:val="16"/>
                <w:u w:val="single"/>
                <w:lang w:eastAsia="en-NZ"/>
              </w:rPr>
              <w:t>Autonomous Crown entities</w:t>
            </w:r>
          </w:p>
          <w:p w14:paraId="7123C25A" w14:textId="77777777" w:rsidR="00120717" w:rsidRPr="00B93EE1" w:rsidRDefault="00120717" w:rsidP="00535F84">
            <w:pPr>
              <w:keepNext/>
              <w:keepLines/>
              <w:shd w:val="clear" w:color="auto" w:fill="FFFFFF"/>
              <w:rPr>
                <w:sz w:val="16"/>
                <w:szCs w:val="16"/>
                <w:lang w:eastAsia="en-NZ"/>
              </w:rPr>
            </w:pPr>
            <w:r w:rsidRPr="00B93EE1">
              <w:rPr>
                <w:sz w:val="16"/>
                <w:szCs w:val="16"/>
                <w:lang w:eastAsia="en-NZ"/>
              </w:rPr>
              <w:t>Government Superannuation Fund Authority</w:t>
            </w:r>
          </w:p>
          <w:p w14:paraId="03E3F853" w14:textId="77777777" w:rsidR="00120717" w:rsidRPr="00B93EE1" w:rsidRDefault="00120717" w:rsidP="00535F84">
            <w:pPr>
              <w:keepNext/>
              <w:keepLines/>
              <w:shd w:val="clear" w:color="auto" w:fill="FFFFFF"/>
              <w:rPr>
                <w:sz w:val="16"/>
                <w:szCs w:val="16"/>
                <w:lang w:eastAsia="en-NZ"/>
              </w:rPr>
            </w:pPr>
            <w:r w:rsidRPr="00B93EE1">
              <w:rPr>
                <w:sz w:val="16"/>
                <w:szCs w:val="16"/>
                <w:lang w:eastAsia="en-NZ"/>
              </w:rPr>
              <w:t>Guardians of New Zealand Superannuation</w:t>
            </w:r>
          </w:p>
          <w:p w14:paraId="5BBA44EB" w14:textId="77777777" w:rsidR="00120717" w:rsidRPr="00B93EE1" w:rsidRDefault="00120717" w:rsidP="00535F84">
            <w:pPr>
              <w:keepNext/>
              <w:keepLines/>
              <w:shd w:val="clear" w:color="auto" w:fill="FFFFFF"/>
              <w:rPr>
                <w:sz w:val="16"/>
                <w:szCs w:val="16"/>
                <w:lang w:eastAsia="en-NZ"/>
              </w:rPr>
            </w:pPr>
            <w:r w:rsidRPr="00B93EE1">
              <w:rPr>
                <w:sz w:val="16"/>
                <w:szCs w:val="16"/>
                <w:lang w:eastAsia="en-NZ"/>
              </w:rPr>
              <w:t>New Zealand Infrastructure Commission/</w:t>
            </w:r>
            <w:proofErr w:type="spellStart"/>
            <w:r w:rsidRPr="00B93EE1">
              <w:rPr>
                <w:sz w:val="16"/>
                <w:szCs w:val="16"/>
                <w:lang w:eastAsia="en-NZ"/>
              </w:rPr>
              <w:t>Te</w:t>
            </w:r>
            <w:proofErr w:type="spellEnd"/>
            <w:r w:rsidRPr="00B93EE1">
              <w:rPr>
                <w:sz w:val="16"/>
                <w:szCs w:val="16"/>
                <w:lang w:eastAsia="en-NZ"/>
              </w:rPr>
              <w:t xml:space="preserve"> </w:t>
            </w:r>
            <w:proofErr w:type="spellStart"/>
            <w:r w:rsidRPr="00B93EE1">
              <w:rPr>
                <w:sz w:val="16"/>
                <w:szCs w:val="16"/>
                <w:lang w:eastAsia="en-NZ"/>
              </w:rPr>
              <w:t>Waihanga</w:t>
            </w:r>
            <w:proofErr w:type="spellEnd"/>
          </w:p>
          <w:p w14:paraId="13F2D120" w14:textId="77777777" w:rsidR="00120717" w:rsidRPr="00B93EE1" w:rsidRDefault="00120717" w:rsidP="00535F84">
            <w:pPr>
              <w:keepNext/>
              <w:keepLines/>
              <w:shd w:val="clear" w:color="auto" w:fill="FFFFFF"/>
              <w:rPr>
                <w:sz w:val="16"/>
                <w:szCs w:val="16"/>
                <w:lang w:eastAsia="en-NZ"/>
              </w:rPr>
            </w:pPr>
            <w:r w:rsidRPr="00B93EE1">
              <w:rPr>
                <w:sz w:val="16"/>
                <w:szCs w:val="16"/>
                <w:lang w:eastAsia="en-NZ"/>
              </w:rPr>
              <w:t>New Zealand Lotteries Commission</w:t>
            </w:r>
          </w:p>
          <w:p w14:paraId="654D85B9" w14:textId="77777777" w:rsidR="00120717" w:rsidRPr="00B93EE1" w:rsidRDefault="00120717" w:rsidP="00535F84">
            <w:pPr>
              <w:keepNext/>
              <w:keepLines/>
              <w:shd w:val="clear" w:color="auto" w:fill="FFFFFF"/>
              <w:rPr>
                <w:sz w:val="16"/>
                <w:szCs w:val="16"/>
                <w:lang w:eastAsia="en-NZ"/>
              </w:rPr>
            </w:pPr>
            <w:r w:rsidRPr="00B93EE1">
              <w:rPr>
                <w:sz w:val="16"/>
                <w:szCs w:val="16"/>
                <w:lang w:eastAsia="en-NZ"/>
              </w:rPr>
              <w:t>Public Trust</w:t>
            </w:r>
          </w:p>
        </w:tc>
      </w:tr>
      <w:tr w:rsidR="00120717" w:rsidRPr="00B93EE1" w14:paraId="47726B9C" w14:textId="77777777" w:rsidTr="008851C2">
        <w:trPr>
          <w:cnfStyle w:val="000000010000" w:firstRow="0" w:lastRow="0" w:firstColumn="0" w:lastColumn="0" w:oddVBand="0" w:evenVBand="0" w:oddHBand="0" w:evenHBand="1" w:firstRowFirstColumn="0" w:firstRowLastColumn="0" w:lastRowFirstColumn="0" w:lastRowLastColumn="0"/>
        </w:trPr>
        <w:tc>
          <w:tcPr>
            <w:tcW w:w="9016" w:type="dxa"/>
          </w:tcPr>
          <w:p w14:paraId="03E515E6" w14:textId="77777777" w:rsidR="00120717" w:rsidRPr="00B93EE1" w:rsidRDefault="00120717" w:rsidP="003B43BD">
            <w:pPr>
              <w:keepNext/>
              <w:rPr>
                <w:sz w:val="16"/>
                <w:szCs w:val="16"/>
                <w:u w:val="single"/>
              </w:rPr>
            </w:pPr>
            <w:r w:rsidRPr="00B93EE1">
              <w:rPr>
                <w:sz w:val="16"/>
                <w:szCs w:val="16"/>
                <w:u w:val="single"/>
              </w:rPr>
              <w:t>Council-controlled trading organizations</w:t>
            </w:r>
          </w:p>
          <w:p w14:paraId="0685CD75" w14:textId="77777777" w:rsidR="00120717" w:rsidRPr="00B93EE1" w:rsidRDefault="00120717" w:rsidP="003B43BD">
            <w:pPr>
              <w:keepNext/>
              <w:rPr>
                <w:sz w:val="16"/>
                <w:szCs w:val="16"/>
              </w:rPr>
            </w:pPr>
            <w:r w:rsidRPr="00B93EE1">
              <w:rPr>
                <w:sz w:val="16"/>
                <w:szCs w:val="16"/>
              </w:rPr>
              <w:t>Christchurch International Airport Limited</w:t>
            </w:r>
          </w:p>
          <w:p w14:paraId="5627BE1F" w14:textId="77777777" w:rsidR="00120717" w:rsidRPr="00B93EE1" w:rsidRDefault="00120717" w:rsidP="003B43BD">
            <w:pPr>
              <w:keepNext/>
              <w:rPr>
                <w:sz w:val="16"/>
                <w:szCs w:val="16"/>
              </w:rPr>
            </w:pPr>
            <w:r w:rsidRPr="00B93EE1">
              <w:rPr>
                <w:sz w:val="16"/>
                <w:szCs w:val="16"/>
              </w:rPr>
              <w:t>Dunedin International Airport Limited</w:t>
            </w:r>
          </w:p>
          <w:p w14:paraId="4DB58314" w14:textId="77777777" w:rsidR="00120717" w:rsidRPr="00B93EE1" w:rsidRDefault="00120717" w:rsidP="003B43BD">
            <w:pPr>
              <w:keepNext/>
              <w:rPr>
                <w:sz w:val="16"/>
                <w:szCs w:val="16"/>
              </w:rPr>
            </w:pPr>
            <w:r w:rsidRPr="00B93EE1">
              <w:rPr>
                <w:sz w:val="16"/>
                <w:szCs w:val="16"/>
              </w:rPr>
              <w:t>Hawke's Bay Airport Limited</w:t>
            </w:r>
          </w:p>
        </w:tc>
      </w:tr>
      <w:tr w:rsidR="00120717" w:rsidRPr="00B93EE1" w14:paraId="2203E39E" w14:textId="77777777" w:rsidTr="008851C2">
        <w:tc>
          <w:tcPr>
            <w:tcW w:w="9016" w:type="dxa"/>
          </w:tcPr>
          <w:p w14:paraId="0B97153E" w14:textId="77777777" w:rsidR="00120717" w:rsidRPr="00B93EE1" w:rsidRDefault="00120717" w:rsidP="003B43BD">
            <w:pPr>
              <w:rPr>
                <w:sz w:val="16"/>
                <w:szCs w:val="16"/>
                <w:u w:val="single"/>
              </w:rPr>
            </w:pPr>
            <w:r w:rsidRPr="00B93EE1">
              <w:rPr>
                <w:sz w:val="16"/>
                <w:szCs w:val="16"/>
                <w:u w:val="single"/>
              </w:rPr>
              <w:t>Crown agents</w:t>
            </w:r>
          </w:p>
          <w:p w14:paraId="3E16AFA2" w14:textId="77777777" w:rsidR="00120717" w:rsidRPr="00B93EE1" w:rsidRDefault="00120717" w:rsidP="003B43BD">
            <w:pPr>
              <w:rPr>
                <w:sz w:val="16"/>
                <w:szCs w:val="16"/>
              </w:rPr>
            </w:pPr>
            <w:r w:rsidRPr="00B93EE1">
              <w:rPr>
                <w:sz w:val="16"/>
                <w:szCs w:val="16"/>
              </w:rPr>
              <w:t>Accident Compensation Corporation</w:t>
            </w:r>
          </w:p>
          <w:p w14:paraId="075CB7F7" w14:textId="77777777" w:rsidR="00120717" w:rsidRPr="00B93EE1" w:rsidRDefault="00120717" w:rsidP="003B43BD">
            <w:pPr>
              <w:rPr>
                <w:sz w:val="16"/>
                <w:szCs w:val="16"/>
              </w:rPr>
            </w:pPr>
            <w:r w:rsidRPr="00B93EE1">
              <w:rPr>
                <w:sz w:val="16"/>
                <w:szCs w:val="16"/>
              </w:rPr>
              <w:t>Earthquake Commission</w:t>
            </w:r>
          </w:p>
          <w:p w14:paraId="0B0A379B" w14:textId="77777777" w:rsidR="00120717" w:rsidRPr="00B93EE1" w:rsidRDefault="00120717" w:rsidP="003B43BD">
            <w:pPr>
              <w:rPr>
                <w:sz w:val="16"/>
                <w:szCs w:val="16"/>
              </w:rPr>
            </w:pPr>
            <w:proofErr w:type="spellStart"/>
            <w:r w:rsidRPr="00B93EE1">
              <w:rPr>
                <w:sz w:val="16"/>
                <w:szCs w:val="16"/>
              </w:rPr>
              <w:t>Kāinga</w:t>
            </w:r>
            <w:proofErr w:type="spellEnd"/>
            <w:r w:rsidRPr="00B93EE1">
              <w:rPr>
                <w:sz w:val="16"/>
                <w:szCs w:val="16"/>
              </w:rPr>
              <w:t xml:space="preserve"> Ora – Homes and Communities</w:t>
            </w:r>
          </w:p>
        </w:tc>
      </w:tr>
      <w:tr w:rsidR="00120717" w:rsidRPr="00B93EE1" w14:paraId="1B3308F6" w14:textId="77777777" w:rsidTr="008851C2">
        <w:trPr>
          <w:cnfStyle w:val="000000010000" w:firstRow="0" w:lastRow="0" w:firstColumn="0" w:lastColumn="0" w:oddVBand="0" w:evenVBand="0" w:oddHBand="0" w:evenHBand="1" w:firstRowFirstColumn="0" w:firstRowLastColumn="0" w:lastRowFirstColumn="0" w:lastRowLastColumn="0"/>
        </w:trPr>
        <w:tc>
          <w:tcPr>
            <w:tcW w:w="9016" w:type="dxa"/>
          </w:tcPr>
          <w:p w14:paraId="0A3FE19E" w14:textId="77777777" w:rsidR="00120717" w:rsidRPr="00B93EE1" w:rsidRDefault="00120717" w:rsidP="003B43BD">
            <w:pPr>
              <w:rPr>
                <w:sz w:val="16"/>
                <w:szCs w:val="16"/>
                <w:u w:val="single"/>
              </w:rPr>
            </w:pPr>
            <w:r w:rsidRPr="00B93EE1">
              <w:rPr>
                <w:sz w:val="16"/>
                <w:szCs w:val="16"/>
                <w:u w:val="single"/>
              </w:rPr>
              <w:t>Crown entity companies</w:t>
            </w:r>
          </w:p>
          <w:p w14:paraId="4FBF2D3C" w14:textId="77777777" w:rsidR="00120717" w:rsidRPr="00B93EE1" w:rsidRDefault="00120717" w:rsidP="003B43BD">
            <w:pPr>
              <w:rPr>
                <w:sz w:val="16"/>
                <w:szCs w:val="16"/>
              </w:rPr>
            </w:pPr>
            <w:r w:rsidRPr="00B93EE1">
              <w:rPr>
                <w:sz w:val="16"/>
                <w:szCs w:val="16"/>
              </w:rPr>
              <w:t>Crown Irrigation Investments Limited</w:t>
            </w:r>
          </w:p>
          <w:p w14:paraId="74373188" w14:textId="77777777" w:rsidR="00120717" w:rsidRPr="00B93EE1" w:rsidRDefault="00120717" w:rsidP="003B43BD">
            <w:pPr>
              <w:rPr>
                <w:sz w:val="16"/>
                <w:szCs w:val="16"/>
              </w:rPr>
            </w:pPr>
            <w:r w:rsidRPr="00B93EE1">
              <w:rPr>
                <w:sz w:val="16"/>
                <w:szCs w:val="16"/>
              </w:rPr>
              <w:t>New Zealand Growth Capital Partners Limited</w:t>
            </w:r>
          </w:p>
          <w:p w14:paraId="04742D57" w14:textId="77777777" w:rsidR="00120717" w:rsidRPr="00B93EE1" w:rsidRDefault="00120717" w:rsidP="003B43BD">
            <w:pPr>
              <w:rPr>
                <w:sz w:val="16"/>
                <w:szCs w:val="16"/>
              </w:rPr>
            </w:pPr>
            <w:r w:rsidRPr="00B93EE1">
              <w:rPr>
                <w:sz w:val="16"/>
                <w:szCs w:val="16"/>
              </w:rPr>
              <w:t>Radio New Zealand Limited</w:t>
            </w:r>
          </w:p>
          <w:p w14:paraId="77FC0AB0" w14:textId="77777777" w:rsidR="00120717" w:rsidRPr="00B93EE1" w:rsidRDefault="00120717" w:rsidP="003B43BD">
            <w:pPr>
              <w:rPr>
                <w:sz w:val="16"/>
                <w:szCs w:val="16"/>
              </w:rPr>
            </w:pPr>
            <w:r w:rsidRPr="00B93EE1">
              <w:rPr>
                <w:sz w:val="16"/>
                <w:szCs w:val="16"/>
              </w:rPr>
              <w:t>Television New Zealand Limited</w:t>
            </w:r>
          </w:p>
        </w:tc>
      </w:tr>
      <w:tr w:rsidR="00120717" w:rsidRPr="00B93EE1" w14:paraId="68FF8B50" w14:textId="77777777" w:rsidTr="008851C2">
        <w:tc>
          <w:tcPr>
            <w:tcW w:w="9016" w:type="dxa"/>
          </w:tcPr>
          <w:p w14:paraId="0FEB8522" w14:textId="77777777" w:rsidR="00120717" w:rsidRPr="00B93EE1" w:rsidRDefault="00120717" w:rsidP="000468F5">
            <w:pPr>
              <w:keepNext/>
              <w:keepLines/>
              <w:rPr>
                <w:sz w:val="16"/>
                <w:szCs w:val="16"/>
                <w:u w:val="single"/>
              </w:rPr>
            </w:pPr>
            <w:r w:rsidRPr="00B93EE1">
              <w:rPr>
                <w:sz w:val="16"/>
                <w:szCs w:val="16"/>
                <w:u w:val="single"/>
              </w:rPr>
              <w:lastRenderedPageBreak/>
              <w:t>Crown research institutes</w:t>
            </w:r>
          </w:p>
          <w:p w14:paraId="595F32EE" w14:textId="77777777" w:rsidR="00120717" w:rsidRPr="00B93EE1" w:rsidRDefault="00120717" w:rsidP="000468F5">
            <w:pPr>
              <w:keepNext/>
              <w:keepLines/>
              <w:rPr>
                <w:sz w:val="16"/>
                <w:szCs w:val="16"/>
              </w:rPr>
            </w:pPr>
            <w:proofErr w:type="spellStart"/>
            <w:r w:rsidRPr="00B93EE1">
              <w:rPr>
                <w:sz w:val="16"/>
                <w:szCs w:val="16"/>
              </w:rPr>
              <w:t>AgResearch</w:t>
            </w:r>
            <w:proofErr w:type="spellEnd"/>
            <w:r w:rsidRPr="00B93EE1">
              <w:rPr>
                <w:sz w:val="16"/>
                <w:szCs w:val="16"/>
              </w:rPr>
              <w:t xml:space="preserve"> Limited</w:t>
            </w:r>
          </w:p>
          <w:p w14:paraId="3431BC8A" w14:textId="77777777" w:rsidR="00120717" w:rsidRPr="00B93EE1" w:rsidRDefault="00120717" w:rsidP="000468F5">
            <w:pPr>
              <w:keepNext/>
              <w:keepLines/>
              <w:rPr>
                <w:sz w:val="16"/>
                <w:szCs w:val="16"/>
              </w:rPr>
            </w:pPr>
            <w:r w:rsidRPr="00B93EE1">
              <w:rPr>
                <w:sz w:val="16"/>
                <w:szCs w:val="16"/>
              </w:rPr>
              <w:t>Institute of Environmental Science and Research Limited</w:t>
            </w:r>
          </w:p>
          <w:p w14:paraId="731AB912" w14:textId="77777777" w:rsidR="00120717" w:rsidRPr="00B93EE1" w:rsidRDefault="00120717" w:rsidP="000468F5">
            <w:pPr>
              <w:keepNext/>
              <w:keepLines/>
              <w:rPr>
                <w:sz w:val="16"/>
                <w:szCs w:val="16"/>
              </w:rPr>
            </w:pPr>
            <w:r w:rsidRPr="00B93EE1">
              <w:rPr>
                <w:sz w:val="16"/>
                <w:szCs w:val="16"/>
              </w:rPr>
              <w:t>Institute of Geological and Nuclear Sciences Limited</w:t>
            </w:r>
          </w:p>
          <w:p w14:paraId="633AD78E" w14:textId="77777777" w:rsidR="00120717" w:rsidRPr="00B93EE1" w:rsidRDefault="00120717" w:rsidP="000468F5">
            <w:pPr>
              <w:keepNext/>
              <w:keepLines/>
              <w:rPr>
                <w:sz w:val="16"/>
                <w:szCs w:val="16"/>
              </w:rPr>
            </w:pPr>
            <w:r w:rsidRPr="00B93EE1">
              <w:rPr>
                <w:sz w:val="16"/>
                <w:szCs w:val="16"/>
              </w:rPr>
              <w:t>Landcare Research New Zealand Limited</w:t>
            </w:r>
          </w:p>
          <w:p w14:paraId="636C51B4" w14:textId="77777777" w:rsidR="00120717" w:rsidRPr="00B93EE1" w:rsidRDefault="00120717" w:rsidP="000468F5">
            <w:pPr>
              <w:keepNext/>
              <w:keepLines/>
              <w:rPr>
                <w:sz w:val="16"/>
                <w:szCs w:val="16"/>
              </w:rPr>
            </w:pPr>
            <w:r w:rsidRPr="00B93EE1">
              <w:rPr>
                <w:sz w:val="16"/>
                <w:szCs w:val="16"/>
              </w:rPr>
              <w:t>National Institute of Water and Atmospheric Research Limited</w:t>
            </w:r>
          </w:p>
          <w:p w14:paraId="4D874E8A" w14:textId="77777777" w:rsidR="00120717" w:rsidRPr="00B93EE1" w:rsidRDefault="00120717" w:rsidP="000468F5">
            <w:pPr>
              <w:keepNext/>
              <w:keepLines/>
              <w:rPr>
                <w:sz w:val="16"/>
                <w:szCs w:val="16"/>
              </w:rPr>
            </w:pPr>
            <w:r w:rsidRPr="00B93EE1">
              <w:rPr>
                <w:sz w:val="16"/>
                <w:szCs w:val="16"/>
              </w:rPr>
              <w:t>New Zealand Forest Research Institute Limited</w:t>
            </w:r>
          </w:p>
          <w:p w14:paraId="5ADCF067" w14:textId="77777777" w:rsidR="00120717" w:rsidRPr="00B93EE1" w:rsidRDefault="00120717" w:rsidP="000468F5">
            <w:pPr>
              <w:keepNext/>
              <w:keepLines/>
              <w:rPr>
                <w:sz w:val="16"/>
                <w:szCs w:val="16"/>
              </w:rPr>
            </w:pPr>
            <w:r w:rsidRPr="00B93EE1">
              <w:rPr>
                <w:sz w:val="16"/>
                <w:szCs w:val="16"/>
              </w:rPr>
              <w:t>The New Zealand Institute for Plant and Food Research Limited</w:t>
            </w:r>
          </w:p>
        </w:tc>
      </w:tr>
      <w:tr w:rsidR="00120717" w:rsidRPr="00B93EE1" w14:paraId="1E23AAC2" w14:textId="77777777" w:rsidTr="008851C2">
        <w:trPr>
          <w:cnfStyle w:val="000000010000" w:firstRow="0" w:lastRow="0" w:firstColumn="0" w:lastColumn="0" w:oddVBand="0" w:evenVBand="0" w:oddHBand="0" w:evenHBand="1" w:firstRowFirstColumn="0" w:firstRowLastColumn="0" w:lastRowFirstColumn="0" w:lastRowLastColumn="0"/>
        </w:trPr>
        <w:tc>
          <w:tcPr>
            <w:tcW w:w="9016" w:type="dxa"/>
          </w:tcPr>
          <w:p w14:paraId="2E906B7B" w14:textId="77777777" w:rsidR="00120717" w:rsidRPr="00B93EE1" w:rsidRDefault="00120717" w:rsidP="008851C2">
            <w:pPr>
              <w:keepNext/>
              <w:rPr>
                <w:sz w:val="16"/>
                <w:szCs w:val="16"/>
                <w:u w:val="single"/>
              </w:rPr>
            </w:pPr>
            <w:r w:rsidRPr="00B93EE1">
              <w:rPr>
                <w:sz w:val="16"/>
                <w:szCs w:val="16"/>
                <w:u w:val="single"/>
              </w:rPr>
              <w:t>Independent Crown entities</w:t>
            </w:r>
          </w:p>
          <w:p w14:paraId="75782B57" w14:textId="77777777" w:rsidR="00120717" w:rsidRPr="00B93EE1" w:rsidRDefault="00120717" w:rsidP="008851C2">
            <w:pPr>
              <w:keepNext/>
              <w:rPr>
                <w:sz w:val="16"/>
                <w:szCs w:val="16"/>
              </w:rPr>
            </w:pPr>
            <w:r w:rsidRPr="00B93EE1">
              <w:rPr>
                <w:sz w:val="16"/>
                <w:szCs w:val="16"/>
              </w:rPr>
              <w:t>New Zealand Productivity Commission</w:t>
            </w:r>
          </w:p>
        </w:tc>
      </w:tr>
      <w:tr w:rsidR="00120717" w:rsidRPr="00B93EE1" w14:paraId="210CE394" w14:textId="77777777" w:rsidTr="008851C2">
        <w:tc>
          <w:tcPr>
            <w:tcW w:w="9016" w:type="dxa"/>
          </w:tcPr>
          <w:p w14:paraId="595A9B95" w14:textId="77777777" w:rsidR="00120717" w:rsidRPr="00B93EE1" w:rsidRDefault="00120717" w:rsidP="003B43BD">
            <w:pPr>
              <w:rPr>
                <w:sz w:val="16"/>
                <w:szCs w:val="16"/>
                <w:u w:val="single"/>
              </w:rPr>
            </w:pPr>
            <w:r w:rsidRPr="00B93EE1">
              <w:rPr>
                <w:sz w:val="16"/>
                <w:szCs w:val="16"/>
                <w:u w:val="single"/>
              </w:rPr>
              <w:t>Mixed Independent Crown entities</w:t>
            </w:r>
          </w:p>
          <w:p w14:paraId="040F8B6F" w14:textId="77777777" w:rsidR="00120717" w:rsidRPr="00B93EE1" w:rsidRDefault="00120717" w:rsidP="003B43BD">
            <w:pPr>
              <w:rPr>
                <w:sz w:val="16"/>
                <w:szCs w:val="16"/>
                <w:u w:val="single"/>
              </w:rPr>
            </w:pPr>
            <w:r w:rsidRPr="00B93EE1">
              <w:rPr>
                <w:sz w:val="16"/>
                <w:szCs w:val="16"/>
              </w:rPr>
              <w:t>Genesis Energy Limited</w:t>
            </w:r>
          </w:p>
          <w:p w14:paraId="6364CECE" w14:textId="77777777" w:rsidR="00120717" w:rsidRPr="00B93EE1" w:rsidRDefault="00120717" w:rsidP="003B43BD">
            <w:pPr>
              <w:rPr>
                <w:sz w:val="16"/>
                <w:szCs w:val="16"/>
              </w:rPr>
            </w:pPr>
            <w:r w:rsidRPr="00B93EE1">
              <w:rPr>
                <w:sz w:val="16"/>
                <w:szCs w:val="16"/>
              </w:rPr>
              <w:t>Mercury NZ Limited</w:t>
            </w:r>
          </w:p>
          <w:p w14:paraId="2D5E987E" w14:textId="77777777" w:rsidR="00120717" w:rsidRPr="00B93EE1" w:rsidRDefault="00120717" w:rsidP="003B43BD">
            <w:pPr>
              <w:rPr>
                <w:sz w:val="16"/>
                <w:szCs w:val="16"/>
              </w:rPr>
            </w:pPr>
            <w:r w:rsidRPr="00B93EE1">
              <w:rPr>
                <w:sz w:val="16"/>
                <w:szCs w:val="16"/>
              </w:rPr>
              <w:t>Meridian Energy Limited</w:t>
            </w:r>
          </w:p>
        </w:tc>
      </w:tr>
      <w:tr w:rsidR="00120717" w:rsidRPr="00B93EE1" w14:paraId="14035005" w14:textId="77777777" w:rsidTr="008851C2">
        <w:trPr>
          <w:cnfStyle w:val="000000010000" w:firstRow="0" w:lastRow="0" w:firstColumn="0" w:lastColumn="0" w:oddVBand="0" w:evenVBand="0" w:oddHBand="0" w:evenHBand="1" w:firstRowFirstColumn="0" w:firstRowLastColumn="0" w:lastRowFirstColumn="0" w:lastRowLastColumn="0"/>
        </w:trPr>
        <w:tc>
          <w:tcPr>
            <w:tcW w:w="9016" w:type="dxa"/>
          </w:tcPr>
          <w:p w14:paraId="06837B63" w14:textId="77777777" w:rsidR="00120717" w:rsidRPr="00B93EE1" w:rsidRDefault="00120717" w:rsidP="003B43BD">
            <w:pPr>
              <w:rPr>
                <w:sz w:val="16"/>
                <w:szCs w:val="16"/>
                <w:u w:val="single"/>
              </w:rPr>
            </w:pPr>
            <w:r w:rsidRPr="00B93EE1">
              <w:rPr>
                <w:sz w:val="16"/>
                <w:szCs w:val="16"/>
                <w:u w:val="single"/>
              </w:rPr>
              <w:t>Public Finance Act Schedule 4A Companies</w:t>
            </w:r>
          </w:p>
          <w:p w14:paraId="7D21378A" w14:textId="77777777" w:rsidR="00120717" w:rsidRPr="00B93EE1" w:rsidRDefault="00120717" w:rsidP="003B43BD">
            <w:pPr>
              <w:rPr>
                <w:sz w:val="16"/>
                <w:szCs w:val="16"/>
                <w:u w:val="single"/>
              </w:rPr>
            </w:pPr>
            <w:r w:rsidRPr="00B93EE1">
              <w:rPr>
                <w:sz w:val="16"/>
                <w:szCs w:val="16"/>
              </w:rPr>
              <w:t>City Rail Link Limited</w:t>
            </w:r>
          </w:p>
          <w:p w14:paraId="7E5C9A45" w14:textId="77777777" w:rsidR="00120717" w:rsidRPr="00B93EE1" w:rsidRDefault="00120717" w:rsidP="003B43BD">
            <w:pPr>
              <w:rPr>
                <w:sz w:val="16"/>
                <w:szCs w:val="16"/>
                <w:u w:val="single"/>
              </w:rPr>
            </w:pPr>
            <w:r w:rsidRPr="00B93EE1">
              <w:rPr>
                <w:sz w:val="16"/>
                <w:szCs w:val="16"/>
              </w:rPr>
              <w:t>Crown Asset Management Limited</w:t>
            </w:r>
          </w:p>
          <w:p w14:paraId="4197540F" w14:textId="77777777" w:rsidR="00120717" w:rsidRPr="00B93EE1" w:rsidRDefault="00120717" w:rsidP="003B43BD">
            <w:pPr>
              <w:rPr>
                <w:sz w:val="16"/>
                <w:szCs w:val="16"/>
                <w:u w:val="single"/>
              </w:rPr>
            </w:pPr>
            <w:r w:rsidRPr="00B93EE1">
              <w:rPr>
                <w:sz w:val="16"/>
                <w:szCs w:val="16"/>
              </w:rPr>
              <w:t>Crown Infrastructure Partners Limited</w:t>
            </w:r>
          </w:p>
          <w:p w14:paraId="65809B30" w14:textId="77777777" w:rsidR="00120717" w:rsidRPr="00B93EE1" w:rsidRDefault="00120717" w:rsidP="003B43BD">
            <w:pPr>
              <w:rPr>
                <w:sz w:val="16"/>
                <w:szCs w:val="16"/>
                <w:u w:val="single"/>
              </w:rPr>
            </w:pPr>
            <w:r w:rsidRPr="00B93EE1">
              <w:rPr>
                <w:sz w:val="16"/>
                <w:szCs w:val="16"/>
              </w:rPr>
              <w:t>Education Payroll Limited</w:t>
            </w:r>
          </w:p>
          <w:p w14:paraId="11CE752E" w14:textId="77777777" w:rsidR="00120717" w:rsidRPr="00B93EE1" w:rsidRDefault="00120717" w:rsidP="003B43BD">
            <w:pPr>
              <w:rPr>
                <w:sz w:val="16"/>
                <w:szCs w:val="16"/>
                <w:u w:val="single"/>
              </w:rPr>
            </w:pPr>
            <w:r w:rsidRPr="00B93EE1">
              <w:rPr>
                <w:sz w:val="16"/>
                <w:szCs w:val="16"/>
              </w:rPr>
              <w:t>The Network for Learning Limited</w:t>
            </w:r>
          </w:p>
          <w:p w14:paraId="3872190A" w14:textId="77777777" w:rsidR="00120717" w:rsidRPr="00B93EE1" w:rsidRDefault="00120717" w:rsidP="003B43BD">
            <w:pPr>
              <w:rPr>
                <w:sz w:val="16"/>
                <w:szCs w:val="16"/>
                <w:u w:val="single"/>
              </w:rPr>
            </w:pPr>
            <w:r w:rsidRPr="00B93EE1">
              <w:rPr>
                <w:sz w:val="16"/>
                <w:szCs w:val="16"/>
              </w:rPr>
              <w:t>New Zealand Green Investment Finance Limited</w:t>
            </w:r>
          </w:p>
          <w:p w14:paraId="0C37585F" w14:textId="77777777" w:rsidR="00120717" w:rsidRPr="00B93EE1" w:rsidRDefault="00120717" w:rsidP="003B43BD">
            <w:pPr>
              <w:rPr>
                <w:sz w:val="16"/>
                <w:szCs w:val="16"/>
                <w:u w:val="single"/>
              </w:rPr>
            </w:pPr>
            <w:proofErr w:type="spellStart"/>
            <w:r w:rsidRPr="00B93EE1">
              <w:rPr>
                <w:sz w:val="16"/>
                <w:szCs w:val="16"/>
              </w:rPr>
              <w:t>Ngāpuhi</w:t>
            </w:r>
            <w:proofErr w:type="spellEnd"/>
            <w:r w:rsidRPr="00B93EE1">
              <w:rPr>
                <w:sz w:val="16"/>
                <w:szCs w:val="16"/>
              </w:rPr>
              <w:t xml:space="preserve"> Investment Fund Limited</w:t>
            </w:r>
          </w:p>
          <w:p w14:paraId="4245EFC8" w14:textId="77777777" w:rsidR="00120717" w:rsidRPr="00B93EE1" w:rsidRDefault="00120717" w:rsidP="003B43BD">
            <w:pPr>
              <w:rPr>
                <w:sz w:val="16"/>
                <w:szCs w:val="16"/>
                <w:u w:val="single"/>
              </w:rPr>
            </w:pPr>
            <w:proofErr w:type="spellStart"/>
            <w:r w:rsidRPr="00B93EE1">
              <w:rPr>
                <w:sz w:val="16"/>
                <w:szCs w:val="16"/>
              </w:rPr>
              <w:t>Ōtākaro</w:t>
            </w:r>
            <w:proofErr w:type="spellEnd"/>
            <w:r w:rsidRPr="00B93EE1">
              <w:rPr>
                <w:sz w:val="16"/>
                <w:szCs w:val="16"/>
              </w:rPr>
              <w:t xml:space="preserve"> Limited</w:t>
            </w:r>
          </w:p>
          <w:p w14:paraId="100C9923" w14:textId="77777777" w:rsidR="00120717" w:rsidRPr="00B93EE1" w:rsidRDefault="00120717" w:rsidP="003B43BD">
            <w:pPr>
              <w:rPr>
                <w:sz w:val="16"/>
                <w:szCs w:val="16"/>
                <w:u w:val="single"/>
              </w:rPr>
            </w:pPr>
            <w:r w:rsidRPr="00B93EE1">
              <w:rPr>
                <w:sz w:val="16"/>
                <w:szCs w:val="16"/>
              </w:rPr>
              <w:t>Predator Free 2050 Limited</w:t>
            </w:r>
          </w:p>
          <w:p w14:paraId="4E5B8026" w14:textId="77777777" w:rsidR="00120717" w:rsidRPr="00B93EE1" w:rsidRDefault="00120717" w:rsidP="003B43BD">
            <w:pPr>
              <w:rPr>
                <w:sz w:val="16"/>
                <w:szCs w:val="16"/>
                <w:u w:val="single"/>
              </w:rPr>
            </w:pPr>
            <w:r w:rsidRPr="00B93EE1">
              <w:rPr>
                <w:sz w:val="16"/>
                <w:szCs w:val="16"/>
              </w:rPr>
              <w:t>Provincial Growth Fund Limited</w:t>
            </w:r>
          </w:p>
          <w:p w14:paraId="275000A2" w14:textId="77777777" w:rsidR="00120717" w:rsidRPr="00B93EE1" w:rsidRDefault="00120717" w:rsidP="003B43BD">
            <w:pPr>
              <w:rPr>
                <w:sz w:val="16"/>
                <w:szCs w:val="16"/>
                <w:u w:val="single"/>
              </w:rPr>
            </w:pPr>
            <w:r w:rsidRPr="00B93EE1">
              <w:rPr>
                <w:sz w:val="16"/>
                <w:szCs w:val="16"/>
              </w:rPr>
              <w:t>Research and Education Advanced Network New Zealand Limited</w:t>
            </w:r>
          </w:p>
          <w:p w14:paraId="4334FDA0" w14:textId="77777777" w:rsidR="00120717" w:rsidRPr="00B93EE1" w:rsidRDefault="00120717" w:rsidP="003B43BD">
            <w:pPr>
              <w:rPr>
                <w:sz w:val="16"/>
                <w:szCs w:val="16"/>
                <w:u w:val="single"/>
              </w:rPr>
            </w:pPr>
            <w:r w:rsidRPr="00B93EE1">
              <w:rPr>
                <w:sz w:val="16"/>
                <w:szCs w:val="16"/>
              </w:rPr>
              <w:t>Southern Response Earthquake Services Limited</w:t>
            </w:r>
          </w:p>
          <w:p w14:paraId="62F2B47F" w14:textId="77777777" w:rsidR="00120717" w:rsidRPr="00B93EE1" w:rsidRDefault="00120717" w:rsidP="003B43BD">
            <w:pPr>
              <w:rPr>
                <w:sz w:val="16"/>
                <w:szCs w:val="16"/>
                <w:u w:val="single"/>
              </w:rPr>
            </w:pPr>
            <w:proofErr w:type="spellStart"/>
            <w:r w:rsidRPr="00B93EE1">
              <w:rPr>
                <w:sz w:val="16"/>
                <w:szCs w:val="16"/>
              </w:rPr>
              <w:t>Tāmaki</w:t>
            </w:r>
            <w:proofErr w:type="spellEnd"/>
            <w:r w:rsidRPr="00B93EE1">
              <w:rPr>
                <w:sz w:val="16"/>
                <w:szCs w:val="16"/>
              </w:rPr>
              <w:t xml:space="preserve"> Redevelopment Company Limited</w:t>
            </w:r>
          </w:p>
        </w:tc>
      </w:tr>
      <w:tr w:rsidR="00120717" w:rsidRPr="00B93EE1" w14:paraId="5A72A8FB" w14:textId="77777777" w:rsidTr="008851C2">
        <w:tc>
          <w:tcPr>
            <w:tcW w:w="9016" w:type="dxa"/>
          </w:tcPr>
          <w:p w14:paraId="5E218829" w14:textId="77777777" w:rsidR="00120717" w:rsidRPr="00B93EE1" w:rsidRDefault="00120717" w:rsidP="00FD7477">
            <w:pPr>
              <w:rPr>
                <w:sz w:val="16"/>
                <w:szCs w:val="16"/>
                <w:u w:val="single"/>
              </w:rPr>
            </w:pPr>
            <w:r w:rsidRPr="00B93EE1">
              <w:rPr>
                <w:sz w:val="16"/>
                <w:szCs w:val="16"/>
                <w:u w:val="single"/>
              </w:rPr>
              <w:t>State-owned enterprises</w:t>
            </w:r>
          </w:p>
          <w:p w14:paraId="47717D83" w14:textId="77777777" w:rsidR="00120717" w:rsidRPr="00B93EE1" w:rsidRDefault="00120717" w:rsidP="00FD7477">
            <w:pPr>
              <w:rPr>
                <w:sz w:val="16"/>
                <w:szCs w:val="16"/>
              </w:rPr>
            </w:pPr>
            <w:r w:rsidRPr="00B93EE1">
              <w:rPr>
                <w:sz w:val="16"/>
                <w:szCs w:val="16"/>
              </w:rPr>
              <w:t>Airways Corporation of New Zealand Limited</w:t>
            </w:r>
          </w:p>
          <w:p w14:paraId="67E8E4A7" w14:textId="77777777" w:rsidR="00120717" w:rsidRPr="00B93EE1" w:rsidRDefault="00120717" w:rsidP="00FD7477">
            <w:pPr>
              <w:rPr>
                <w:sz w:val="16"/>
                <w:szCs w:val="16"/>
              </w:rPr>
            </w:pPr>
            <w:r w:rsidRPr="00B93EE1">
              <w:rPr>
                <w:sz w:val="16"/>
                <w:szCs w:val="16"/>
              </w:rPr>
              <w:t>Animal Control Products Limited</w:t>
            </w:r>
          </w:p>
          <w:p w14:paraId="6C98C13E" w14:textId="77777777" w:rsidR="00120717" w:rsidRPr="00B93EE1" w:rsidRDefault="00120717" w:rsidP="00FD7477">
            <w:pPr>
              <w:rPr>
                <w:sz w:val="16"/>
                <w:szCs w:val="16"/>
              </w:rPr>
            </w:pPr>
            <w:proofErr w:type="spellStart"/>
            <w:r w:rsidRPr="00B93EE1">
              <w:rPr>
                <w:sz w:val="16"/>
                <w:szCs w:val="16"/>
              </w:rPr>
              <w:t>AsureQuality</w:t>
            </w:r>
            <w:proofErr w:type="spellEnd"/>
            <w:r w:rsidRPr="00B93EE1">
              <w:rPr>
                <w:sz w:val="16"/>
                <w:szCs w:val="16"/>
              </w:rPr>
              <w:t xml:space="preserve"> Limited</w:t>
            </w:r>
          </w:p>
          <w:p w14:paraId="3B3A5AEA" w14:textId="77777777" w:rsidR="00120717" w:rsidRPr="00B93EE1" w:rsidRDefault="00120717" w:rsidP="00FD7477">
            <w:pPr>
              <w:rPr>
                <w:sz w:val="16"/>
                <w:szCs w:val="16"/>
              </w:rPr>
            </w:pPr>
            <w:r w:rsidRPr="00B93EE1">
              <w:rPr>
                <w:sz w:val="16"/>
                <w:szCs w:val="16"/>
              </w:rPr>
              <w:t>Electricity Corporation of New Zealand Limited</w:t>
            </w:r>
          </w:p>
          <w:p w14:paraId="48BE925B" w14:textId="77777777" w:rsidR="00120717" w:rsidRPr="00B93EE1" w:rsidRDefault="00120717" w:rsidP="00FD7477">
            <w:pPr>
              <w:rPr>
                <w:sz w:val="16"/>
                <w:szCs w:val="16"/>
              </w:rPr>
            </w:pPr>
            <w:r w:rsidRPr="00B93EE1">
              <w:rPr>
                <w:sz w:val="16"/>
                <w:szCs w:val="16"/>
              </w:rPr>
              <w:t>KiwiRail Holdings Limited</w:t>
            </w:r>
          </w:p>
          <w:p w14:paraId="5201949C" w14:textId="77777777" w:rsidR="00120717" w:rsidRPr="00B93EE1" w:rsidRDefault="00120717" w:rsidP="00FD7477">
            <w:pPr>
              <w:rPr>
                <w:sz w:val="16"/>
                <w:szCs w:val="16"/>
              </w:rPr>
            </w:pPr>
            <w:r w:rsidRPr="00B93EE1">
              <w:rPr>
                <w:sz w:val="16"/>
                <w:szCs w:val="16"/>
              </w:rPr>
              <w:t>Kordia Group Limited</w:t>
            </w:r>
          </w:p>
          <w:p w14:paraId="21AEFF90" w14:textId="77777777" w:rsidR="00120717" w:rsidRPr="00B93EE1" w:rsidRDefault="00120717" w:rsidP="00FD7477">
            <w:pPr>
              <w:rPr>
                <w:sz w:val="16"/>
                <w:szCs w:val="16"/>
              </w:rPr>
            </w:pPr>
            <w:proofErr w:type="spellStart"/>
            <w:r w:rsidRPr="00B93EE1">
              <w:rPr>
                <w:sz w:val="16"/>
                <w:szCs w:val="16"/>
              </w:rPr>
              <w:t>Landcorp</w:t>
            </w:r>
            <w:proofErr w:type="spellEnd"/>
            <w:r w:rsidRPr="00B93EE1">
              <w:rPr>
                <w:sz w:val="16"/>
                <w:szCs w:val="16"/>
              </w:rPr>
              <w:t xml:space="preserve"> Farming Limited</w:t>
            </w:r>
          </w:p>
          <w:p w14:paraId="518EF773" w14:textId="77777777" w:rsidR="00120717" w:rsidRPr="00B93EE1" w:rsidRDefault="00120717" w:rsidP="00FD7477">
            <w:pPr>
              <w:rPr>
                <w:sz w:val="16"/>
                <w:szCs w:val="16"/>
              </w:rPr>
            </w:pPr>
            <w:r w:rsidRPr="00B93EE1">
              <w:rPr>
                <w:sz w:val="16"/>
                <w:szCs w:val="16"/>
              </w:rPr>
              <w:t>Meteorological Service of New Zealand Limited</w:t>
            </w:r>
          </w:p>
          <w:p w14:paraId="74B7E332" w14:textId="77777777" w:rsidR="00120717" w:rsidRPr="00B93EE1" w:rsidRDefault="00120717" w:rsidP="00FD7477">
            <w:pPr>
              <w:rPr>
                <w:sz w:val="16"/>
                <w:szCs w:val="16"/>
              </w:rPr>
            </w:pPr>
            <w:r w:rsidRPr="00B93EE1">
              <w:rPr>
                <w:sz w:val="16"/>
                <w:szCs w:val="16"/>
              </w:rPr>
              <w:t>New Zealand Post Limited</w:t>
            </w:r>
          </w:p>
          <w:p w14:paraId="4D93EEFF" w14:textId="77777777" w:rsidR="00120717" w:rsidRPr="00B93EE1" w:rsidRDefault="00120717" w:rsidP="00FD7477">
            <w:pPr>
              <w:rPr>
                <w:sz w:val="16"/>
                <w:szCs w:val="16"/>
              </w:rPr>
            </w:pPr>
            <w:r w:rsidRPr="00B93EE1">
              <w:rPr>
                <w:sz w:val="16"/>
                <w:szCs w:val="16"/>
              </w:rPr>
              <w:t>New Zealand Railways Corporation</w:t>
            </w:r>
          </w:p>
          <w:p w14:paraId="3F4493F7" w14:textId="77777777" w:rsidR="00120717" w:rsidRPr="00B93EE1" w:rsidRDefault="00120717" w:rsidP="00FD7477">
            <w:pPr>
              <w:rPr>
                <w:sz w:val="16"/>
                <w:szCs w:val="16"/>
              </w:rPr>
            </w:pPr>
            <w:r w:rsidRPr="00B93EE1">
              <w:rPr>
                <w:sz w:val="16"/>
                <w:szCs w:val="16"/>
              </w:rPr>
              <w:t>Quotable Value Limited</w:t>
            </w:r>
          </w:p>
          <w:p w14:paraId="44ED30B7" w14:textId="77777777" w:rsidR="00120717" w:rsidRPr="00B93EE1" w:rsidRDefault="00120717" w:rsidP="00FD7477">
            <w:pPr>
              <w:rPr>
                <w:sz w:val="16"/>
                <w:szCs w:val="16"/>
              </w:rPr>
            </w:pPr>
            <w:r w:rsidRPr="00B93EE1">
              <w:rPr>
                <w:sz w:val="16"/>
                <w:szCs w:val="16"/>
              </w:rPr>
              <w:t>Transpower New Zealand Limited</w:t>
            </w:r>
          </w:p>
        </w:tc>
      </w:tr>
      <w:tr w:rsidR="00120717" w:rsidRPr="00B93EE1" w14:paraId="2C5DBB56" w14:textId="77777777" w:rsidTr="008851C2">
        <w:trPr>
          <w:cnfStyle w:val="000000010000" w:firstRow="0" w:lastRow="0" w:firstColumn="0" w:lastColumn="0" w:oddVBand="0" w:evenVBand="0" w:oddHBand="0" w:evenHBand="1" w:firstRowFirstColumn="0" w:firstRowLastColumn="0" w:lastRowFirstColumn="0" w:lastRowLastColumn="0"/>
        </w:trPr>
        <w:tc>
          <w:tcPr>
            <w:tcW w:w="9016" w:type="dxa"/>
          </w:tcPr>
          <w:p w14:paraId="7BC9907A" w14:textId="77777777" w:rsidR="00120717" w:rsidRPr="00B93EE1" w:rsidRDefault="00120717" w:rsidP="003B43BD">
            <w:pPr>
              <w:rPr>
                <w:sz w:val="16"/>
                <w:szCs w:val="16"/>
                <w:u w:val="single"/>
              </w:rPr>
            </w:pPr>
            <w:r w:rsidRPr="00B93EE1">
              <w:rPr>
                <w:sz w:val="16"/>
                <w:szCs w:val="16"/>
                <w:u w:val="single"/>
              </w:rPr>
              <w:t>Other</w:t>
            </w:r>
          </w:p>
          <w:p w14:paraId="7EB89CB7" w14:textId="77777777" w:rsidR="00120717" w:rsidRPr="00B93EE1" w:rsidRDefault="00120717" w:rsidP="003B43BD">
            <w:pPr>
              <w:rPr>
                <w:sz w:val="16"/>
                <w:szCs w:val="16"/>
              </w:rPr>
            </w:pPr>
            <w:r w:rsidRPr="00B93EE1">
              <w:rPr>
                <w:sz w:val="16"/>
                <w:szCs w:val="16"/>
              </w:rPr>
              <w:t>Air New Zealand Limited (Listed company)</w:t>
            </w:r>
          </w:p>
          <w:p w14:paraId="0B611730" w14:textId="77777777" w:rsidR="00120717" w:rsidRPr="00B93EE1" w:rsidRDefault="00120717" w:rsidP="003B43BD">
            <w:pPr>
              <w:rPr>
                <w:sz w:val="16"/>
                <w:szCs w:val="16"/>
              </w:rPr>
            </w:pPr>
            <w:r w:rsidRPr="00B93EE1">
              <w:rPr>
                <w:sz w:val="16"/>
                <w:szCs w:val="16"/>
              </w:rPr>
              <w:t>National Provident Fund (Statutory corporation)</w:t>
            </w:r>
          </w:p>
          <w:p w14:paraId="26C345E9" w14:textId="77777777" w:rsidR="00120717" w:rsidRPr="00B93EE1" w:rsidRDefault="00120717" w:rsidP="003B43BD">
            <w:pPr>
              <w:rPr>
                <w:sz w:val="16"/>
                <w:szCs w:val="16"/>
              </w:rPr>
            </w:pPr>
            <w:r w:rsidRPr="00B93EE1">
              <w:rPr>
                <w:sz w:val="16"/>
                <w:szCs w:val="16"/>
              </w:rPr>
              <w:t>Local Government Funding Authority</w:t>
            </w:r>
          </w:p>
        </w:tc>
      </w:tr>
    </w:tbl>
    <w:p w14:paraId="22E894DB" w14:textId="77777777" w:rsidR="00120717" w:rsidRPr="00B93EE1" w:rsidRDefault="00120717" w:rsidP="00AF569F">
      <w:pPr>
        <w:pStyle w:val="NoteText"/>
        <w:spacing w:before="120" w:after="240"/>
      </w:pPr>
      <w:r w:rsidRPr="00B93EE1">
        <w:t>Source:</w:t>
      </w:r>
      <w:r w:rsidRPr="00B93EE1">
        <w:tab/>
        <w:t>Information provided by the authorities.</w:t>
      </w:r>
    </w:p>
    <w:p w14:paraId="4FA35B64" w14:textId="77777777" w:rsidR="00120717" w:rsidRPr="00F64A35" w:rsidRDefault="00120717" w:rsidP="00CD5691">
      <w:pPr>
        <w:pStyle w:val="Heading3"/>
      </w:pPr>
      <w:bookmarkStart w:id="172" w:name="_Toc415735890"/>
      <w:bookmarkStart w:id="173" w:name="_Toc97800171"/>
      <w:r w:rsidRPr="00B93EE1">
        <w:t>Government procurement</w:t>
      </w:r>
      <w:bookmarkEnd w:id="172"/>
      <w:bookmarkEnd w:id="173"/>
    </w:p>
    <w:p w14:paraId="48F5F042" w14:textId="77777777" w:rsidR="00120717" w:rsidRPr="00F64A35" w:rsidRDefault="00120717" w:rsidP="00CD5691">
      <w:pPr>
        <w:pStyle w:val="BodyText"/>
      </w:pPr>
      <w:r w:rsidRPr="00B93EE1">
        <w:t>New Zealand's spending on government procurement contracts amounted to approximately 20% of GDP in 2020. Government spending on goods, services, and works was estimated at NZD 51.5 billion in 2020, compared with NZD 30.0 billion in 2016 and NZD 42.0 billion in 2017.</w:t>
      </w:r>
      <w:r w:rsidRPr="00B93EE1">
        <w:rPr>
          <w:rStyle w:val="FootnoteReference"/>
        </w:rPr>
        <w:footnoteReference w:id="230"/>
      </w:r>
    </w:p>
    <w:p w14:paraId="1E0EE128" w14:textId="46493949" w:rsidR="00120717" w:rsidRPr="00F64A35" w:rsidRDefault="00120717" w:rsidP="00B57A77">
      <w:pPr>
        <w:pStyle w:val="BodyText"/>
      </w:pPr>
      <w:r w:rsidRPr="00B93EE1">
        <w:t>New Zealand joined the WTO Agreement on Government Procurement (GPA 2012) in August 2015, thus opening GPA-covered procurement markets to competition from suppliers from other GPA Parties. During the reporting period, almost NZD 24 billion</w:t>
      </w:r>
      <w:r w:rsidRPr="00B93EE1" w:rsidDel="009722C4">
        <w:rPr>
          <w:rFonts w:eastAsia="Times New Roman" w:cs="Arial"/>
          <w:color w:val="000000"/>
          <w:szCs w:val="18"/>
          <w:lang w:eastAsia="en-NZ"/>
        </w:rPr>
        <w:t xml:space="preserve"> </w:t>
      </w:r>
      <w:r w:rsidRPr="00B93EE1">
        <w:t>was spent on GPA</w:t>
      </w:r>
      <w:r w:rsidRPr="00B93EE1">
        <w:noBreakHyphen/>
        <w:t>covered procurement of goods, services, and works. Details can be found in Table 3.1</w:t>
      </w:r>
      <w:r w:rsidR="00826C18">
        <w:t>7</w:t>
      </w:r>
      <w:r w:rsidRPr="00B93EE1">
        <w:t>.</w:t>
      </w:r>
    </w:p>
    <w:p w14:paraId="3BE07274" w14:textId="25A9ACE3" w:rsidR="00120717" w:rsidRDefault="00D37A97" w:rsidP="00AA39ED">
      <w:pPr>
        <w:pStyle w:val="Caption"/>
        <w:keepLines/>
      </w:pPr>
      <w:bookmarkStart w:id="174" w:name="_Toc97793403"/>
      <w:r>
        <w:lastRenderedPageBreak/>
        <w:t xml:space="preserve">Table </w:t>
      </w:r>
      <w:r w:rsidR="0012793B">
        <w:fldChar w:fldCharType="begin"/>
      </w:r>
      <w:r w:rsidR="0012793B">
        <w:instrText xml:space="preserve"> 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17</w:t>
      </w:r>
      <w:r w:rsidR="0012793B">
        <w:rPr>
          <w:noProof/>
        </w:rPr>
        <w:fldChar w:fldCharType="end"/>
      </w:r>
      <w:r>
        <w:t xml:space="preserve"> </w:t>
      </w:r>
      <w:r w:rsidR="00120717" w:rsidRPr="00B93EE1">
        <w:t>Government procurement in New Zealand, 2015-20</w:t>
      </w:r>
      <w:bookmarkEnd w:id="174"/>
    </w:p>
    <w:p w14:paraId="3660482E" w14:textId="047CE8BA" w:rsidR="003614B4" w:rsidRPr="00150FE8" w:rsidRDefault="003614B4" w:rsidP="00AA39ED">
      <w:pPr>
        <w:keepNext/>
        <w:keepLines/>
        <w:rPr>
          <w:sz w:val="16"/>
        </w:rPr>
      </w:pPr>
      <w:r w:rsidRPr="00150FE8">
        <w:rPr>
          <w:sz w:val="16"/>
          <w:szCs w:val="20"/>
          <w:lang w:eastAsia="en-GB"/>
        </w:rPr>
        <w:t>(NZD million)</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98"/>
        <w:gridCol w:w="2135"/>
        <w:gridCol w:w="1441"/>
        <w:gridCol w:w="864"/>
        <w:gridCol w:w="1180"/>
        <w:gridCol w:w="991"/>
        <w:gridCol w:w="1012"/>
        <w:gridCol w:w="795"/>
      </w:tblGrid>
      <w:tr w:rsidR="00120717" w:rsidRPr="00B93EE1" w14:paraId="1564378E" w14:textId="77777777" w:rsidTr="00341D46">
        <w:trPr>
          <w:tblHeader/>
        </w:trPr>
        <w:tc>
          <w:tcPr>
            <w:tcW w:w="0" w:type="auto"/>
            <w:vMerge w:val="restart"/>
            <w:tcBorders>
              <w:top w:val="single" w:sz="4" w:space="0" w:color="auto"/>
              <w:left w:val="single" w:sz="4" w:space="0" w:color="auto"/>
              <w:bottom w:val="nil"/>
              <w:right w:val="single" w:sz="4" w:space="0" w:color="auto"/>
            </w:tcBorders>
            <w:shd w:val="clear" w:color="auto" w:fill="006283"/>
            <w:vAlign w:val="center"/>
            <w:hideMark/>
          </w:tcPr>
          <w:p w14:paraId="2C93AB73" w14:textId="77777777" w:rsidR="00120717" w:rsidRPr="00B93EE1" w:rsidRDefault="00120717" w:rsidP="00AA39ED">
            <w:pPr>
              <w:keepNext/>
              <w:keepLines/>
              <w:spacing w:line="276" w:lineRule="auto"/>
              <w:rPr>
                <w:rFonts w:eastAsia="Verdana" w:cs="Verdana"/>
                <w:b/>
                <w:color w:val="FFFFFF"/>
                <w:sz w:val="15"/>
                <w:szCs w:val="15"/>
              </w:rPr>
            </w:pPr>
          </w:p>
        </w:tc>
        <w:tc>
          <w:tcPr>
            <w:tcW w:w="2136" w:type="dxa"/>
            <w:vMerge w:val="restart"/>
            <w:tcBorders>
              <w:top w:val="single" w:sz="4" w:space="0" w:color="auto"/>
              <w:left w:val="single" w:sz="4" w:space="0" w:color="auto"/>
              <w:bottom w:val="single" w:sz="4" w:space="0" w:color="auto"/>
              <w:right w:val="single" w:sz="4" w:space="0" w:color="auto"/>
            </w:tcBorders>
            <w:shd w:val="clear" w:color="auto" w:fill="006283"/>
            <w:vAlign w:val="center"/>
            <w:hideMark/>
          </w:tcPr>
          <w:p w14:paraId="3825366A" w14:textId="77777777" w:rsidR="00120717" w:rsidRPr="00B93EE1" w:rsidRDefault="00120717" w:rsidP="00AA39ED">
            <w:pPr>
              <w:keepNext/>
              <w:keepLines/>
              <w:spacing w:line="276" w:lineRule="auto"/>
              <w:jc w:val="center"/>
              <w:rPr>
                <w:rFonts w:eastAsia="Verdana" w:cs="Verdana"/>
                <w:b/>
                <w:color w:val="FFFFFF"/>
                <w:sz w:val="15"/>
                <w:szCs w:val="15"/>
              </w:rPr>
            </w:pPr>
            <w:r w:rsidRPr="00B93EE1">
              <w:rPr>
                <w:rFonts w:eastAsia="Verdana" w:cs="Verdana"/>
                <w:b/>
                <w:color w:val="FFFFFF"/>
                <w:sz w:val="15"/>
                <w:szCs w:val="15"/>
              </w:rPr>
              <w:t>Level</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006283"/>
            <w:vAlign w:val="center"/>
            <w:hideMark/>
          </w:tcPr>
          <w:p w14:paraId="06A55FF8" w14:textId="77777777" w:rsidR="00120717" w:rsidRPr="00B93EE1" w:rsidRDefault="00120717" w:rsidP="00AA39ED">
            <w:pPr>
              <w:keepNext/>
              <w:keepLines/>
              <w:spacing w:line="276" w:lineRule="auto"/>
              <w:jc w:val="center"/>
              <w:rPr>
                <w:rFonts w:eastAsia="Verdana" w:cs="Verdana"/>
                <w:b/>
                <w:color w:val="FFFFFF"/>
                <w:sz w:val="15"/>
                <w:szCs w:val="15"/>
              </w:rPr>
            </w:pPr>
            <w:r w:rsidRPr="00B93EE1">
              <w:rPr>
                <w:rFonts w:eastAsia="Verdana" w:cs="Verdana"/>
                <w:b/>
                <w:color w:val="FFFFFF"/>
                <w:sz w:val="15"/>
                <w:szCs w:val="15"/>
              </w:rPr>
              <w:t>Total value of procurement (GPA-covered and non-covered)</w:t>
            </w:r>
          </w:p>
        </w:tc>
        <w:tc>
          <w:tcPr>
            <w:tcW w:w="0" w:type="auto"/>
            <w:gridSpan w:val="5"/>
            <w:tcBorders>
              <w:top w:val="single" w:sz="4" w:space="0" w:color="auto"/>
              <w:left w:val="single" w:sz="4" w:space="0" w:color="auto"/>
              <w:bottom w:val="nil"/>
              <w:right w:val="single" w:sz="4" w:space="0" w:color="auto"/>
            </w:tcBorders>
            <w:shd w:val="clear" w:color="auto" w:fill="006283"/>
            <w:vAlign w:val="center"/>
            <w:hideMark/>
          </w:tcPr>
          <w:p w14:paraId="115F704F" w14:textId="77777777" w:rsidR="00120717" w:rsidRPr="00B93EE1" w:rsidRDefault="00120717" w:rsidP="00AA39ED">
            <w:pPr>
              <w:keepNext/>
              <w:keepLines/>
              <w:spacing w:line="276" w:lineRule="auto"/>
              <w:jc w:val="center"/>
              <w:rPr>
                <w:rFonts w:eastAsia="Verdana" w:cs="Verdana"/>
                <w:b/>
                <w:color w:val="FFFFFF"/>
                <w:sz w:val="15"/>
                <w:szCs w:val="15"/>
              </w:rPr>
            </w:pPr>
            <w:r w:rsidRPr="00B93EE1">
              <w:rPr>
                <w:rFonts w:eastAsia="Verdana" w:cs="Verdana"/>
                <w:b/>
                <w:color w:val="FFFFFF"/>
                <w:sz w:val="15"/>
                <w:szCs w:val="15"/>
              </w:rPr>
              <w:t>GPA-covered procurement</w:t>
            </w:r>
          </w:p>
        </w:tc>
      </w:tr>
      <w:tr w:rsidR="00120717" w:rsidRPr="00B93EE1" w14:paraId="117831CB" w14:textId="77777777" w:rsidTr="00341D46">
        <w:trPr>
          <w:tblHeader/>
        </w:trPr>
        <w:tc>
          <w:tcPr>
            <w:tcW w:w="0" w:type="auto"/>
            <w:vMerge/>
            <w:tcBorders>
              <w:top w:val="single" w:sz="4" w:space="0" w:color="auto"/>
              <w:left w:val="single" w:sz="4" w:space="0" w:color="auto"/>
              <w:bottom w:val="nil"/>
              <w:right w:val="single" w:sz="4" w:space="0" w:color="auto"/>
            </w:tcBorders>
            <w:shd w:val="clear" w:color="auto" w:fill="006283"/>
            <w:vAlign w:val="center"/>
            <w:hideMark/>
          </w:tcPr>
          <w:p w14:paraId="40B4068C" w14:textId="77777777" w:rsidR="00120717" w:rsidRPr="00B93EE1" w:rsidRDefault="00120717" w:rsidP="00341D46">
            <w:pPr>
              <w:jc w:val="left"/>
              <w:rPr>
                <w:rFonts w:eastAsia="Verdana" w:cs="Verdana"/>
                <w:b/>
                <w:color w:val="FFFFFF"/>
                <w:sz w:val="15"/>
                <w:szCs w:val="15"/>
              </w:rPr>
            </w:pPr>
          </w:p>
        </w:tc>
        <w:tc>
          <w:tcPr>
            <w:tcW w:w="2136" w:type="dxa"/>
            <w:vMerge/>
            <w:tcBorders>
              <w:top w:val="single" w:sz="4" w:space="0" w:color="auto"/>
              <w:left w:val="single" w:sz="4" w:space="0" w:color="auto"/>
              <w:bottom w:val="single" w:sz="4" w:space="0" w:color="auto"/>
              <w:right w:val="single" w:sz="4" w:space="0" w:color="auto"/>
            </w:tcBorders>
            <w:shd w:val="clear" w:color="auto" w:fill="006283"/>
            <w:vAlign w:val="center"/>
            <w:hideMark/>
          </w:tcPr>
          <w:p w14:paraId="556BF908" w14:textId="77777777" w:rsidR="00120717" w:rsidRPr="00B93EE1" w:rsidRDefault="00120717" w:rsidP="00341D46">
            <w:pPr>
              <w:jc w:val="left"/>
              <w:rPr>
                <w:rFonts w:eastAsia="Verdana" w:cs="Verdana"/>
                <w:b/>
                <w:color w:val="FFFFFF"/>
                <w:sz w:val="15"/>
                <w:szCs w:val="15"/>
              </w:rPr>
            </w:pPr>
          </w:p>
        </w:tc>
        <w:tc>
          <w:tcPr>
            <w:tcW w:w="1441" w:type="dxa"/>
            <w:vMerge/>
            <w:tcBorders>
              <w:top w:val="single" w:sz="4" w:space="0" w:color="auto"/>
              <w:left w:val="single" w:sz="4" w:space="0" w:color="auto"/>
              <w:bottom w:val="single" w:sz="4" w:space="0" w:color="auto"/>
              <w:right w:val="single" w:sz="4" w:space="0" w:color="auto"/>
            </w:tcBorders>
            <w:shd w:val="clear" w:color="auto" w:fill="006283"/>
            <w:vAlign w:val="center"/>
            <w:hideMark/>
          </w:tcPr>
          <w:p w14:paraId="2A3D8F62" w14:textId="77777777" w:rsidR="00120717" w:rsidRPr="00B93EE1" w:rsidRDefault="00120717" w:rsidP="00341D46">
            <w:pPr>
              <w:jc w:val="left"/>
              <w:rPr>
                <w:rFonts w:eastAsia="Verdana" w:cs="Verdana"/>
                <w:b/>
                <w:color w:val="FFFFFF"/>
                <w:sz w:val="15"/>
                <w:szCs w:val="15"/>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006283"/>
            <w:vAlign w:val="center"/>
            <w:hideMark/>
          </w:tcPr>
          <w:p w14:paraId="16B27686" w14:textId="77777777" w:rsidR="00120717" w:rsidRPr="00B93EE1" w:rsidRDefault="00120717" w:rsidP="00341D46">
            <w:pPr>
              <w:spacing w:line="276" w:lineRule="auto"/>
              <w:jc w:val="center"/>
              <w:rPr>
                <w:rFonts w:eastAsia="Verdana" w:cs="Verdana"/>
                <w:b/>
                <w:color w:val="FFFFFF"/>
                <w:sz w:val="15"/>
                <w:szCs w:val="15"/>
              </w:rPr>
            </w:pPr>
            <w:r w:rsidRPr="00B93EE1">
              <w:rPr>
                <w:rFonts w:eastAsia="Verdana" w:cs="Verdana"/>
                <w:b/>
                <w:color w:val="FFFFFF"/>
                <w:sz w:val="15"/>
                <w:szCs w:val="15"/>
              </w:rPr>
              <w:t>Total value</w:t>
            </w:r>
          </w:p>
        </w:tc>
        <w:tc>
          <w:tcPr>
            <w:tcW w:w="0" w:type="auto"/>
            <w:gridSpan w:val="2"/>
            <w:tcBorders>
              <w:top w:val="single" w:sz="4" w:space="0" w:color="auto"/>
              <w:left w:val="single" w:sz="4" w:space="0" w:color="auto"/>
              <w:bottom w:val="single" w:sz="4" w:space="0" w:color="auto"/>
              <w:right w:val="single" w:sz="4" w:space="0" w:color="auto"/>
            </w:tcBorders>
            <w:shd w:val="clear" w:color="auto" w:fill="006283"/>
            <w:vAlign w:val="center"/>
            <w:hideMark/>
          </w:tcPr>
          <w:p w14:paraId="5779B6F0" w14:textId="77777777" w:rsidR="00120717" w:rsidRPr="00B93EE1" w:rsidRDefault="00120717" w:rsidP="00341D46">
            <w:pPr>
              <w:spacing w:line="276" w:lineRule="auto"/>
              <w:jc w:val="center"/>
              <w:rPr>
                <w:rFonts w:eastAsia="Verdana" w:cs="Verdana"/>
                <w:b/>
                <w:color w:val="FFFFFF"/>
                <w:sz w:val="15"/>
                <w:szCs w:val="15"/>
              </w:rPr>
            </w:pPr>
            <w:r w:rsidRPr="00B93EE1">
              <w:rPr>
                <w:rFonts w:eastAsia="Verdana" w:cs="Verdana"/>
                <w:b/>
                <w:color w:val="FFFFFF"/>
                <w:sz w:val="15"/>
                <w:szCs w:val="15"/>
              </w:rPr>
              <w:t>Awarded under open and selective tendering</w:t>
            </w:r>
          </w:p>
        </w:tc>
        <w:tc>
          <w:tcPr>
            <w:tcW w:w="0" w:type="auto"/>
            <w:gridSpan w:val="2"/>
            <w:tcBorders>
              <w:top w:val="single" w:sz="4" w:space="0" w:color="auto"/>
              <w:left w:val="single" w:sz="4" w:space="0" w:color="auto"/>
              <w:bottom w:val="single" w:sz="4" w:space="0" w:color="auto"/>
              <w:right w:val="single" w:sz="4" w:space="0" w:color="auto"/>
            </w:tcBorders>
            <w:shd w:val="clear" w:color="auto" w:fill="006283"/>
            <w:vAlign w:val="center"/>
            <w:hideMark/>
          </w:tcPr>
          <w:p w14:paraId="736C013B" w14:textId="77777777" w:rsidR="00120717" w:rsidRPr="00B93EE1" w:rsidRDefault="00120717" w:rsidP="00341D46">
            <w:pPr>
              <w:spacing w:line="276" w:lineRule="auto"/>
              <w:jc w:val="center"/>
              <w:rPr>
                <w:rFonts w:eastAsia="Verdana" w:cs="Verdana"/>
                <w:b/>
                <w:color w:val="FFFFFF"/>
                <w:sz w:val="15"/>
                <w:szCs w:val="15"/>
              </w:rPr>
            </w:pPr>
            <w:r w:rsidRPr="00B93EE1">
              <w:rPr>
                <w:rFonts w:eastAsia="Verdana" w:cs="Verdana"/>
                <w:b/>
                <w:color w:val="FFFFFF"/>
                <w:sz w:val="15"/>
                <w:szCs w:val="15"/>
              </w:rPr>
              <w:t>Awarded under limited tendering</w:t>
            </w:r>
          </w:p>
        </w:tc>
      </w:tr>
      <w:tr w:rsidR="00120717" w:rsidRPr="00B93EE1" w14:paraId="665AAC33" w14:textId="77777777" w:rsidTr="00341D46">
        <w:trPr>
          <w:tblHeader/>
        </w:trPr>
        <w:tc>
          <w:tcPr>
            <w:tcW w:w="0" w:type="auto"/>
            <w:vMerge/>
            <w:tcBorders>
              <w:top w:val="single" w:sz="4" w:space="0" w:color="auto"/>
              <w:left w:val="single" w:sz="4" w:space="0" w:color="auto"/>
              <w:bottom w:val="nil"/>
              <w:right w:val="single" w:sz="4" w:space="0" w:color="auto"/>
            </w:tcBorders>
            <w:shd w:val="clear" w:color="auto" w:fill="006283"/>
            <w:vAlign w:val="center"/>
            <w:hideMark/>
          </w:tcPr>
          <w:p w14:paraId="4B1AE7E0" w14:textId="77777777" w:rsidR="00120717" w:rsidRPr="00B93EE1" w:rsidRDefault="00120717" w:rsidP="00341D46">
            <w:pPr>
              <w:jc w:val="left"/>
              <w:rPr>
                <w:rFonts w:eastAsia="Verdana" w:cs="Verdana"/>
                <w:b/>
                <w:color w:val="FFFFFF"/>
                <w:sz w:val="15"/>
                <w:szCs w:val="15"/>
              </w:rPr>
            </w:pPr>
          </w:p>
        </w:tc>
        <w:tc>
          <w:tcPr>
            <w:tcW w:w="2136" w:type="dxa"/>
            <w:vMerge/>
            <w:tcBorders>
              <w:top w:val="single" w:sz="4" w:space="0" w:color="auto"/>
              <w:left w:val="single" w:sz="4" w:space="0" w:color="auto"/>
              <w:bottom w:val="single" w:sz="4" w:space="0" w:color="auto"/>
              <w:right w:val="single" w:sz="4" w:space="0" w:color="auto"/>
            </w:tcBorders>
            <w:shd w:val="clear" w:color="auto" w:fill="006283"/>
            <w:vAlign w:val="center"/>
            <w:hideMark/>
          </w:tcPr>
          <w:p w14:paraId="623E5FE1" w14:textId="77777777" w:rsidR="00120717" w:rsidRPr="00B93EE1" w:rsidRDefault="00120717" w:rsidP="00341D46">
            <w:pPr>
              <w:jc w:val="left"/>
              <w:rPr>
                <w:rFonts w:eastAsia="Verdana" w:cs="Verdana"/>
                <w:b/>
                <w:color w:val="FFFFFF"/>
                <w:sz w:val="15"/>
                <w:szCs w:val="15"/>
              </w:rPr>
            </w:pPr>
          </w:p>
        </w:tc>
        <w:tc>
          <w:tcPr>
            <w:tcW w:w="1441" w:type="dxa"/>
            <w:vMerge/>
            <w:tcBorders>
              <w:top w:val="single" w:sz="4" w:space="0" w:color="auto"/>
              <w:left w:val="single" w:sz="4" w:space="0" w:color="auto"/>
              <w:bottom w:val="single" w:sz="4" w:space="0" w:color="auto"/>
              <w:right w:val="single" w:sz="4" w:space="0" w:color="auto"/>
            </w:tcBorders>
            <w:shd w:val="clear" w:color="auto" w:fill="006283"/>
            <w:vAlign w:val="center"/>
            <w:hideMark/>
          </w:tcPr>
          <w:p w14:paraId="0DF11CF9" w14:textId="77777777" w:rsidR="00120717" w:rsidRPr="00B93EE1" w:rsidRDefault="00120717" w:rsidP="00341D46">
            <w:pPr>
              <w:jc w:val="left"/>
              <w:rPr>
                <w:rFonts w:eastAsia="Verdana" w:cs="Verdana"/>
                <w:b/>
                <w:color w:val="FFFFFF"/>
                <w:sz w:val="15"/>
                <w:szCs w:val="15"/>
              </w:rPr>
            </w:pPr>
          </w:p>
        </w:tc>
        <w:tc>
          <w:tcPr>
            <w:tcW w:w="0" w:type="auto"/>
            <w:vMerge/>
            <w:tcBorders>
              <w:top w:val="single" w:sz="4" w:space="0" w:color="auto"/>
              <w:left w:val="single" w:sz="4" w:space="0" w:color="auto"/>
              <w:bottom w:val="single" w:sz="4" w:space="0" w:color="auto"/>
              <w:right w:val="single" w:sz="4" w:space="0" w:color="auto"/>
            </w:tcBorders>
            <w:shd w:val="clear" w:color="auto" w:fill="006283"/>
            <w:vAlign w:val="center"/>
            <w:hideMark/>
          </w:tcPr>
          <w:p w14:paraId="75F134F3" w14:textId="77777777" w:rsidR="00120717" w:rsidRPr="00B93EE1" w:rsidRDefault="00120717" w:rsidP="00341D46">
            <w:pPr>
              <w:jc w:val="left"/>
              <w:rPr>
                <w:rFonts w:eastAsia="Verdana" w:cs="Verdana"/>
                <w:b/>
                <w:color w:val="FFFFFF"/>
                <w:sz w:val="15"/>
                <w:szCs w:val="15"/>
              </w:rPr>
            </w:pPr>
          </w:p>
        </w:tc>
        <w:tc>
          <w:tcPr>
            <w:tcW w:w="0" w:type="auto"/>
            <w:tcBorders>
              <w:top w:val="single" w:sz="4" w:space="0" w:color="auto"/>
              <w:left w:val="single" w:sz="4" w:space="0" w:color="auto"/>
              <w:bottom w:val="single" w:sz="4" w:space="0" w:color="auto"/>
              <w:right w:val="single" w:sz="4" w:space="0" w:color="auto"/>
            </w:tcBorders>
            <w:shd w:val="clear" w:color="auto" w:fill="006283"/>
            <w:vAlign w:val="center"/>
            <w:hideMark/>
          </w:tcPr>
          <w:p w14:paraId="41894CD5" w14:textId="77777777" w:rsidR="00120717" w:rsidRPr="00B93EE1" w:rsidRDefault="00120717" w:rsidP="00341D46">
            <w:pPr>
              <w:spacing w:line="276" w:lineRule="auto"/>
              <w:jc w:val="center"/>
              <w:rPr>
                <w:rFonts w:eastAsia="Verdana" w:cs="Verdana"/>
                <w:b/>
                <w:color w:val="FFFFFF"/>
                <w:sz w:val="15"/>
                <w:szCs w:val="15"/>
              </w:rPr>
            </w:pPr>
            <w:r w:rsidRPr="00B93EE1">
              <w:rPr>
                <w:rFonts w:eastAsia="Verdana" w:cs="Verdana"/>
                <w:b/>
                <w:color w:val="FFFFFF"/>
                <w:sz w:val="15"/>
                <w:szCs w:val="15"/>
              </w:rPr>
              <w:t>Total value</w:t>
            </w:r>
          </w:p>
        </w:tc>
        <w:tc>
          <w:tcPr>
            <w:tcW w:w="0" w:type="auto"/>
            <w:tcBorders>
              <w:top w:val="single" w:sz="4" w:space="0" w:color="auto"/>
              <w:left w:val="single" w:sz="4" w:space="0" w:color="auto"/>
              <w:bottom w:val="single" w:sz="4" w:space="0" w:color="auto"/>
              <w:right w:val="single" w:sz="4" w:space="0" w:color="auto"/>
            </w:tcBorders>
            <w:shd w:val="clear" w:color="auto" w:fill="006283"/>
            <w:vAlign w:val="center"/>
            <w:hideMark/>
          </w:tcPr>
          <w:p w14:paraId="4B555946" w14:textId="77777777" w:rsidR="00120717" w:rsidRPr="00B93EE1" w:rsidRDefault="00120717" w:rsidP="00341D46">
            <w:pPr>
              <w:spacing w:line="276" w:lineRule="auto"/>
              <w:jc w:val="center"/>
              <w:rPr>
                <w:rFonts w:eastAsia="Verdana" w:cs="Verdana"/>
                <w:b/>
                <w:bCs/>
                <w:color w:val="FFFFFF"/>
                <w:sz w:val="15"/>
                <w:szCs w:val="15"/>
              </w:rPr>
            </w:pPr>
            <w:r w:rsidRPr="00B93EE1">
              <w:rPr>
                <w:rFonts w:eastAsia="Verdana" w:cs="Verdana"/>
                <w:b/>
                <w:bCs/>
                <w:color w:val="FFFFFF"/>
                <w:sz w:val="15"/>
                <w:szCs w:val="15"/>
              </w:rPr>
              <w:t>Ratio</w:t>
            </w:r>
          </w:p>
        </w:tc>
        <w:tc>
          <w:tcPr>
            <w:tcW w:w="0" w:type="auto"/>
            <w:tcBorders>
              <w:top w:val="single" w:sz="4" w:space="0" w:color="auto"/>
              <w:left w:val="single" w:sz="4" w:space="0" w:color="auto"/>
              <w:bottom w:val="single" w:sz="4" w:space="0" w:color="auto"/>
              <w:right w:val="single" w:sz="4" w:space="0" w:color="auto"/>
            </w:tcBorders>
            <w:shd w:val="clear" w:color="auto" w:fill="006283"/>
            <w:vAlign w:val="center"/>
            <w:hideMark/>
          </w:tcPr>
          <w:p w14:paraId="244EC0BA" w14:textId="77777777" w:rsidR="00120717" w:rsidRPr="00B93EE1" w:rsidRDefault="00120717" w:rsidP="00341D46">
            <w:pPr>
              <w:spacing w:line="276" w:lineRule="auto"/>
              <w:jc w:val="center"/>
              <w:rPr>
                <w:rFonts w:eastAsia="Verdana" w:cs="Verdana"/>
                <w:b/>
                <w:color w:val="FFFFFF"/>
                <w:sz w:val="15"/>
                <w:szCs w:val="15"/>
              </w:rPr>
            </w:pPr>
            <w:r w:rsidRPr="00B93EE1">
              <w:rPr>
                <w:rFonts w:eastAsia="Verdana" w:cs="Verdana"/>
                <w:b/>
                <w:color w:val="FFFFFF"/>
                <w:sz w:val="15"/>
                <w:szCs w:val="15"/>
              </w:rPr>
              <w:t>Total value</w:t>
            </w:r>
          </w:p>
        </w:tc>
        <w:tc>
          <w:tcPr>
            <w:tcW w:w="0" w:type="auto"/>
            <w:tcBorders>
              <w:top w:val="single" w:sz="4" w:space="0" w:color="auto"/>
              <w:left w:val="single" w:sz="4" w:space="0" w:color="auto"/>
              <w:bottom w:val="single" w:sz="4" w:space="0" w:color="auto"/>
              <w:right w:val="single" w:sz="4" w:space="0" w:color="auto"/>
            </w:tcBorders>
            <w:shd w:val="clear" w:color="auto" w:fill="006283"/>
            <w:vAlign w:val="center"/>
            <w:hideMark/>
          </w:tcPr>
          <w:p w14:paraId="7C44616E" w14:textId="77777777" w:rsidR="00120717" w:rsidRPr="00B93EE1" w:rsidRDefault="00120717" w:rsidP="00341D46">
            <w:pPr>
              <w:spacing w:line="276" w:lineRule="auto"/>
              <w:jc w:val="center"/>
              <w:rPr>
                <w:rFonts w:eastAsia="Verdana" w:cs="Verdana"/>
                <w:b/>
                <w:bCs/>
                <w:color w:val="FFFFFF"/>
                <w:sz w:val="15"/>
                <w:szCs w:val="15"/>
              </w:rPr>
            </w:pPr>
            <w:r w:rsidRPr="00B93EE1">
              <w:rPr>
                <w:rFonts w:eastAsia="Verdana" w:cs="Verdana"/>
                <w:b/>
                <w:bCs/>
                <w:color w:val="FFFFFF"/>
                <w:sz w:val="15"/>
                <w:szCs w:val="15"/>
              </w:rPr>
              <w:t>Ratio</w:t>
            </w:r>
          </w:p>
        </w:tc>
      </w:tr>
      <w:tr w:rsidR="00120717" w:rsidRPr="00B93EE1" w14:paraId="29DD2B68" w14:textId="77777777" w:rsidTr="00341D46">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14:paraId="3F8D0874" w14:textId="72C033C4" w:rsidR="00120717" w:rsidRPr="00B93EE1" w:rsidRDefault="00120717" w:rsidP="000468F5">
            <w:pPr>
              <w:jc w:val="left"/>
              <w:rPr>
                <w:sz w:val="15"/>
                <w:szCs w:val="15"/>
              </w:rPr>
            </w:pPr>
            <w:r w:rsidRPr="00B93EE1">
              <w:rPr>
                <w:sz w:val="15"/>
                <w:szCs w:val="15"/>
              </w:rPr>
              <w:t>2015</w:t>
            </w:r>
          </w:p>
        </w:tc>
        <w:tc>
          <w:tcPr>
            <w:tcW w:w="2136" w:type="dxa"/>
            <w:tcBorders>
              <w:top w:val="single" w:sz="4" w:space="0" w:color="auto"/>
              <w:left w:val="single" w:sz="4" w:space="0" w:color="auto"/>
              <w:bottom w:val="nil"/>
              <w:right w:val="single" w:sz="4" w:space="0" w:color="auto"/>
            </w:tcBorders>
            <w:shd w:val="clear" w:color="auto" w:fill="auto"/>
            <w:hideMark/>
          </w:tcPr>
          <w:p w14:paraId="208A2182" w14:textId="77777777" w:rsidR="00120717" w:rsidRPr="00B93EE1" w:rsidRDefault="00120717" w:rsidP="00341D46">
            <w:pPr>
              <w:rPr>
                <w:sz w:val="15"/>
                <w:szCs w:val="15"/>
              </w:rPr>
            </w:pPr>
            <w:r w:rsidRPr="00B93EE1">
              <w:rPr>
                <w:sz w:val="15"/>
                <w:szCs w:val="15"/>
              </w:rPr>
              <w:t>Central government</w:t>
            </w:r>
          </w:p>
        </w:tc>
        <w:tc>
          <w:tcPr>
            <w:tcW w:w="1441" w:type="dxa"/>
            <w:tcBorders>
              <w:top w:val="single" w:sz="4" w:space="0" w:color="auto"/>
              <w:left w:val="single" w:sz="4" w:space="0" w:color="auto"/>
              <w:bottom w:val="nil"/>
              <w:right w:val="single" w:sz="4" w:space="0" w:color="auto"/>
            </w:tcBorders>
            <w:shd w:val="clear" w:color="auto" w:fill="auto"/>
          </w:tcPr>
          <w:p w14:paraId="6E344A1F" w14:textId="77777777" w:rsidR="00120717" w:rsidRPr="00B93EE1" w:rsidRDefault="00120717" w:rsidP="00341D46">
            <w:pPr>
              <w:ind w:right="113"/>
              <w:jc w:val="right"/>
              <w:rPr>
                <w:sz w:val="15"/>
                <w:szCs w:val="15"/>
              </w:rPr>
            </w:pPr>
          </w:p>
        </w:tc>
        <w:tc>
          <w:tcPr>
            <w:tcW w:w="0" w:type="auto"/>
            <w:tcBorders>
              <w:top w:val="single" w:sz="4" w:space="0" w:color="auto"/>
              <w:left w:val="single" w:sz="4" w:space="0" w:color="auto"/>
              <w:bottom w:val="nil"/>
              <w:right w:val="single" w:sz="4" w:space="0" w:color="auto"/>
            </w:tcBorders>
            <w:shd w:val="clear" w:color="auto" w:fill="auto"/>
          </w:tcPr>
          <w:p w14:paraId="670C758E" w14:textId="77777777" w:rsidR="00120717" w:rsidRPr="00B93EE1" w:rsidRDefault="00120717" w:rsidP="00341D46">
            <w:pPr>
              <w:ind w:right="113"/>
              <w:jc w:val="right"/>
              <w:rPr>
                <w:sz w:val="15"/>
                <w:szCs w:val="15"/>
              </w:rPr>
            </w:pPr>
            <w:r w:rsidRPr="00B93EE1">
              <w:rPr>
                <w:sz w:val="15"/>
                <w:szCs w:val="15"/>
              </w:rPr>
              <w:t>126</w:t>
            </w:r>
          </w:p>
        </w:tc>
        <w:tc>
          <w:tcPr>
            <w:tcW w:w="0" w:type="auto"/>
            <w:tcBorders>
              <w:top w:val="single" w:sz="4" w:space="0" w:color="auto"/>
              <w:left w:val="single" w:sz="4" w:space="0" w:color="auto"/>
              <w:bottom w:val="nil"/>
              <w:right w:val="single" w:sz="4" w:space="0" w:color="auto"/>
            </w:tcBorders>
            <w:shd w:val="clear" w:color="auto" w:fill="auto"/>
          </w:tcPr>
          <w:p w14:paraId="6406B0CF" w14:textId="77777777" w:rsidR="00120717" w:rsidRPr="00B93EE1" w:rsidRDefault="00120717" w:rsidP="00341D46">
            <w:pPr>
              <w:ind w:right="113"/>
              <w:jc w:val="right"/>
              <w:rPr>
                <w:sz w:val="15"/>
                <w:szCs w:val="15"/>
              </w:rPr>
            </w:pPr>
            <w:r w:rsidRPr="00B93EE1">
              <w:rPr>
                <w:sz w:val="15"/>
                <w:szCs w:val="15"/>
              </w:rPr>
              <w:t>108</w:t>
            </w:r>
          </w:p>
        </w:tc>
        <w:tc>
          <w:tcPr>
            <w:tcW w:w="0" w:type="auto"/>
            <w:tcBorders>
              <w:top w:val="single" w:sz="4" w:space="0" w:color="auto"/>
              <w:left w:val="single" w:sz="4" w:space="0" w:color="auto"/>
              <w:bottom w:val="nil"/>
              <w:right w:val="single" w:sz="4" w:space="0" w:color="auto"/>
            </w:tcBorders>
            <w:shd w:val="clear" w:color="auto" w:fill="auto"/>
          </w:tcPr>
          <w:p w14:paraId="6FB9E870" w14:textId="77777777" w:rsidR="00120717" w:rsidRPr="00B93EE1" w:rsidRDefault="00120717" w:rsidP="00341D46">
            <w:pPr>
              <w:ind w:right="113"/>
              <w:jc w:val="right"/>
              <w:rPr>
                <w:sz w:val="15"/>
                <w:szCs w:val="15"/>
              </w:rPr>
            </w:pPr>
            <w:r w:rsidRPr="00B93EE1">
              <w:rPr>
                <w:sz w:val="15"/>
                <w:szCs w:val="15"/>
              </w:rPr>
              <w:t>86%</w:t>
            </w:r>
          </w:p>
        </w:tc>
        <w:tc>
          <w:tcPr>
            <w:tcW w:w="0" w:type="auto"/>
            <w:tcBorders>
              <w:top w:val="single" w:sz="4" w:space="0" w:color="auto"/>
              <w:left w:val="single" w:sz="4" w:space="0" w:color="auto"/>
              <w:bottom w:val="nil"/>
              <w:right w:val="single" w:sz="4" w:space="0" w:color="auto"/>
            </w:tcBorders>
            <w:shd w:val="clear" w:color="auto" w:fill="auto"/>
          </w:tcPr>
          <w:p w14:paraId="4A16F877" w14:textId="77777777" w:rsidR="00120717" w:rsidRPr="00B93EE1" w:rsidRDefault="00120717" w:rsidP="00341D46">
            <w:pPr>
              <w:ind w:right="113"/>
              <w:jc w:val="right"/>
              <w:rPr>
                <w:sz w:val="15"/>
                <w:szCs w:val="15"/>
              </w:rPr>
            </w:pPr>
            <w:r w:rsidRPr="00B93EE1">
              <w:rPr>
                <w:sz w:val="15"/>
                <w:szCs w:val="15"/>
              </w:rPr>
              <w:t>18</w:t>
            </w:r>
          </w:p>
        </w:tc>
        <w:tc>
          <w:tcPr>
            <w:tcW w:w="0" w:type="auto"/>
            <w:tcBorders>
              <w:top w:val="single" w:sz="4" w:space="0" w:color="auto"/>
              <w:left w:val="single" w:sz="4" w:space="0" w:color="auto"/>
              <w:bottom w:val="nil"/>
              <w:right w:val="single" w:sz="4" w:space="0" w:color="auto"/>
            </w:tcBorders>
            <w:shd w:val="clear" w:color="auto" w:fill="auto"/>
          </w:tcPr>
          <w:p w14:paraId="6E46B6BC" w14:textId="77777777" w:rsidR="00120717" w:rsidRPr="00B93EE1" w:rsidRDefault="00120717" w:rsidP="00341D46">
            <w:pPr>
              <w:ind w:right="113"/>
              <w:jc w:val="right"/>
              <w:rPr>
                <w:sz w:val="15"/>
                <w:szCs w:val="15"/>
              </w:rPr>
            </w:pPr>
            <w:r w:rsidRPr="00B93EE1">
              <w:rPr>
                <w:sz w:val="15"/>
                <w:szCs w:val="15"/>
              </w:rPr>
              <w:t>14%</w:t>
            </w:r>
          </w:p>
        </w:tc>
      </w:tr>
      <w:tr w:rsidR="00120717" w:rsidRPr="00B93EE1" w14:paraId="75973BE1" w14:textId="77777777" w:rsidTr="00341D46">
        <w:tc>
          <w:tcPr>
            <w:tcW w:w="0" w:type="auto"/>
            <w:vMerge/>
            <w:tcBorders>
              <w:top w:val="single" w:sz="4" w:space="0" w:color="auto"/>
              <w:left w:val="single" w:sz="4" w:space="0" w:color="auto"/>
              <w:bottom w:val="nil"/>
              <w:right w:val="single" w:sz="4" w:space="0" w:color="auto"/>
            </w:tcBorders>
            <w:shd w:val="clear" w:color="auto" w:fill="C9DED4"/>
            <w:vAlign w:val="center"/>
            <w:hideMark/>
          </w:tcPr>
          <w:p w14:paraId="24D6F7D8" w14:textId="77777777" w:rsidR="00120717" w:rsidRPr="00B93EE1" w:rsidRDefault="00120717" w:rsidP="000468F5">
            <w:pPr>
              <w:jc w:val="left"/>
              <w:rPr>
                <w:sz w:val="15"/>
                <w:szCs w:val="15"/>
              </w:rPr>
            </w:pPr>
          </w:p>
        </w:tc>
        <w:tc>
          <w:tcPr>
            <w:tcW w:w="2136" w:type="dxa"/>
            <w:tcBorders>
              <w:top w:val="nil"/>
              <w:left w:val="single" w:sz="4" w:space="0" w:color="auto"/>
              <w:bottom w:val="nil"/>
              <w:right w:val="single" w:sz="4" w:space="0" w:color="auto"/>
            </w:tcBorders>
            <w:shd w:val="clear" w:color="auto" w:fill="C9DED4"/>
            <w:hideMark/>
          </w:tcPr>
          <w:p w14:paraId="65EEE2BF" w14:textId="77777777" w:rsidR="00120717" w:rsidRPr="00B93EE1" w:rsidRDefault="00120717" w:rsidP="00341D46">
            <w:pPr>
              <w:rPr>
                <w:sz w:val="15"/>
                <w:szCs w:val="15"/>
              </w:rPr>
            </w:pPr>
            <w:r w:rsidRPr="00B93EE1">
              <w:rPr>
                <w:sz w:val="15"/>
                <w:szCs w:val="15"/>
              </w:rPr>
              <w:t>Sub-central government</w:t>
            </w:r>
          </w:p>
        </w:tc>
        <w:tc>
          <w:tcPr>
            <w:tcW w:w="1441" w:type="dxa"/>
            <w:tcBorders>
              <w:top w:val="nil"/>
              <w:left w:val="single" w:sz="4" w:space="0" w:color="auto"/>
              <w:bottom w:val="nil"/>
              <w:right w:val="single" w:sz="4" w:space="0" w:color="auto"/>
            </w:tcBorders>
            <w:shd w:val="clear" w:color="auto" w:fill="C9DED4"/>
          </w:tcPr>
          <w:p w14:paraId="187DABF4" w14:textId="77777777" w:rsidR="00120717" w:rsidRPr="00B93EE1" w:rsidRDefault="00120717" w:rsidP="00341D46">
            <w:pPr>
              <w:ind w:right="113"/>
              <w:jc w:val="right"/>
              <w:rPr>
                <w:sz w:val="15"/>
                <w:szCs w:val="15"/>
              </w:rPr>
            </w:pPr>
          </w:p>
        </w:tc>
        <w:tc>
          <w:tcPr>
            <w:tcW w:w="0" w:type="auto"/>
            <w:tcBorders>
              <w:top w:val="nil"/>
              <w:left w:val="single" w:sz="4" w:space="0" w:color="auto"/>
              <w:bottom w:val="nil"/>
              <w:right w:val="single" w:sz="4" w:space="0" w:color="auto"/>
            </w:tcBorders>
            <w:shd w:val="clear" w:color="auto" w:fill="C9DED4"/>
          </w:tcPr>
          <w:p w14:paraId="283A7F11" w14:textId="77777777" w:rsidR="00120717" w:rsidRPr="00B93EE1" w:rsidRDefault="00120717" w:rsidP="00341D46">
            <w:pPr>
              <w:ind w:right="113"/>
              <w:jc w:val="right"/>
              <w:rPr>
                <w:sz w:val="15"/>
                <w:szCs w:val="15"/>
              </w:rPr>
            </w:pPr>
            <w:r w:rsidRPr="00B93EE1">
              <w:rPr>
                <w:sz w:val="15"/>
                <w:szCs w:val="15"/>
              </w:rPr>
              <w:t>25</w:t>
            </w:r>
          </w:p>
        </w:tc>
        <w:tc>
          <w:tcPr>
            <w:tcW w:w="0" w:type="auto"/>
            <w:tcBorders>
              <w:top w:val="nil"/>
              <w:left w:val="single" w:sz="4" w:space="0" w:color="auto"/>
              <w:bottom w:val="nil"/>
              <w:right w:val="single" w:sz="4" w:space="0" w:color="auto"/>
            </w:tcBorders>
            <w:shd w:val="clear" w:color="auto" w:fill="C9DED4"/>
          </w:tcPr>
          <w:p w14:paraId="67297754" w14:textId="77777777" w:rsidR="00120717" w:rsidRPr="00B93EE1" w:rsidRDefault="00120717" w:rsidP="00341D46">
            <w:pPr>
              <w:ind w:right="113"/>
              <w:jc w:val="right"/>
              <w:rPr>
                <w:sz w:val="15"/>
                <w:szCs w:val="15"/>
              </w:rPr>
            </w:pPr>
            <w:r w:rsidRPr="00B93EE1">
              <w:rPr>
                <w:sz w:val="15"/>
                <w:szCs w:val="15"/>
              </w:rPr>
              <w:t>25</w:t>
            </w:r>
          </w:p>
        </w:tc>
        <w:tc>
          <w:tcPr>
            <w:tcW w:w="0" w:type="auto"/>
            <w:tcBorders>
              <w:top w:val="nil"/>
              <w:left w:val="single" w:sz="4" w:space="0" w:color="auto"/>
              <w:bottom w:val="nil"/>
              <w:right w:val="single" w:sz="4" w:space="0" w:color="auto"/>
            </w:tcBorders>
            <w:shd w:val="clear" w:color="auto" w:fill="C9DED4"/>
          </w:tcPr>
          <w:p w14:paraId="3CD3CEA5" w14:textId="77777777" w:rsidR="00120717" w:rsidRPr="00B93EE1" w:rsidRDefault="00120717" w:rsidP="00341D46">
            <w:pPr>
              <w:ind w:right="113"/>
              <w:jc w:val="right"/>
              <w:rPr>
                <w:sz w:val="15"/>
                <w:szCs w:val="15"/>
              </w:rPr>
            </w:pPr>
            <w:r w:rsidRPr="00B93EE1">
              <w:rPr>
                <w:sz w:val="15"/>
                <w:szCs w:val="15"/>
              </w:rPr>
              <w:t>99%</w:t>
            </w:r>
          </w:p>
        </w:tc>
        <w:tc>
          <w:tcPr>
            <w:tcW w:w="0" w:type="auto"/>
            <w:tcBorders>
              <w:top w:val="nil"/>
              <w:left w:val="single" w:sz="4" w:space="0" w:color="auto"/>
              <w:bottom w:val="nil"/>
              <w:right w:val="single" w:sz="4" w:space="0" w:color="auto"/>
            </w:tcBorders>
            <w:shd w:val="clear" w:color="auto" w:fill="C9DED4"/>
          </w:tcPr>
          <w:p w14:paraId="24AB76D2" w14:textId="77777777" w:rsidR="00120717" w:rsidRPr="00B93EE1" w:rsidRDefault="00120717" w:rsidP="00341D46">
            <w:pPr>
              <w:ind w:right="113"/>
              <w:jc w:val="right"/>
              <w:rPr>
                <w:sz w:val="15"/>
                <w:szCs w:val="15"/>
              </w:rPr>
            </w:pPr>
            <w:r w:rsidRPr="00B93EE1">
              <w:rPr>
                <w:sz w:val="15"/>
                <w:szCs w:val="15"/>
              </w:rPr>
              <w:t>0.4</w:t>
            </w:r>
          </w:p>
        </w:tc>
        <w:tc>
          <w:tcPr>
            <w:tcW w:w="0" w:type="auto"/>
            <w:tcBorders>
              <w:top w:val="nil"/>
              <w:left w:val="single" w:sz="4" w:space="0" w:color="auto"/>
              <w:bottom w:val="nil"/>
              <w:right w:val="single" w:sz="4" w:space="0" w:color="auto"/>
            </w:tcBorders>
            <w:shd w:val="clear" w:color="auto" w:fill="C9DED4"/>
          </w:tcPr>
          <w:p w14:paraId="60FA18D3" w14:textId="77777777" w:rsidR="00120717" w:rsidRPr="00B93EE1" w:rsidRDefault="00120717" w:rsidP="00341D46">
            <w:pPr>
              <w:ind w:right="113"/>
              <w:jc w:val="right"/>
              <w:rPr>
                <w:sz w:val="15"/>
                <w:szCs w:val="15"/>
              </w:rPr>
            </w:pPr>
            <w:r w:rsidRPr="00B93EE1">
              <w:rPr>
                <w:sz w:val="15"/>
                <w:szCs w:val="15"/>
              </w:rPr>
              <w:t>1%</w:t>
            </w:r>
          </w:p>
        </w:tc>
      </w:tr>
      <w:tr w:rsidR="00120717" w:rsidRPr="00B93EE1" w14:paraId="4046944F" w14:textId="77777777" w:rsidTr="00341D46">
        <w:tc>
          <w:tcPr>
            <w:tcW w:w="0" w:type="auto"/>
            <w:vMerge/>
            <w:tcBorders>
              <w:top w:val="single" w:sz="4" w:space="0" w:color="auto"/>
              <w:left w:val="single" w:sz="4" w:space="0" w:color="auto"/>
              <w:bottom w:val="nil"/>
              <w:right w:val="single" w:sz="4" w:space="0" w:color="auto"/>
            </w:tcBorders>
            <w:shd w:val="clear" w:color="auto" w:fill="auto"/>
            <w:vAlign w:val="center"/>
            <w:hideMark/>
          </w:tcPr>
          <w:p w14:paraId="45E10FCA" w14:textId="77777777" w:rsidR="00120717" w:rsidRPr="00B93EE1" w:rsidRDefault="00120717" w:rsidP="000468F5">
            <w:pPr>
              <w:jc w:val="left"/>
              <w:rPr>
                <w:sz w:val="15"/>
                <w:szCs w:val="15"/>
              </w:rPr>
            </w:pPr>
          </w:p>
        </w:tc>
        <w:tc>
          <w:tcPr>
            <w:tcW w:w="2136" w:type="dxa"/>
            <w:tcBorders>
              <w:top w:val="nil"/>
              <w:left w:val="single" w:sz="4" w:space="0" w:color="auto"/>
              <w:bottom w:val="nil"/>
              <w:right w:val="single" w:sz="4" w:space="0" w:color="auto"/>
            </w:tcBorders>
            <w:shd w:val="clear" w:color="auto" w:fill="auto"/>
            <w:hideMark/>
          </w:tcPr>
          <w:p w14:paraId="66278555" w14:textId="77777777" w:rsidR="00120717" w:rsidRPr="00B93EE1" w:rsidRDefault="00120717" w:rsidP="00341D46">
            <w:pPr>
              <w:rPr>
                <w:sz w:val="15"/>
                <w:szCs w:val="15"/>
              </w:rPr>
            </w:pPr>
            <w:r w:rsidRPr="00B93EE1">
              <w:rPr>
                <w:rFonts w:eastAsia="Times New Roman"/>
                <w:sz w:val="15"/>
                <w:szCs w:val="15"/>
              </w:rPr>
              <w:t>Other</w:t>
            </w:r>
          </w:p>
        </w:tc>
        <w:tc>
          <w:tcPr>
            <w:tcW w:w="1441" w:type="dxa"/>
            <w:tcBorders>
              <w:top w:val="nil"/>
              <w:left w:val="single" w:sz="4" w:space="0" w:color="auto"/>
              <w:bottom w:val="nil"/>
              <w:right w:val="single" w:sz="4" w:space="0" w:color="auto"/>
            </w:tcBorders>
            <w:shd w:val="clear" w:color="auto" w:fill="auto"/>
          </w:tcPr>
          <w:p w14:paraId="1532FCA0" w14:textId="77777777" w:rsidR="00120717" w:rsidRPr="00B93EE1" w:rsidRDefault="00120717" w:rsidP="00341D46">
            <w:pPr>
              <w:ind w:right="113"/>
              <w:jc w:val="right"/>
              <w:rPr>
                <w:sz w:val="15"/>
                <w:szCs w:val="15"/>
              </w:rPr>
            </w:pPr>
          </w:p>
        </w:tc>
        <w:tc>
          <w:tcPr>
            <w:tcW w:w="0" w:type="auto"/>
            <w:tcBorders>
              <w:top w:val="nil"/>
              <w:left w:val="single" w:sz="4" w:space="0" w:color="auto"/>
              <w:bottom w:val="nil"/>
              <w:right w:val="single" w:sz="4" w:space="0" w:color="auto"/>
            </w:tcBorders>
            <w:shd w:val="clear" w:color="auto" w:fill="auto"/>
          </w:tcPr>
          <w:p w14:paraId="60124B6F" w14:textId="77777777" w:rsidR="00120717" w:rsidRPr="00B93EE1" w:rsidRDefault="00120717" w:rsidP="00341D46">
            <w:pPr>
              <w:ind w:right="113"/>
              <w:jc w:val="right"/>
              <w:rPr>
                <w:sz w:val="15"/>
                <w:szCs w:val="15"/>
              </w:rPr>
            </w:pPr>
            <w:r w:rsidRPr="00B93EE1">
              <w:rPr>
                <w:sz w:val="15"/>
                <w:szCs w:val="15"/>
              </w:rPr>
              <w:t>92</w:t>
            </w:r>
          </w:p>
        </w:tc>
        <w:tc>
          <w:tcPr>
            <w:tcW w:w="0" w:type="auto"/>
            <w:tcBorders>
              <w:top w:val="nil"/>
              <w:left w:val="single" w:sz="4" w:space="0" w:color="auto"/>
              <w:bottom w:val="nil"/>
              <w:right w:val="single" w:sz="4" w:space="0" w:color="auto"/>
            </w:tcBorders>
            <w:shd w:val="clear" w:color="auto" w:fill="auto"/>
          </w:tcPr>
          <w:p w14:paraId="38E4BBD7" w14:textId="77777777" w:rsidR="00120717" w:rsidRPr="00B93EE1" w:rsidRDefault="00120717" w:rsidP="00341D46">
            <w:pPr>
              <w:ind w:right="113"/>
              <w:jc w:val="right"/>
              <w:rPr>
                <w:sz w:val="15"/>
                <w:szCs w:val="15"/>
              </w:rPr>
            </w:pPr>
            <w:r w:rsidRPr="00B93EE1">
              <w:rPr>
                <w:sz w:val="15"/>
                <w:szCs w:val="15"/>
              </w:rPr>
              <w:t>92</w:t>
            </w:r>
          </w:p>
        </w:tc>
        <w:tc>
          <w:tcPr>
            <w:tcW w:w="0" w:type="auto"/>
            <w:tcBorders>
              <w:top w:val="nil"/>
              <w:left w:val="single" w:sz="4" w:space="0" w:color="auto"/>
              <w:bottom w:val="nil"/>
              <w:right w:val="single" w:sz="4" w:space="0" w:color="auto"/>
            </w:tcBorders>
            <w:shd w:val="clear" w:color="auto" w:fill="auto"/>
          </w:tcPr>
          <w:p w14:paraId="3A06EAC4" w14:textId="77777777" w:rsidR="00120717" w:rsidRPr="00B93EE1" w:rsidRDefault="00120717" w:rsidP="00341D46">
            <w:pPr>
              <w:ind w:right="113"/>
              <w:jc w:val="right"/>
              <w:rPr>
                <w:sz w:val="15"/>
                <w:szCs w:val="15"/>
              </w:rPr>
            </w:pPr>
            <w:r w:rsidRPr="00B93EE1">
              <w:rPr>
                <w:sz w:val="15"/>
                <w:szCs w:val="15"/>
              </w:rPr>
              <w:t>100%</w:t>
            </w:r>
          </w:p>
        </w:tc>
        <w:tc>
          <w:tcPr>
            <w:tcW w:w="0" w:type="auto"/>
            <w:tcBorders>
              <w:top w:val="nil"/>
              <w:left w:val="single" w:sz="4" w:space="0" w:color="auto"/>
              <w:bottom w:val="nil"/>
              <w:right w:val="single" w:sz="4" w:space="0" w:color="auto"/>
            </w:tcBorders>
            <w:shd w:val="clear" w:color="auto" w:fill="auto"/>
          </w:tcPr>
          <w:p w14:paraId="36693BDE" w14:textId="77777777" w:rsidR="00120717" w:rsidRPr="00B93EE1" w:rsidRDefault="00120717" w:rsidP="00341D46">
            <w:pPr>
              <w:ind w:right="113"/>
              <w:jc w:val="right"/>
              <w:rPr>
                <w:sz w:val="15"/>
                <w:szCs w:val="15"/>
              </w:rPr>
            </w:pPr>
            <w:r w:rsidRPr="00B93EE1">
              <w:rPr>
                <w:sz w:val="15"/>
                <w:szCs w:val="15"/>
              </w:rPr>
              <w:t>-</w:t>
            </w:r>
          </w:p>
        </w:tc>
        <w:tc>
          <w:tcPr>
            <w:tcW w:w="0" w:type="auto"/>
            <w:tcBorders>
              <w:top w:val="nil"/>
              <w:left w:val="single" w:sz="4" w:space="0" w:color="auto"/>
              <w:bottom w:val="nil"/>
              <w:right w:val="single" w:sz="4" w:space="0" w:color="auto"/>
            </w:tcBorders>
            <w:shd w:val="clear" w:color="auto" w:fill="auto"/>
          </w:tcPr>
          <w:p w14:paraId="7E2A853E" w14:textId="77777777" w:rsidR="00120717" w:rsidRPr="00B93EE1" w:rsidRDefault="00120717" w:rsidP="00341D46">
            <w:pPr>
              <w:ind w:right="113"/>
              <w:jc w:val="right"/>
              <w:rPr>
                <w:sz w:val="15"/>
                <w:szCs w:val="15"/>
              </w:rPr>
            </w:pPr>
            <w:r w:rsidRPr="00B93EE1">
              <w:rPr>
                <w:sz w:val="15"/>
                <w:szCs w:val="15"/>
              </w:rPr>
              <w:t>0%</w:t>
            </w:r>
          </w:p>
        </w:tc>
      </w:tr>
      <w:tr w:rsidR="00120717" w:rsidRPr="00B93EE1" w14:paraId="7BB63BBC" w14:textId="77777777" w:rsidTr="00341D46">
        <w:tc>
          <w:tcPr>
            <w:tcW w:w="0" w:type="auto"/>
            <w:vMerge/>
            <w:tcBorders>
              <w:top w:val="single" w:sz="4" w:space="0" w:color="auto"/>
              <w:left w:val="single" w:sz="4" w:space="0" w:color="auto"/>
              <w:bottom w:val="nil"/>
              <w:right w:val="single" w:sz="4" w:space="0" w:color="auto"/>
            </w:tcBorders>
            <w:shd w:val="clear" w:color="auto" w:fill="C9DED4"/>
            <w:vAlign w:val="center"/>
            <w:hideMark/>
          </w:tcPr>
          <w:p w14:paraId="6EB46D0B" w14:textId="77777777" w:rsidR="00120717" w:rsidRPr="00B93EE1" w:rsidRDefault="00120717" w:rsidP="000468F5">
            <w:pPr>
              <w:jc w:val="left"/>
              <w:rPr>
                <w:sz w:val="15"/>
                <w:szCs w:val="15"/>
              </w:rPr>
            </w:pPr>
          </w:p>
        </w:tc>
        <w:tc>
          <w:tcPr>
            <w:tcW w:w="2136" w:type="dxa"/>
            <w:tcBorders>
              <w:top w:val="nil"/>
              <w:left w:val="single" w:sz="4" w:space="0" w:color="auto"/>
              <w:bottom w:val="single" w:sz="4" w:space="0" w:color="auto"/>
              <w:right w:val="single" w:sz="4" w:space="0" w:color="auto"/>
            </w:tcBorders>
            <w:shd w:val="clear" w:color="auto" w:fill="C9DED4"/>
            <w:hideMark/>
          </w:tcPr>
          <w:p w14:paraId="1AC830BD" w14:textId="77777777" w:rsidR="00120717" w:rsidRPr="00B93EE1" w:rsidRDefault="00120717" w:rsidP="00341D46">
            <w:pPr>
              <w:rPr>
                <w:sz w:val="15"/>
                <w:szCs w:val="15"/>
              </w:rPr>
            </w:pPr>
            <w:r w:rsidRPr="00B93EE1">
              <w:rPr>
                <w:sz w:val="15"/>
                <w:szCs w:val="15"/>
              </w:rPr>
              <w:t>Total</w:t>
            </w:r>
          </w:p>
        </w:tc>
        <w:tc>
          <w:tcPr>
            <w:tcW w:w="1441" w:type="dxa"/>
            <w:tcBorders>
              <w:top w:val="nil"/>
              <w:left w:val="single" w:sz="4" w:space="0" w:color="auto"/>
              <w:bottom w:val="single" w:sz="4" w:space="0" w:color="auto"/>
              <w:right w:val="single" w:sz="4" w:space="0" w:color="auto"/>
            </w:tcBorders>
            <w:shd w:val="clear" w:color="auto" w:fill="C9DED4"/>
          </w:tcPr>
          <w:p w14:paraId="0D029250" w14:textId="77777777" w:rsidR="00120717" w:rsidRPr="00B93EE1" w:rsidRDefault="00120717" w:rsidP="00341D46">
            <w:pPr>
              <w:ind w:right="113"/>
              <w:jc w:val="right"/>
              <w:rPr>
                <w:sz w:val="15"/>
                <w:szCs w:val="15"/>
              </w:rPr>
            </w:pPr>
            <w:r w:rsidRPr="00B93EE1">
              <w:rPr>
                <w:sz w:val="15"/>
                <w:szCs w:val="15"/>
              </w:rPr>
              <w:t>30,000</w:t>
            </w:r>
          </w:p>
        </w:tc>
        <w:tc>
          <w:tcPr>
            <w:tcW w:w="0" w:type="auto"/>
            <w:tcBorders>
              <w:top w:val="nil"/>
              <w:left w:val="single" w:sz="4" w:space="0" w:color="auto"/>
              <w:bottom w:val="single" w:sz="4" w:space="0" w:color="auto"/>
              <w:right w:val="single" w:sz="4" w:space="0" w:color="auto"/>
            </w:tcBorders>
            <w:shd w:val="clear" w:color="auto" w:fill="C9DED4"/>
          </w:tcPr>
          <w:p w14:paraId="36B3BDC3" w14:textId="77777777" w:rsidR="00120717" w:rsidRPr="00B93EE1" w:rsidRDefault="00120717" w:rsidP="00341D46">
            <w:pPr>
              <w:ind w:right="113"/>
              <w:jc w:val="right"/>
              <w:rPr>
                <w:sz w:val="15"/>
                <w:szCs w:val="15"/>
              </w:rPr>
            </w:pPr>
            <w:r w:rsidRPr="00B93EE1">
              <w:rPr>
                <w:sz w:val="15"/>
                <w:szCs w:val="15"/>
              </w:rPr>
              <w:t>243</w:t>
            </w:r>
          </w:p>
        </w:tc>
        <w:tc>
          <w:tcPr>
            <w:tcW w:w="0" w:type="auto"/>
            <w:tcBorders>
              <w:top w:val="nil"/>
              <w:left w:val="single" w:sz="4" w:space="0" w:color="auto"/>
              <w:bottom w:val="single" w:sz="4" w:space="0" w:color="auto"/>
              <w:right w:val="single" w:sz="4" w:space="0" w:color="auto"/>
            </w:tcBorders>
            <w:shd w:val="clear" w:color="auto" w:fill="C9DED4"/>
          </w:tcPr>
          <w:p w14:paraId="2883AC3F" w14:textId="77777777" w:rsidR="00120717" w:rsidRPr="00B93EE1" w:rsidRDefault="00120717" w:rsidP="00341D46">
            <w:pPr>
              <w:ind w:right="113"/>
              <w:jc w:val="right"/>
              <w:rPr>
                <w:sz w:val="15"/>
                <w:szCs w:val="15"/>
              </w:rPr>
            </w:pPr>
            <w:r w:rsidRPr="00B93EE1">
              <w:rPr>
                <w:sz w:val="15"/>
                <w:szCs w:val="15"/>
              </w:rPr>
              <w:t>225</w:t>
            </w:r>
          </w:p>
        </w:tc>
        <w:tc>
          <w:tcPr>
            <w:tcW w:w="0" w:type="auto"/>
            <w:tcBorders>
              <w:top w:val="nil"/>
              <w:left w:val="single" w:sz="4" w:space="0" w:color="auto"/>
              <w:bottom w:val="single" w:sz="4" w:space="0" w:color="auto"/>
              <w:right w:val="single" w:sz="4" w:space="0" w:color="auto"/>
            </w:tcBorders>
            <w:shd w:val="clear" w:color="auto" w:fill="C9DED4"/>
          </w:tcPr>
          <w:p w14:paraId="5E73AE86" w14:textId="77777777" w:rsidR="00120717" w:rsidRPr="00B93EE1" w:rsidRDefault="00120717" w:rsidP="00341D46">
            <w:pPr>
              <w:ind w:right="113"/>
              <w:jc w:val="right"/>
              <w:rPr>
                <w:sz w:val="15"/>
                <w:szCs w:val="15"/>
              </w:rPr>
            </w:pPr>
            <w:r w:rsidRPr="00B93EE1">
              <w:rPr>
                <w:sz w:val="15"/>
                <w:szCs w:val="15"/>
              </w:rPr>
              <w:t>93%</w:t>
            </w:r>
          </w:p>
        </w:tc>
        <w:tc>
          <w:tcPr>
            <w:tcW w:w="0" w:type="auto"/>
            <w:tcBorders>
              <w:top w:val="nil"/>
              <w:left w:val="single" w:sz="4" w:space="0" w:color="auto"/>
              <w:bottom w:val="single" w:sz="4" w:space="0" w:color="auto"/>
              <w:right w:val="single" w:sz="4" w:space="0" w:color="auto"/>
            </w:tcBorders>
            <w:shd w:val="clear" w:color="auto" w:fill="C9DED4"/>
          </w:tcPr>
          <w:p w14:paraId="16FB2904" w14:textId="77777777" w:rsidR="00120717" w:rsidRPr="00B93EE1" w:rsidRDefault="00120717" w:rsidP="00341D46">
            <w:pPr>
              <w:ind w:right="113"/>
              <w:jc w:val="right"/>
              <w:rPr>
                <w:sz w:val="15"/>
                <w:szCs w:val="15"/>
              </w:rPr>
            </w:pPr>
            <w:r w:rsidRPr="00B93EE1">
              <w:rPr>
                <w:sz w:val="15"/>
                <w:szCs w:val="15"/>
              </w:rPr>
              <w:t>18</w:t>
            </w:r>
          </w:p>
        </w:tc>
        <w:tc>
          <w:tcPr>
            <w:tcW w:w="0" w:type="auto"/>
            <w:tcBorders>
              <w:top w:val="nil"/>
              <w:left w:val="single" w:sz="4" w:space="0" w:color="auto"/>
              <w:bottom w:val="single" w:sz="4" w:space="0" w:color="auto"/>
              <w:right w:val="single" w:sz="4" w:space="0" w:color="auto"/>
            </w:tcBorders>
            <w:shd w:val="clear" w:color="auto" w:fill="C9DED4"/>
          </w:tcPr>
          <w:p w14:paraId="3C614C3B" w14:textId="77777777" w:rsidR="00120717" w:rsidRPr="00B93EE1" w:rsidRDefault="00120717" w:rsidP="00341D46">
            <w:pPr>
              <w:ind w:right="113"/>
              <w:jc w:val="right"/>
              <w:rPr>
                <w:sz w:val="15"/>
                <w:szCs w:val="15"/>
              </w:rPr>
            </w:pPr>
            <w:r w:rsidRPr="00B93EE1">
              <w:rPr>
                <w:sz w:val="15"/>
                <w:szCs w:val="15"/>
              </w:rPr>
              <w:t>7%</w:t>
            </w:r>
          </w:p>
        </w:tc>
      </w:tr>
      <w:tr w:rsidR="00120717" w:rsidRPr="00B93EE1" w14:paraId="699CB8AF" w14:textId="77777777" w:rsidTr="00341D46">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14:paraId="191EA65E" w14:textId="77777777" w:rsidR="00120717" w:rsidRPr="00B93EE1" w:rsidRDefault="00120717" w:rsidP="000468F5">
            <w:pPr>
              <w:spacing w:line="276" w:lineRule="auto"/>
              <w:jc w:val="left"/>
              <w:rPr>
                <w:rFonts w:eastAsia="Verdana" w:cs="Verdana"/>
                <w:sz w:val="15"/>
                <w:szCs w:val="15"/>
              </w:rPr>
            </w:pPr>
            <w:r w:rsidRPr="00B93EE1">
              <w:rPr>
                <w:rFonts w:eastAsia="Verdana" w:cs="Verdana"/>
                <w:sz w:val="15"/>
                <w:szCs w:val="15"/>
              </w:rPr>
              <w:t>2016</w:t>
            </w:r>
          </w:p>
        </w:tc>
        <w:tc>
          <w:tcPr>
            <w:tcW w:w="2136" w:type="dxa"/>
            <w:tcBorders>
              <w:top w:val="single" w:sz="4" w:space="0" w:color="auto"/>
              <w:left w:val="single" w:sz="4" w:space="0" w:color="auto"/>
              <w:bottom w:val="nil"/>
              <w:right w:val="single" w:sz="4" w:space="0" w:color="auto"/>
            </w:tcBorders>
            <w:shd w:val="clear" w:color="auto" w:fill="auto"/>
            <w:hideMark/>
          </w:tcPr>
          <w:p w14:paraId="47E11C6B" w14:textId="77777777" w:rsidR="00120717" w:rsidRPr="00B93EE1" w:rsidRDefault="00120717" w:rsidP="00341D46">
            <w:pPr>
              <w:rPr>
                <w:sz w:val="15"/>
                <w:szCs w:val="15"/>
              </w:rPr>
            </w:pPr>
            <w:r w:rsidRPr="00B93EE1">
              <w:rPr>
                <w:sz w:val="15"/>
                <w:szCs w:val="15"/>
              </w:rPr>
              <w:t>Central government</w:t>
            </w:r>
          </w:p>
        </w:tc>
        <w:tc>
          <w:tcPr>
            <w:tcW w:w="1441" w:type="dxa"/>
            <w:tcBorders>
              <w:top w:val="single" w:sz="4" w:space="0" w:color="auto"/>
              <w:left w:val="single" w:sz="4" w:space="0" w:color="auto"/>
              <w:bottom w:val="nil"/>
              <w:right w:val="single" w:sz="4" w:space="0" w:color="auto"/>
            </w:tcBorders>
            <w:shd w:val="clear" w:color="auto" w:fill="auto"/>
          </w:tcPr>
          <w:p w14:paraId="220C1E86" w14:textId="77777777" w:rsidR="00120717" w:rsidRPr="00B93EE1" w:rsidRDefault="00120717" w:rsidP="00341D46">
            <w:pPr>
              <w:ind w:right="113"/>
              <w:jc w:val="right"/>
              <w:rPr>
                <w:sz w:val="15"/>
                <w:szCs w:val="15"/>
              </w:rPr>
            </w:pPr>
          </w:p>
        </w:tc>
        <w:tc>
          <w:tcPr>
            <w:tcW w:w="0" w:type="auto"/>
            <w:tcBorders>
              <w:top w:val="single" w:sz="4" w:space="0" w:color="auto"/>
              <w:left w:val="single" w:sz="4" w:space="0" w:color="auto"/>
              <w:bottom w:val="nil"/>
              <w:right w:val="single" w:sz="4" w:space="0" w:color="auto"/>
            </w:tcBorders>
            <w:shd w:val="clear" w:color="auto" w:fill="auto"/>
          </w:tcPr>
          <w:p w14:paraId="45FBB280" w14:textId="77777777" w:rsidR="00120717" w:rsidRPr="00B93EE1" w:rsidRDefault="00120717" w:rsidP="00341D46">
            <w:pPr>
              <w:ind w:right="113"/>
              <w:jc w:val="right"/>
              <w:rPr>
                <w:sz w:val="15"/>
                <w:szCs w:val="15"/>
              </w:rPr>
            </w:pPr>
            <w:r w:rsidRPr="00B93EE1">
              <w:rPr>
                <w:sz w:val="15"/>
                <w:szCs w:val="15"/>
              </w:rPr>
              <w:t>4,732</w:t>
            </w:r>
          </w:p>
        </w:tc>
        <w:tc>
          <w:tcPr>
            <w:tcW w:w="0" w:type="auto"/>
            <w:tcBorders>
              <w:top w:val="single" w:sz="4" w:space="0" w:color="auto"/>
              <w:left w:val="single" w:sz="4" w:space="0" w:color="auto"/>
              <w:bottom w:val="nil"/>
              <w:right w:val="single" w:sz="4" w:space="0" w:color="auto"/>
            </w:tcBorders>
            <w:shd w:val="clear" w:color="auto" w:fill="auto"/>
          </w:tcPr>
          <w:p w14:paraId="63FBBEB3" w14:textId="77777777" w:rsidR="00120717" w:rsidRPr="00B93EE1" w:rsidRDefault="00120717" w:rsidP="00341D46">
            <w:pPr>
              <w:ind w:right="113"/>
              <w:jc w:val="right"/>
              <w:rPr>
                <w:sz w:val="15"/>
                <w:szCs w:val="15"/>
              </w:rPr>
            </w:pPr>
            <w:r w:rsidRPr="00B93EE1">
              <w:rPr>
                <w:sz w:val="15"/>
                <w:szCs w:val="15"/>
              </w:rPr>
              <w:t>4,459</w:t>
            </w:r>
          </w:p>
        </w:tc>
        <w:tc>
          <w:tcPr>
            <w:tcW w:w="0" w:type="auto"/>
            <w:tcBorders>
              <w:top w:val="single" w:sz="4" w:space="0" w:color="auto"/>
              <w:left w:val="single" w:sz="4" w:space="0" w:color="auto"/>
              <w:bottom w:val="nil"/>
              <w:right w:val="single" w:sz="4" w:space="0" w:color="auto"/>
            </w:tcBorders>
            <w:shd w:val="clear" w:color="auto" w:fill="auto"/>
          </w:tcPr>
          <w:p w14:paraId="4BCFCFF0" w14:textId="77777777" w:rsidR="00120717" w:rsidRPr="00B93EE1" w:rsidRDefault="00120717" w:rsidP="00341D46">
            <w:pPr>
              <w:ind w:right="113"/>
              <w:jc w:val="right"/>
              <w:rPr>
                <w:sz w:val="15"/>
                <w:szCs w:val="15"/>
              </w:rPr>
            </w:pPr>
            <w:r w:rsidRPr="00B93EE1">
              <w:rPr>
                <w:sz w:val="15"/>
                <w:szCs w:val="15"/>
              </w:rPr>
              <w:t>94%</w:t>
            </w:r>
          </w:p>
        </w:tc>
        <w:tc>
          <w:tcPr>
            <w:tcW w:w="0" w:type="auto"/>
            <w:tcBorders>
              <w:top w:val="single" w:sz="4" w:space="0" w:color="auto"/>
              <w:left w:val="single" w:sz="4" w:space="0" w:color="auto"/>
              <w:bottom w:val="nil"/>
              <w:right w:val="single" w:sz="4" w:space="0" w:color="auto"/>
            </w:tcBorders>
            <w:shd w:val="clear" w:color="auto" w:fill="auto"/>
          </w:tcPr>
          <w:p w14:paraId="7E690E23" w14:textId="77777777" w:rsidR="00120717" w:rsidRPr="00B93EE1" w:rsidRDefault="00120717" w:rsidP="00341D46">
            <w:pPr>
              <w:ind w:right="113"/>
              <w:jc w:val="right"/>
              <w:rPr>
                <w:sz w:val="15"/>
                <w:szCs w:val="15"/>
              </w:rPr>
            </w:pPr>
            <w:r w:rsidRPr="00B93EE1">
              <w:rPr>
                <w:sz w:val="15"/>
                <w:szCs w:val="15"/>
              </w:rPr>
              <w:t>273</w:t>
            </w:r>
          </w:p>
        </w:tc>
        <w:tc>
          <w:tcPr>
            <w:tcW w:w="0" w:type="auto"/>
            <w:tcBorders>
              <w:top w:val="single" w:sz="4" w:space="0" w:color="auto"/>
              <w:left w:val="single" w:sz="4" w:space="0" w:color="auto"/>
              <w:bottom w:val="nil"/>
              <w:right w:val="single" w:sz="4" w:space="0" w:color="auto"/>
            </w:tcBorders>
            <w:shd w:val="clear" w:color="auto" w:fill="auto"/>
          </w:tcPr>
          <w:p w14:paraId="1F5060C2" w14:textId="77777777" w:rsidR="00120717" w:rsidRPr="00B93EE1" w:rsidRDefault="00120717" w:rsidP="00341D46">
            <w:pPr>
              <w:ind w:right="113"/>
              <w:jc w:val="right"/>
              <w:rPr>
                <w:sz w:val="15"/>
                <w:szCs w:val="15"/>
              </w:rPr>
            </w:pPr>
            <w:r w:rsidRPr="00B93EE1">
              <w:rPr>
                <w:sz w:val="15"/>
                <w:szCs w:val="15"/>
              </w:rPr>
              <w:t>6%</w:t>
            </w:r>
          </w:p>
        </w:tc>
      </w:tr>
      <w:tr w:rsidR="00120717" w:rsidRPr="00B93EE1" w14:paraId="3345EBAC" w14:textId="77777777" w:rsidTr="00341D46">
        <w:tc>
          <w:tcPr>
            <w:tcW w:w="0" w:type="auto"/>
            <w:vMerge/>
            <w:tcBorders>
              <w:top w:val="single" w:sz="4" w:space="0" w:color="auto"/>
              <w:left w:val="single" w:sz="4" w:space="0" w:color="auto"/>
              <w:bottom w:val="nil"/>
              <w:right w:val="single" w:sz="4" w:space="0" w:color="auto"/>
            </w:tcBorders>
            <w:shd w:val="clear" w:color="auto" w:fill="C9DED4"/>
            <w:vAlign w:val="center"/>
            <w:hideMark/>
          </w:tcPr>
          <w:p w14:paraId="3C65F2FB"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nil"/>
              <w:right w:val="single" w:sz="4" w:space="0" w:color="auto"/>
            </w:tcBorders>
            <w:shd w:val="clear" w:color="auto" w:fill="C9DED4"/>
            <w:hideMark/>
          </w:tcPr>
          <w:p w14:paraId="2E27661F" w14:textId="77777777" w:rsidR="00120717" w:rsidRPr="00B93EE1" w:rsidRDefault="00120717" w:rsidP="00341D46">
            <w:pPr>
              <w:rPr>
                <w:sz w:val="15"/>
                <w:szCs w:val="15"/>
              </w:rPr>
            </w:pPr>
            <w:r w:rsidRPr="00B93EE1">
              <w:rPr>
                <w:sz w:val="15"/>
                <w:szCs w:val="15"/>
              </w:rPr>
              <w:t>Sub-central government</w:t>
            </w:r>
          </w:p>
        </w:tc>
        <w:tc>
          <w:tcPr>
            <w:tcW w:w="1441" w:type="dxa"/>
            <w:tcBorders>
              <w:top w:val="nil"/>
              <w:left w:val="single" w:sz="4" w:space="0" w:color="auto"/>
              <w:bottom w:val="nil"/>
              <w:right w:val="single" w:sz="4" w:space="0" w:color="auto"/>
            </w:tcBorders>
            <w:shd w:val="clear" w:color="auto" w:fill="C9DED4"/>
          </w:tcPr>
          <w:p w14:paraId="38856C0F" w14:textId="77777777" w:rsidR="00120717" w:rsidRPr="00B93EE1" w:rsidRDefault="00120717" w:rsidP="00341D46">
            <w:pPr>
              <w:ind w:right="113"/>
              <w:jc w:val="right"/>
              <w:rPr>
                <w:sz w:val="15"/>
                <w:szCs w:val="15"/>
              </w:rPr>
            </w:pPr>
          </w:p>
        </w:tc>
        <w:tc>
          <w:tcPr>
            <w:tcW w:w="0" w:type="auto"/>
            <w:tcBorders>
              <w:top w:val="nil"/>
              <w:left w:val="single" w:sz="4" w:space="0" w:color="auto"/>
              <w:bottom w:val="nil"/>
              <w:right w:val="single" w:sz="4" w:space="0" w:color="auto"/>
            </w:tcBorders>
            <w:shd w:val="clear" w:color="auto" w:fill="C9DED4"/>
          </w:tcPr>
          <w:p w14:paraId="718F4926" w14:textId="77777777" w:rsidR="00120717" w:rsidRPr="00B93EE1" w:rsidRDefault="00120717" w:rsidP="00341D46">
            <w:pPr>
              <w:ind w:right="113"/>
              <w:jc w:val="right"/>
              <w:rPr>
                <w:sz w:val="15"/>
                <w:szCs w:val="15"/>
              </w:rPr>
            </w:pPr>
            <w:r w:rsidRPr="00B93EE1">
              <w:rPr>
                <w:sz w:val="15"/>
                <w:szCs w:val="15"/>
              </w:rPr>
              <w:t>692</w:t>
            </w:r>
          </w:p>
        </w:tc>
        <w:tc>
          <w:tcPr>
            <w:tcW w:w="0" w:type="auto"/>
            <w:tcBorders>
              <w:top w:val="nil"/>
              <w:left w:val="single" w:sz="4" w:space="0" w:color="auto"/>
              <w:bottom w:val="nil"/>
              <w:right w:val="single" w:sz="4" w:space="0" w:color="auto"/>
            </w:tcBorders>
            <w:shd w:val="clear" w:color="auto" w:fill="C9DED4"/>
          </w:tcPr>
          <w:p w14:paraId="20F61E82" w14:textId="77777777" w:rsidR="00120717" w:rsidRPr="00B93EE1" w:rsidRDefault="00120717" w:rsidP="00341D46">
            <w:pPr>
              <w:ind w:right="113"/>
              <w:jc w:val="right"/>
              <w:rPr>
                <w:sz w:val="15"/>
                <w:szCs w:val="15"/>
              </w:rPr>
            </w:pPr>
            <w:r w:rsidRPr="00B93EE1">
              <w:rPr>
                <w:sz w:val="15"/>
                <w:szCs w:val="15"/>
              </w:rPr>
              <w:t>464</w:t>
            </w:r>
          </w:p>
        </w:tc>
        <w:tc>
          <w:tcPr>
            <w:tcW w:w="0" w:type="auto"/>
            <w:tcBorders>
              <w:top w:val="nil"/>
              <w:left w:val="single" w:sz="4" w:space="0" w:color="auto"/>
              <w:bottom w:val="nil"/>
              <w:right w:val="single" w:sz="4" w:space="0" w:color="auto"/>
            </w:tcBorders>
            <w:shd w:val="clear" w:color="auto" w:fill="C9DED4"/>
          </w:tcPr>
          <w:p w14:paraId="1CFD23B1" w14:textId="77777777" w:rsidR="00120717" w:rsidRPr="00B93EE1" w:rsidRDefault="00120717" w:rsidP="00341D46">
            <w:pPr>
              <w:ind w:right="113"/>
              <w:jc w:val="right"/>
              <w:rPr>
                <w:sz w:val="15"/>
                <w:szCs w:val="15"/>
              </w:rPr>
            </w:pPr>
            <w:r w:rsidRPr="00B93EE1">
              <w:rPr>
                <w:sz w:val="15"/>
                <w:szCs w:val="15"/>
              </w:rPr>
              <w:t>67%</w:t>
            </w:r>
          </w:p>
        </w:tc>
        <w:tc>
          <w:tcPr>
            <w:tcW w:w="0" w:type="auto"/>
            <w:tcBorders>
              <w:top w:val="nil"/>
              <w:left w:val="single" w:sz="4" w:space="0" w:color="auto"/>
              <w:bottom w:val="nil"/>
              <w:right w:val="single" w:sz="4" w:space="0" w:color="auto"/>
            </w:tcBorders>
            <w:shd w:val="clear" w:color="auto" w:fill="C9DED4"/>
          </w:tcPr>
          <w:p w14:paraId="364EF533" w14:textId="77777777" w:rsidR="00120717" w:rsidRPr="00B93EE1" w:rsidRDefault="00120717" w:rsidP="00341D46">
            <w:pPr>
              <w:ind w:right="113"/>
              <w:jc w:val="right"/>
              <w:rPr>
                <w:sz w:val="15"/>
                <w:szCs w:val="15"/>
              </w:rPr>
            </w:pPr>
            <w:r w:rsidRPr="00B93EE1">
              <w:rPr>
                <w:sz w:val="15"/>
                <w:szCs w:val="15"/>
              </w:rPr>
              <w:t>228</w:t>
            </w:r>
          </w:p>
        </w:tc>
        <w:tc>
          <w:tcPr>
            <w:tcW w:w="0" w:type="auto"/>
            <w:tcBorders>
              <w:top w:val="nil"/>
              <w:left w:val="single" w:sz="4" w:space="0" w:color="auto"/>
              <w:bottom w:val="nil"/>
              <w:right w:val="single" w:sz="4" w:space="0" w:color="auto"/>
            </w:tcBorders>
            <w:shd w:val="clear" w:color="auto" w:fill="C9DED4"/>
          </w:tcPr>
          <w:p w14:paraId="0E216C57" w14:textId="77777777" w:rsidR="00120717" w:rsidRPr="00B93EE1" w:rsidRDefault="00120717" w:rsidP="00341D46">
            <w:pPr>
              <w:ind w:right="113"/>
              <w:jc w:val="right"/>
              <w:rPr>
                <w:sz w:val="15"/>
                <w:szCs w:val="15"/>
              </w:rPr>
            </w:pPr>
            <w:r w:rsidRPr="00B93EE1">
              <w:rPr>
                <w:sz w:val="15"/>
                <w:szCs w:val="15"/>
              </w:rPr>
              <w:t>33%</w:t>
            </w:r>
          </w:p>
        </w:tc>
      </w:tr>
      <w:tr w:rsidR="00120717" w:rsidRPr="00B93EE1" w14:paraId="612472D4" w14:textId="77777777" w:rsidTr="00341D46">
        <w:tc>
          <w:tcPr>
            <w:tcW w:w="0" w:type="auto"/>
            <w:vMerge/>
            <w:tcBorders>
              <w:top w:val="single" w:sz="4" w:space="0" w:color="auto"/>
              <w:left w:val="single" w:sz="4" w:space="0" w:color="auto"/>
              <w:bottom w:val="nil"/>
              <w:right w:val="single" w:sz="4" w:space="0" w:color="auto"/>
            </w:tcBorders>
            <w:shd w:val="clear" w:color="auto" w:fill="auto"/>
            <w:vAlign w:val="center"/>
            <w:hideMark/>
          </w:tcPr>
          <w:p w14:paraId="1C6EE374"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nil"/>
              <w:right w:val="single" w:sz="4" w:space="0" w:color="auto"/>
            </w:tcBorders>
            <w:shd w:val="clear" w:color="auto" w:fill="auto"/>
            <w:hideMark/>
          </w:tcPr>
          <w:p w14:paraId="651894EE" w14:textId="77777777" w:rsidR="00120717" w:rsidRPr="00B93EE1" w:rsidRDefault="00120717" w:rsidP="00341D46">
            <w:pPr>
              <w:rPr>
                <w:sz w:val="15"/>
                <w:szCs w:val="15"/>
              </w:rPr>
            </w:pPr>
            <w:r w:rsidRPr="00B93EE1">
              <w:rPr>
                <w:rFonts w:eastAsia="Times New Roman"/>
                <w:sz w:val="15"/>
                <w:szCs w:val="15"/>
              </w:rPr>
              <w:t>Other</w:t>
            </w:r>
          </w:p>
        </w:tc>
        <w:tc>
          <w:tcPr>
            <w:tcW w:w="1441" w:type="dxa"/>
            <w:tcBorders>
              <w:top w:val="nil"/>
              <w:left w:val="single" w:sz="4" w:space="0" w:color="auto"/>
              <w:bottom w:val="nil"/>
              <w:right w:val="single" w:sz="4" w:space="0" w:color="auto"/>
            </w:tcBorders>
            <w:shd w:val="clear" w:color="auto" w:fill="auto"/>
          </w:tcPr>
          <w:p w14:paraId="7B166CB6" w14:textId="77777777" w:rsidR="00120717" w:rsidRPr="00B93EE1" w:rsidRDefault="00120717" w:rsidP="00341D46">
            <w:pPr>
              <w:ind w:right="113"/>
              <w:jc w:val="right"/>
              <w:rPr>
                <w:sz w:val="15"/>
                <w:szCs w:val="15"/>
              </w:rPr>
            </w:pPr>
          </w:p>
        </w:tc>
        <w:tc>
          <w:tcPr>
            <w:tcW w:w="0" w:type="auto"/>
            <w:tcBorders>
              <w:top w:val="nil"/>
              <w:left w:val="single" w:sz="4" w:space="0" w:color="auto"/>
              <w:bottom w:val="nil"/>
              <w:right w:val="single" w:sz="4" w:space="0" w:color="auto"/>
            </w:tcBorders>
            <w:shd w:val="clear" w:color="auto" w:fill="auto"/>
          </w:tcPr>
          <w:p w14:paraId="265584CB" w14:textId="77777777" w:rsidR="00120717" w:rsidRPr="00B93EE1" w:rsidRDefault="00120717" w:rsidP="00341D46">
            <w:pPr>
              <w:ind w:right="113"/>
              <w:jc w:val="right"/>
              <w:rPr>
                <w:sz w:val="15"/>
                <w:szCs w:val="15"/>
              </w:rPr>
            </w:pPr>
            <w:r w:rsidRPr="00B93EE1">
              <w:rPr>
                <w:sz w:val="15"/>
                <w:szCs w:val="15"/>
              </w:rPr>
              <w:t>384</w:t>
            </w:r>
          </w:p>
        </w:tc>
        <w:tc>
          <w:tcPr>
            <w:tcW w:w="0" w:type="auto"/>
            <w:tcBorders>
              <w:top w:val="nil"/>
              <w:left w:val="single" w:sz="4" w:space="0" w:color="auto"/>
              <w:bottom w:val="nil"/>
              <w:right w:val="single" w:sz="4" w:space="0" w:color="auto"/>
            </w:tcBorders>
            <w:shd w:val="clear" w:color="auto" w:fill="auto"/>
          </w:tcPr>
          <w:p w14:paraId="39D43132" w14:textId="77777777" w:rsidR="00120717" w:rsidRPr="00B93EE1" w:rsidRDefault="00120717" w:rsidP="00341D46">
            <w:pPr>
              <w:ind w:right="113"/>
              <w:jc w:val="right"/>
              <w:rPr>
                <w:sz w:val="15"/>
                <w:szCs w:val="15"/>
              </w:rPr>
            </w:pPr>
            <w:r w:rsidRPr="00B93EE1">
              <w:rPr>
                <w:sz w:val="15"/>
                <w:szCs w:val="15"/>
              </w:rPr>
              <w:t>379</w:t>
            </w:r>
          </w:p>
        </w:tc>
        <w:tc>
          <w:tcPr>
            <w:tcW w:w="0" w:type="auto"/>
            <w:tcBorders>
              <w:top w:val="nil"/>
              <w:left w:val="single" w:sz="4" w:space="0" w:color="auto"/>
              <w:bottom w:val="nil"/>
              <w:right w:val="single" w:sz="4" w:space="0" w:color="auto"/>
            </w:tcBorders>
            <w:shd w:val="clear" w:color="auto" w:fill="auto"/>
          </w:tcPr>
          <w:p w14:paraId="1C700FA7" w14:textId="77777777" w:rsidR="00120717" w:rsidRPr="00B93EE1" w:rsidRDefault="00120717" w:rsidP="00341D46">
            <w:pPr>
              <w:ind w:right="113"/>
              <w:jc w:val="right"/>
              <w:rPr>
                <w:sz w:val="15"/>
                <w:szCs w:val="15"/>
              </w:rPr>
            </w:pPr>
            <w:r w:rsidRPr="00B93EE1">
              <w:rPr>
                <w:sz w:val="15"/>
                <w:szCs w:val="15"/>
              </w:rPr>
              <w:t>99%</w:t>
            </w:r>
          </w:p>
        </w:tc>
        <w:tc>
          <w:tcPr>
            <w:tcW w:w="0" w:type="auto"/>
            <w:tcBorders>
              <w:top w:val="nil"/>
              <w:left w:val="single" w:sz="4" w:space="0" w:color="auto"/>
              <w:bottom w:val="nil"/>
              <w:right w:val="single" w:sz="4" w:space="0" w:color="auto"/>
            </w:tcBorders>
            <w:shd w:val="clear" w:color="auto" w:fill="auto"/>
          </w:tcPr>
          <w:p w14:paraId="12152DE5" w14:textId="77777777" w:rsidR="00120717" w:rsidRPr="00B93EE1" w:rsidRDefault="00120717" w:rsidP="00341D46">
            <w:pPr>
              <w:ind w:right="113"/>
              <w:jc w:val="right"/>
              <w:rPr>
                <w:sz w:val="15"/>
                <w:szCs w:val="15"/>
              </w:rPr>
            </w:pPr>
            <w:r w:rsidRPr="00B93EE1">
              <w:rPr>
                <w:sz w:val="15"/>
                <w:szCs w:val="15"/>
              </w:rPr>
              <w:t>5</w:t>
            </w:r>
          </w:p>
        </w:tc>
        <w:tc>
          <w:tcPr>
            <w:tcW w:w="0" w:type="auto"/>
            <w:tcBorders>
              <w:top w:val="nil"/>
              <w:left w:val="single" w:sz="4" w:space="0" w:color="auto"/>
              <w:bottom w:val="nil"/>
              <w:right w:val="single" w:sz="4" w:space="0" w:color="auto"/>
            </w:tcBorders>
            <w:shd w:val="clear" w:color="auto" w:fill="auto"/>
          </w:tcPr>
          <w:p w14:paraId="518E74D2" w14:textId="77777777" w:rsidR="00120717" w:rsidRPr="00B93EE1" w:rsidRDefault="00120717" w:rsidP="00341D46">
            <w:pPr>
              <w:ind w:right="113"/>
              <w:jc w:val="right"/>
              <w:rPr>
                <w:sz w:val="15"/>
                <w:szCs w:val="15"/>
              </w:rPr>
            </w:pPr>
            <w:r w:rsidRPr="00B93EE1">
              <w:rPr>
                <w:sz w:val="15"/>
                <w:szCs w:val="15"/>
              </w:rPr>
              <w:t>1%</w:t>
            </w:r>
          </w:p>
        </w:tc>
      </w:tr>
      <w:tr w:rsidR="00120717" w:rsidRPr="00B93EE1" w14:paraId="1E7375E0" w14:textId="77777777" w:rsidTr="00341D46">
        <w:tc>
          <w:tcPr>
            <w:tcW w:w="0" w:type="auto"/>
            <w:vMerge/>
            <w:tcBorders>
              <w:top w:val="single" w:sz="4" w:space="0" w:color="auto"/>
              <w:left w:val="single" w:sz="4" w:space="0" w:color="auto"/>
              <w:bottom w:val="nil"/>
              <w:right w:val="single" w:sz="4" w:space="0" w:color="auto"/>
            </w:tcBorders>
            <w:shd w:val="clear" w:color="auto" w:fill="C9DED4"/>
            <w:vAlign w:val="center"/>
            <w:hideMark/>
          </w:tcPr>
          <w:p w14:paraId="4E56275A"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single" w:sz="4" w:space="0" w:color="auto"/>
              <w:right w:val="single" w:sz="4" w:space="0" w:color="auto"/>
            </w:tcBorders>
            <w:shd w:val="clear" w:color="auto" w:fill="C9DED4"/>
            <w:hideMark/>
          </w:tcPr>
          <w:p w14:paraId="5A307698" w14:textId="77777777" w:rsidR="00120717" w:rsidRPr="00B93EE1" w:rsidRDefault="00120717" w:rsidP="00341D46">
            <w:pPr>
              <w:rPr>
                <w:sz w:val="15"/>
                <w:szCs w:val="15"/>
              </w:rPr>
            </w:pPr>
            <w:r w:rsidRPr="00B93EE1">
              <w:rPr>
                <w:sz w:val="15"/>
                <w:szCs w:val="15"/>
              </w:rPr>
              <w:t>Total</w:t>
            </w:r>
          </w:p>
        </w:tc>
        <w:tc>
          <w:tcPr>
            <w:tcW w:w="1441" w:type="dxa"/>
            <w:tcBorders>
              <w:top w:val="nil"/>
              <w:left w:val="single" w:sz="4" w:space="0" w:color="auto"/>
              <w:bottom w:val="single" w:sz="4" w:space="0" w:color="auto"/>
              <w:right w:val="single" w:sz="4" w:space="0" w:color="auto"/>
            </w:tcBorders>
            <w:shd w:val="clear" w:color="auto" w:fill="C9DED4"/>
          </w:tcPr>
          <w:p w14:paraId="10428954" w14:textId="77777777" w:rsidR="00120717" w:rsidRPr="00B93EE1" w:rsidRDefault="00120717" w:rsidP="00341D46">
            <w:pPr>
              <w:ind w:right="113"/>
              <w:jc w:val="right"/>
              <w:rPr>
                <w:sz w:val="15"/>
                <w:szCs w:val="15"/>
              </w:rPr>
            </w:pPr>
            <w:r w:rsidRPr="00B93EE1">
              <w:rPr>
                <w:sz w:val="15"/>
                <w:szCs w:val="15"/>
              </w:rPr>
              <w:t>30,000</w:t>
            </w:r>
          </w:p>
        </w:tc>
        <w:tc>
          <w:tcPr>
            <w:tcW w:w="0" w:type="auto"/>
            <w:tcBorders>
              <w:top w:val="nil"/>
              <w:left w:val="single" w:sz="4" w:space="0" w:color="auto"/>
              <w:bottom w:val="single" w:sz="4" w:space="0" w:color="auto"/>
              <w:right w:val="single" w:sz="4" w:space="0" w:color="auto"/>
            </w:tcBorders>
            <w:shd w:val="clear" w:color="auto" w:fill="C9DED4"/>
          </w:tcPr>
          <w:p w14:paraId="639B0267" w14:textId="77777777" w:rsidR="00120717" w:rsidRPr="00B93EE1" w:rsidRDefault="00120717" w:rsidP="00341D46">
            <w:pPr>
              <w:ind w:right="113"/>
              <w:jc w:val="right"/>
              <w:rPr>
                <w:sz w:val="15"/>
                <w:szCs w:val="15"/>
              </w:rPr>
            </w:pPr>
            <w:r w:rsidRPr="00B93EE1">
              <w:rPr>
                <w:sz w:val="15"/>
                <w:szCs w:val="15"/>
              </w:rPr>
              <w:t>6,295</w:t>
            </w:r>
          </w:p>
        </w:tc>
        <w:tc>
          <w:tcPr>
            <w:tcW w:w="0" w:type="auto"/>
            <w:tcBorders>
              <w:top w:val="nil"/>
              <w:left w:val="single" w:sz="4" w:space="0" w:color="auto"/>
              <w:bottom w:val="single" w:sz="4" w:space="0" w:color="auto"/>
              <w:right w:val="single" w:sz="4" w:space="0" w:color="auto"/>
            </w:tcBorders>
            <w:shd w:val="clear" w:color="auto" w:fill="C9DED4"/>
          </w:tcPr>
          <w:p w14:paraId="4CB80DAC" w14:textId="77777777" w:rsidR="00120717" w:rsidRPr="00B93EE1" w:rsidRDefault="00120717" w:rsidP="00341D46">
            <w:pPr>
              <w:ind w:right="113"/>
              <w:jc w:val="right"/>
              <w:rPr>
                <w:sz w:val="15"/>
                <w:szCs w:val="15"/>
              </w:rPr>
            </w:pPr>
            <w:r w:rsidRPr="00B93EE1">
              <w:rPr>
                <w:sz w:val="15"/>
                <w:szCs w:val="15"/>
              </w:rPr>
              <w:t>5,302</w:t>
            </w:r>
          </w:p>
        </w:tc>
        <w:tc>
          <w:tcPr>
            <w:tcW w:w="0" w:type="auto"/>
            <w:tcBorders>
              <w:top w:val="nil"/>
              <w:left w:val="single" w:sz="4" w:space="0" w:color="auto"/>
              <w:bottom w:val="single" w:sz="4" w:space="0" w:color="auto"/>
              <w:right w:val="single" w:sz="4" w:space="0" w:color="auto"/>
            </w:tcBorders>
            <w:shd w:val="clear" w:color="auto" w:fill="C9DED4"/>
          </w:tcPr>
          <w:p w14:paraId="4BF15AAC" w14:textId="77777777" w:rsidR="00120717" w:rsidRPr="00B93EE1" w:rsidRDefault="00120717" w:rsidP="00341D46">
            <w:pPr>
              <w:ind w:right="113"/>
              <w:jc w:val="right"/>
              <w:rPr>
                <w:sz w:val="15"/>
                <w:szCs w:val="15"/>
              </w:rPr>
            </w:pPr>
            <w:r w:rsidRPr="00B93EE1">
              <w:rPr>
                <w:sz w:val="15"/>
                <w:szCs w:val="15"/>
              </w:rPr>
              <w:t>91%</w:t>
            </w:r>
          </w:p>
        </w:tc>
        <w:tc>
          <w:tcPr>
            <w:tcW w:w="0" w:type="auto"/>
            <w:tcBorders>
              <w:top w:val="nil"/>
              <w:left w:val="single" w:sz="4" w:space="0" w:color="auto"/>
              <w:bottom w:val="single" w:sz="4" w:space="0" w:color="auto"/>
              <w:right w:val="single" w:sz="4" w:space="0" w:color="auto"/>
            </w:tcBorders>
            <w:shd w:val="clear" w:color="auto" w:fill="C9DED4"/>
          </w:tcPr>
          <w:p w14:paraId="05305480" w14:textId="77777777" w:rsidR="00120717" w:rsidRPr="00B93EE1" w:rsidRDefault="00120717" w:rsidP="00341D46">
            <w:pPr>
              <w:ind w:right="113"/>
              <w:jc w:val="right"/>
              <w:rPr>
                <w:sz w:val="15"/>
                <w:szCs w:val="15"/>
              </w:rPr>
            </w:pPr>
            <w:r w:rsidRPr="00B93EE1">
              <w:rPr>
                <w:sz w:val="15"/>
                <w:szCs w:val="15"/>
              </w:rPr>
              <w:t>506</w:t>
            </w:r>
          </w:p>
        </w:tc>
        <w:tc>
          <w:tcPr>
            <w:tcW w:w="0" w:type="auto"/>
            <w:tcBorders>
              <w:top w:val="nil"/>
              <w:left w:val="single" w:sz="4" w:space="0" w:color="auto"/>
              <w:bottom w:val="single" w:sz="4" w:space="0" w:color="auto"/>
              <w:right w:val="single" w:sz="4" w:space="0" w:color="auto"/>
            </w:tcBorders>
            <w:shd w:val="clear" w:color="auto" w:fill="C9DED4"/>
          </w:tcPr>
          <w:p w14:paraId="2A266813" w14:textId="77777777" w:rsidR="00120717" w:rsidRPr="00B93EE1" w:rsidRDefault="00120717" w:rsidP="00341D46">
            <w:pPr>
              <w:ind w:right="113"/>
              <w:jc w:val="right"/>
              <w:rPr>
                <w:sz w:val="15"/>
                <w:szCs w:val="15"/>
              </w:rPr>
            </w:pPr>
            <w:r w:rsidRPr="00B93EE1">
              <w:rPr>
                <w:sz w:val="15"/>
                <w:szCs w:val="15"/>
              </w:rPr>
              <w:t>9%</w:t>
            </w:r>
          </w:p>
        </w:tc>
      </w:tr>
      <w:tr w:rsidR="00120717" w:rsidRPr="00B93EE1" w14:paraId="253D288D" w14:textId="77777777" w:rsidTr="00341D46">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14:paraId="4E7DC51A" w14:textId="77777777" w:rsidR="00120717" w:rsidRPr="00B93EE1" w:rsidRDefault="00120717" w:rsidP="000468F5">
            <w:pPr>
              <w:spacing w:line="276" w:lineRule="auto"/>
              <w:jc w:val="left"/>
              <w:rPr>
                <w:rFonts w:eastAsia="Verdana" w:cs="Verdana"/>
                <w:sz w:val="15"/>
                <w:szCs w:val="15"/>
              </w:rPr>
            </w:pPr>
            <w:r w:rsidRPr="00B93EE1">
              <w:rPr>
                <w:rFonts w:eastAsia="Verdana" w:cs="Verdana"/>
                <w:sz w:val="15"/>
                <w:szCs w:val="15"/>
              </w:rPr>
              <w:t>2017</w:t>
            </w:r>
          </w:p>
        </w:tc>
        <w:tc>
          <w:tcPr>
            <w:tcW w:w="2136" w:type="dxa"/>
            <w:tcBorders>
              <w:top w:val="single" w:sz="4" w:space="0" w:color="auto"/>
              <w:left w:val="single" w:sz="4" w:space="0" w:color="auto"/>
              <w:bottom w:val="nil"/>
              <w:right w:val="single" w:sz="4" w:space="0" w:color="auto"/>
            </w:tcBorders>
            <w:shd w:val="clear" w:color="auto" w:fill="auto"/>
            <w:hideMark/>
          </w:tcPr>
          <w:p w14:paraId="49FF4F29" w14:textId="77777777" w:rsidR="00120717" w:rsidRPr="00B93EE1" w:rsidRDefault="00120717" w:rsidP="00341D46">
            <w:pPr>
              <w:rPr>
                <w:sz w:val="15"/>
                <w:szCs w:val="15"/>
              </w:rPr>
            </w:pPr>
            <w:r w:rsidRPr="00B93EE1">
              <w:rPr>
                <w:sz w:val="15"/>
                <w:szCs w:val="15"/>
              </w:rPr>
              <w:t>Central government</w:t>
            </w:r>
          </w:p>
        </w:tc>
        <w:tc>
          <w:tcPr>
            <w:tcW w:w="1441" w:type="dxa"/>
            <w:tcBorders>
              <w:top w:val="single" w:sz="4" w:space="0" w:color="auto"/>
              <w:left w:val="single" w:sz="4" w:space="0" w:color="auto"/>
              <w:bottom w:val="nil"/>
              <w:right w:val="single" w:sz="4" w:space="0" w:color="auto"/>
            </w:tcBorders>
            <w:shd w:val="clear" w:color="auto" w:fill="auto"/>
          </w:tcPr>
          <w:p w14:paraId="628CB421" w14:textId="77777777" w:rsidR="00120717" w:rsidRPr="00B93EE1" w:rsidRDefault="00120717" w:rsidP="00341D46">
            <w:pPr>
              <w:ind w:right="113"/>
              <w:jc w:val="right"/>
              <w:rPr>
                <w:sz w:val="15"/>
                <w:szCs w:val="15"/>
              </w:rPr>
            </w:pPr>
          </w:p>
        </w:tc>
        <w:tc>
          <w:tcPr>
            <w:tcW w:w="0" w:type="auto"/>
            <w:tcBorders>
              <w:top w:val="single" w:sz="4" w:space="0" w:color="auto"/>
              <w:left w:val="single" w:sz="4" w:space="0" w:color="auto"/>
              <w:bottom w:val="nil"/>
              <w:right w:val="single" w:sz="4" w:space="0" w:color="auto"/>
            </w:tcBorders>
            <w:shd w:val="clear" w:color="auto" w:fill="auto"/>
          </w:tcPr>
          <w:p w14:paraId="4AE746D4" w14:textId="77777777" w:rsidR="00120717" w:rsidRPr="00B93EE1" w:rsidRDefault="00120717" w:rsidP="00341D46">
            <w:pPr>
              <w:ind w:right="113"/>
              <w:jc w:val="right"/>
              <w:rPr>
                <w:rFonts w:eastAsia="Times New Roman" w:cs="Arial"/>
                <w:color w:val="000000"/>
                <w:sz w:val="15"/>
                <w:szCs w:val="15"/>
              </w:rPr>
            </w:pPr>
            <w:r w:rsidRPr="00B93EE1">
              <w:rPr>
                <w:rFonts w:cs="Arial"/>
                <w:color w:val="000000"/>
                <w:sz w:val="15"/>
                <w:szCs w:val="15"/>
              </w:rPr>
              <w:t>1,102</w:t>
            </w:r>
          </w:p>
        </w:tc>
        <w:tc>
          <w:tcPr>
            <w:tcW w:w="0" w:type="auto"/>
            <w:tcBorders>
              <w:top w:val="single" w:sz="4" w:space="0" w:color="auto"/>
              <w:left w:val="single" w:sz="4" w:space="0" w:color="auto"/>
              <w:bottom w:val="nil"/>
              <w:right w:val="single" w:sz="4" w:space="0" w:color="auto"/>
            </w:tcBorders>
            <w:shd w:val="clear" w:color="auto" w:fill="auto"/>
          </w:tcPr>
          <w:p w14:paraId="259521FD" w14:textId="77777777" w:rsidR="00120717" w:rsidRPr="00B93EE1" w:rsidRDefault="00120717" w:rsidP="00341D46">
            <w:pPr>
              <w:ind w:right="113"/>
              <w:jc w:val="right"/>
              <w:rPr>
                <w:sz w:val="15"/>
                <w:szCs w:val="15"/>
              </w:rPr>
            </w:pPr>
            <w:r w:rsidRPr="00B93EE1">
              <w:rPr>
                <w:sz w:val="15"/>
                <w:szCs w:val="15"/>
              </w:rPr>
              <w:t>829</w:t>
            </w:r>
          </w:p>
        </w:tc>
        <w:tc>
          <w:tcPr>
            <w:tcW w:w="0" w:type="auto"/>
            <w:tcBorders>
              <w:top w:val="single" w:sz="4" w:space="0" w:color="auto"/>
              <w:left w:val="single" w:sz="4" w:space="0" w:color="auto"/>
              <w:bottom w:val="nil"/>
              <w:right w:val="single" w:sz="4" w:space="0" w:color="auto"/>
            </w:tcBorders>
            <w:shd w:val="clear" w:color="auto" w:fill="auto"/>
          </w:tcPr>
          <w:p w14:paraId="65459AC2" w14:textId="77777777" w:rsidR="00120717" w:rsidRPr="00B93EE1" w:rsidRDefault="00120717" w:rsidP="00341D46">
            <w:pPr>
              <w:ind w:right="113"/>
              <w:jc w:val="right"/>
              <w:rPr>
                <w:sz w:val="15"/>
                <w:szCs w:val="15"/>
              </w:rPr>
            </w:pPr>
            <w:r w:rsidRPr="00B93EE1">
              <w:rPr>
                <w:sz w:val="15"/>
                <w:szCs w:val="15"/>
              </w:rPr>
              <w:t>75%</w:t>
            </w:r>
          </w:p>
        </w:tc>
        <w:tc>
          <w:tcPr>
            <w:tcW w:w="0" w:type="auto"/>
            <w:tcBorders>
              <w:top w:val="single" w:sz="4" w:space="0" w:color="auto"/>
              <w:left w:val="single" w:sz="4" w:space="0" w:color="auto"/>
              <w:bottom w:val="nil"/>
              <w:right w:val="single" w:sz="4" w:space="0" w:color="auto"/>
            </w:tcBorders>
            <w:shd w:val="clear" w:color="auto" w:fill="auto"/>
          </w:tcPr>
          <w:p w14:paraId="3A4EF8FE" w14:textId="77777777" w:rsidR="00120717" w:rsidRPr="00B93EE1" w:rsidRDefault="00120717" w:rsidP="00341D46">
            <w:pPr>
              <w:ind w:right="113"/>
              <w:jc w:val="right"/>
              <w:rPr>
                <w:sz w:val="15"/>
                <w:szCs w:val="15"/>
              </w:rPr>
            </w:pPr>
            <w:r w:rsidRPr="00B93EE1">
              <w:rPr>
                <w:sz w:val="15"/>
                <w:szCs w:val="15"/>
              </w:rPr>
              <w:t>273</w:t>
            </w:r>
          </w:p>
        </w:tc>
        <w:tc>
          <w:tcPr>
            <w:tcW w:w="0" w:type="auto"/>
            <w:tcBorders>
              <w:top w:val="single" w:sz="4" w:space="0" w:color="auto"/>
              <w:left w:val="single" w:sz="4" w:space="0" w:color="auto"/>
              <w:bottom w:val="nil"/>
              <w:right w:val="single" w:sz="4" w:space="0" w:color="auto"/>
            </w:tcBorders>
            <w:shd w:val="clear" w:color="auto" w:fill="auto"/>
          </w:tcPr>
          <w:p w14:paraId="02B2ED10" w14:textId="77777777" w:rsidR="00120717" w:rsidRPr="00B93EE1" w:rsidRDefault="00120717" w:rsidP="00341D46">
            <w:pPr>
              <w:ind w:right="113"/>
              <w:jc w:val="right"/>
              <w:rPr>
                <w:sz w:val="15"/>
                <w:szCs w:val="15"/>
              </w:rPr>
            </w:pPr>
            <w:r w:rsidRPr="00B93EE1">
              <w:rPr>
                <w:sz w:val="15"/>
                <w:szCs w:val="15"/>
              </w:rPr>
              <w:t>25%</w:t>
            </w:r>
          </w:p>
        </w:tc>
      </w:tr>
      <w:tr w:rsidR="00120717" w:rsidRPr="00B93EE1" w14:paraId="38453054" w14:textId="77777777" w:rsidTr="00341D46">
        <w:tc>
          <w:tcPr>
            <w:tcW w:w="0" w:type="auto"/>
            <w:vMerge/>
            <w:tcBorders>
              <w:top w:val="single" w:sz="4" w:space="0" w:color="auto"/>
              <w:left w:val="single" w:sz="4" w:space="0" w:color="auto"/>
              <w:bottom w:val="nil"/>
              <w:right w:val="single" w:sz="4" w:space="0" w:color="auto"/>
            </w:tcBorders>
            <w:shd w:val="clear" w:color="auto" w:fill="C9DED4"/>
            <w:vAlign w:val="center"/>
            <w:hideMark/>
          </w:tcPr>
          <w:p w14:paraId="3649635F"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nil"/>
              <w:right w:val="single" w:sz="4" w:space="0" w:color="auto"/>
            </w:tcBorders>
            <w:shd w:val="clear" w:color="auto" w:fill="C9DED4"/>
            <w:hideMark/>
          </w:tcPr>
          <w:p w14:paraId="3875FC31" w14:textId="77777777" w:rsidR="00120717" w:rsidRPr="00B93EE1" w:rsidRDefault="00120717" w:rsidP="00341D46">
            <w:pPr>
              <w:rPr>
                <w:sz w:val="15"/>
                <w:szCs w:val="15"/>
              </w:rPr>
            </w:pPr>
            <w:r w:rsidRPr="00B93EE1">
              <w:rPr>
                <w:sz w:val="15"/>
                <w:szCs w:val="15"/>
              </w:rPr>
              <w:t>Sub-central government</w:t>
            </w:r>
          </w:p>
        </w:tc>
        <w:tc>
          <w:tcPr>
            <w:tcW w:w="1441" w:type="dxa"/>
            <w:tcBorders>
              <w:top w:val="nil"/>
              <w:left w:val="single" w:sz="4" w:space="0" w:color="auto"/>
              <w:bottom w:val="nil"/>
              <w:right w:val="single" w:sz="4" w:space="0" w:color="auto"/>
            </w:tcBorders>
            <w:shd w:val="clear" w:color="auto" w:fill="C9DED4"/>
          </w:tcPr>
          <w:p w14:paraId="2158C4FC" w14:textId="77777777" w:rsidR="00120717" w:rsidRPr="00B93EE1" w:rsidRDefault="00120717" w:rsidP="00341D46">
            <w:pPr>
              <w:ind w:right="113"/>
              <w:jc w:val="right"/>
              <w:rPr>
                <w:sz w:val="15"/>
                <w:szCs w:val="15"/>
              </w:rPr>
            </w:pPr>
          </w:p>
        </w:tc>
        <w:tc>
          <w:tcPr>
            <w:tcW w:w="0" w:type="auto"/>
            <w:tcBorders>
              <w:top w:val="nil"/>
              <w:left w:val="single" w:sz="4" w:space="0" w:color="auto"/>
              <w:bottom w:val="nil"/>
              <w:right w:val="single" w:sz="4" w:space="0" w:color="auto"/>
            </w:tcBorders>
            <w:shd w:val="clear" w:color="auto" w:fill="C9DED4"/>
          </w:tcPr>
          <w:p w14:paraId="6589C193" w14:textId="77777777" w:rsidR="00120717" w:rsidRPr="00B93EE1" w:rsidRDefault="00120717" w:rsidP="00341D46">
            <w:pPr>
              <w:ind w:right="113"/>
              <w:jc w:val="right"/>
              <w:rPr>
                <w:sz w:val="15"/>
                <w:szCs w:val="15"/>
              </w:rPr>
            </w:pPr>
            <w:r w:rsidRPr="00B93EE1">
              <w:rPr>
                <w:sz w:val="15"/>
                <w:szCs w:val="15"/>
              </w:rPr>
              <w:t>3,417</w:t>
            </w:r>
          </w:p>
        </w:tc>
        <w:tc>
          <w:tcPr>
            <w:tcW w:w="0" w:type="auto"/>
            <w:tcBorders>
              <w:top w:val="nil"/>
              <w:left w:val="single" w:sz="4" w:space="0" w:color="auto"/>
              <w:bottom w:val="nil"/>
              <w:right w:val="single" w:sz="4" w:space="0" w:color="auto"/>
            </w:tcBorders>
            <w:shd w:val="clear" w:color="auto" w:fill="C9DED4"/>
          </w:tcPr>
          <w:p w14:paraId="70D40FEC" w14:textId="77777777" w:rsidR="00120717" w:rsidRPr="00B93EE1" w:rsidRDefault="00120717" w:rsidP="00341D46">
            <w:pPr>
              <w:tabs>
                <w:tab w:val="left" w:pos="388"/>
                <w:tab w:val="center" w:pos="670"/>
              </w:tabs>
              <w:ind w:right="113"/>
              <w:jc w:val="right"/>
              <w:rPr>
                <w:sz w:val="15"/>
                <w:szCs w:val="15"/>
              </w:rPr>
            </w:pPr>
            <w:r w:rsidRPr="00B93EE1">
              <w:rPr>
                <w:rFonts w:cs="Arial"/>
                <w:color w:val="000000"/>
                <w:sz w:val="15"/>
                <w:szCs w:val="15"/>
              </w:rPr>
              <w:t>3,366</w:t>
            </w:r>
          </w:p>
        </w:tc>
        <w:tc>
          <w:tcPr>
            <w:tcW w:w="0" w:type="auto"/>
            <w:tcBorders>
              <w:top w:val="nil"/>
              <w:left w:val="single" w:sz="4" w:space="0" w:color="auto"/>
              <w:bottom w:val="nil"/>
              <w:right w:val="single" w:sz="4" w:space="0" w:color="auto"/>
            </w:tcBorders>
            <w:shd w:val="clear" w:color="auto" w:fill="C9DED4"/>
          </w:tcPr>
          <w:p w14:paraId="1273C3AD" w14:textId="77777777" w:rsidR="00120717" w:rsidRPr="00B93EE1" w:rsidRDefault="00120717" w:rsidP="00341D46">
            <w:pPr>
              <w:ind w:right="113"/>
              <w:jc w:val="right"/>
              <w:rPr>
                <w:sz w:val="15"/>
                <w:szCs w:val="15"/>
              </w:rPr>
            </w:pPr>
            <w:r w:rsidRPr="00B93EE1">
              <w:rPr>
                <w:sz w:val="15"/>
                <w:szCs w:val="15"/>
              </w:rPr>
              <w:t>99%</w:t>
            </w:r>
          </w:p>
        </w:tc>
        <w:tc>
          <w:tcPr>
            <w:tcW w:w="0" w:type="auto"/>
            <w:tcBorders>
              <w:top w:val="nil"/>
              <w:left w:val="single" w:sz="4" w:space="0" w:color="auto"/>
              <w:bottom w:val="nil"/>
              <w:right w:val="single" w:sz="4" w:space="0" w:color="auto"/>
            </w:tcBorders>
            <w:shd w:val="clear" w:color="auto" w:fill="C9DED4"/>
          </w:tcPr>
          <w:p w14:paraId="7E268FE5" w14:textId="77777777" w:rsidR="00120717" w:rsidRPr="00B93EE1" w:rsidRDefault="00120717" w:rsidP="00341D46">
            <w:pPr>
              <w:ind w:right="113"/>
              <w:jc w:val="right"/>
              <w:rPr>
                <w:sz w:val="15"/>
                <w:szCs w:val="15"/>
              </w:rPr>
            </w:pPr>
            <w:r w:rsidRPr="00B93EE1">
              <w:rPr>
                <w:rFonts w:cs="Arial"/>
                <w:color w:val="000000"/>
                <w:sz w:val="15"/>
                <w:szCs w:val="15"/>
              </w:rPr>
              <w:t>51</w:t>
            </w:r>
          </w:p>
        </w:tc>
        <w:tc>
          <w:tcPr>
            <w:tcW w:w="0" w:type="auto"/>
            <w:tcBorders>
              <w:top w:val="nil"/>
              <w:left w:val="single" w:sz="4" w:space="0" w:color="auto"/>
              <w:bottom w:val="nil"/>
              <w:right w:val="single" w:sz="4" w:space="0" w:color="auto"/>
            </w:tcBorders>
            <w:shd w:val="clear" w:color="auto" w:fill="C9DED4"/>
          </w:tcPr>
          <w:p w14:paraId="286B5268" w14:textId="77777777" w:rsidR="00120717" w:rsidRPr="00B93EE1" w:rsidRDefault="00120717" w:rsidP="00341D46">
            <w:pPr>
              <w:ind w:right="113"/>
              <w:jc w:val="right"/>
              <w:rPr>
                <w:sz w:val="15"/>
                <w:szCs w:val="15"/>
              </w:rPr>
            </w:pPr>
            <w:r w:rsidRPr="00B93EE1">
              <w:rPr>
                <w:sz w:val="15"/>
                <w:szCs w:val="15"/>
              </w:rPr>
              <w:t>1%</w:t>
            </w:r>
          </w:p>
        </w:tc>
      </w:tr>
      <w:tr w:rsidR="00120717" w:rsidRPr="00B93EE1" w14:paraId="7BBFD45C" w14:textId="77777777" w:rsidTr="00341D46">
        <w:tc>
          <w:tcPr>
            <w:tcW w:w="0" w:type="auto"/>
            <w:vMerge/>
            <w:tcBorders>
              <w:top w:val="single" w:sz="4" w:space="0" w:color="auto"/>
              <w:left w:val="single" w:sz="4" w:space="0" w:color="auto"/>
              <w:bottom w:val="nil"/>
              <w:right w:val="single" w:sz="4" w:space="0" w:color="auto"/>
            </w:tcBorders>
            <w:shd w:val="clear" w:color="auto" w:fill="auto"/>
            <w:vAlign w:val="center"/>
            <w:hideMark/>
          </w:tcPr>
          <w:p w14:paraId="515BEA78"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nil"/>
              <w:right w:val="single" w:sz="4" w:space="0" w:color="auto"/>
            </w:tcBorders>
            <w:shd w:val="clear" w:color="auto" w:fill="auto"/>
            <w:hideMark/>
          </w:tcPr>
          <w:p w14:paraId="4E3EE345" w14:textId="77777777" w:rsidR="00120717" w:rsidRPr="00B93EE1" w:rsidRDefault="00120717" w:rsidP="00341D46">
            <w:pPr>
              <w:rPr>
                <w:sz w:val="15"/>
                <w:szCs w:val="15"/>
              </w:rPr>
            </w:pPr>
            <w:r w:rsidRPr="00B93EE1">
              <w:rPr>
                <w:rFonts w:eastAsia="Times New Roman"/>
                <w:sz w:val="15"/>
                <w:szCs w:val="15"/>
              </w:rPr>
              <w:t>Other</w:t>
            </w:r>
          </w:p>
        </w:tc>
        <w:tc>
          <w:tcPr>
            <w:tcW w:w="1441" w:type="dxa"/>
            <w:tcBorders>
              <w:top w:val="nil"/>
              <w:left w:val="single" w:sz="4" w:space="0" w:color="auto"/>
              <w:bottom w:val="nil"/>
              <w:right w:val="single" w:sz="4" w:space="0" w:color="auto"/>
            </w:tcBorders>
            <w:shd w:val="clear" w:color="auto" w:fill="auto"/>
          </w:tcPr>
          <w:p w14:paraId="5DA1BA90" w14:textId="77777777" w:rsidR="00120717" w:rsidRPr="00B93EE1" w:rsidRDefault="00120717" w:rsidP="00341D46">
            <w:pPr>
              <w:ind w:right="113"/>
              <w:jc w:val="right"/>
              <w:rPr>
                <w:sz w:val="15"/>
                <w:szCs w:val="15"/>
              </w:rPr>
            </w:pPr>
          </w:p>
        </w:tc>
        <w:tc>
          <w:tcPr>
            <w:tcW w:w="0" w:type="auto"/>
            <w:tcBorders>
              <w:top w:val="nil"/>
              <w:left w:val="single" w:sz="4" w:space="0" w:color="auto"/>
              <w:bottom w:val="nil"/>
              <w:right w:val="single" w:sz="4" w:space="0" w:color="auto"/>
            </w:tcBorders>
            <w:shd w:val="clear" w:color="auto" w:fill="auto"/>
          </w:tcPr>
          <w:p w14:paraId="207F00C1" w14:textId="77777777" w:rsidR="00120717" w:rsidRPr="00B93EE1" w:rsidRDefault="00120717" w:rsidP="00341D46">
            <w:pPr>
              <w:ind w:right="113"/>
              <w:jc w:val="right"/>
              <w:rPr>
                <w:sz w:val="15"/>
                <w:szCs w:val="15"/>
              </w:rPr>
            </w:pPr>
            <w:r w:rsidRPr="00B93EE1">
              <w:rPr>
                <w:rFonts w:cs="Arial"/>
                <w:color w:val="000000"/>
                <w:sz w:val="15"/>
                <w:szCs w:val="15"/>
              </w:rPr>
              <w:t>2,180</w:t>
            </w:r>
          </w:p>
        </w:tc>
        <w:tc>
          <w:tcPr>
            <w:tcW w:w="0" w:type="auto"/>
            <w:tcBorders>
              <w:top w:val="nil"/>
              <w:left w:val="single" w:sz="4" w:space="0" w:color="auto"/>
              <w:bottom w:val="nil"/>
              <w:right w:val="single" w:sz="4" w:space="0" w:color="auto"/>
            </w:tcBorders>
            <w:shd w:val="clear" w:color="auto" w:fill="auto"/>
          </w:tcPr>
          <w:p w14:paraId="434CA8CE" w14:textId="77777777" w:rsidR="00120717" w:rsidRPr="00B93EE1" w:rsidRDefault="00120717" w:rsidP="00341D46">
            <w:pPr>
              <w:ind w:right="113"/>
              <w:jc w:val="right"/>
              <w:rPr>
                <w:sz w:val="15"/>
                <w:szCs w:val="15"/>
              </w:rPr>
            </w:pPr>
            <w:r w:rsidRPr="00B93EE1">
              <w:rPr>
                <w:sz w:val="15"/>
                <w:szCs w:val="15"/>
              </w:rPr>
              <w:t>2,157</w:t>
            </w:r>
          </w:p>
        </w:tc>
        <w:tc>
          <w:tcPr>
            <w:tcW w:w="0" w:type="auto"/>
            <w:tcBorders>
              <w:top w:val="nil"/>
              <w:left w:val="single" w:sz="4" w:space="0" w:color="auto"/>
              <w:bottom w:val="nil"/>
              <w:right w:val="single" w:sz="4" w:space="0" w:color="auto"/>
            </w:tcBorders>
            <w:shd w:val="clear" w:color="auto" w:fill="auto"/>
          </w:tcPr>
          <w:p w14:paraId="6EF4C59E" w14:textId="77777777" w:rsidR="00120717" w:rsidRPr="00B93EE1" w:rsidRDefault="00120717" w:rsidP="00341D46">
            <w:pPr>
              <w:ind w:right="113"/>
              <w:jc w:val="right"/>
              <w:rPr>
                <w:sz w:val="15"/>
                <w:szCs w:val="15"/>
              </w:rPr>
            </w:pPr>
            <w:r w:rsidRPr="00B93EE1">
              <w:rPr>
                <w:sz w:val="15"/>
                <w:szCs w:val="15"/>
              </w:rPr>
              <w:t>98%</w:t>
            </w:r>
          </w:p>
        </w:tc>
        <w:tc>
          <w:tcPr>
            <w:tcW w:w="0" w:type="auto"/>
            <w:tcBorders>
              <w:top w:val="nil"/>
              <w:left w:val="single" w:sz="4" w:space="0" w:color="auto"/>
              <w:bottom w:val="nil"/>
              <w:right w:val="single" w:sz="4" w:space="0" w:color="auto"/>
            </w:tcBorders>
            <w:shd w:val="clear" w:color="auto" w:fill="auto"/>
          </w:tcPr>
          <w:p w14:paraId="3F4E35FC" w14:textId="77777777" w:rsidR="00120717" w:rsidRPr="00B93EE1" w:rsidRDefault="00120717" w:rsidP="00341D46">
            <w:pPr>
              <w:ind w:right="113"/>
              <w:jc w:val="right"/>
              <w:rPr>
                <w:sz w:val="15"/>
                <w:szCs w:val="15"/>
              </w:rPr>
            </w:pPr>
            <w:r w:rsidRPr="00B93EE1">
              <w:rPr>
                <w:rFonts w:cs="Arial"/>
                <w:color w:val="000000"/>
                <w:sz w:val="15"/>
                <w:szCs w:val="15"/>
              </w:rPr>
              <w:t>23</w:t>
            </w:r>
          </w:p>
        </w:tc>
        <w:tc>
          <w:tcPr>
            <w:tcW w:w="0" w:type="auto"/>
            <w:tcBorders>
              <w:top w:val="nil"/>
              <w:left w:val="single" w:sz="4" w:space="0" w:color="auto"/>
              <w:bottom w:val="nil"/>
              <w:right w:val="single" w:sz="4" w:space="0" w:color="auto"/>
            </w:tcBorders>
            <w:shd w:val="clear" w:color="auto" w:fill="auto"/>
          </w:tcPr>
          <w:p w14:paraId="3679DA7E" w14:textId="77777777" w:rsidR="00120717" w:rsidRPr="00B93EE1" w:rsidRDefault="00120717" w:rsidP="00341D46">
            <w:pPr>
              <w:ind w:right="113"/>
              <w:jc w:val="right"/>
              <w:rPr>
                <w:sz w:val="15"/>
                <w:szCs w:val="15"/>
              </w:rPr>
            </w:pPr>
            <w:r w:rsidRPr="00B93EE1">
              <w:rPr>
                <w:sz w:val="15"/>
                <w:szCs w:val="15"/>
              </w:rPr>
              <w:t>2%</w:t>
            </w:r>
          </w:p>
        </w:tc>
      </w:tr>
      <w:tr w:rsidR="00120717" w:rsidRPr="00B93EE1" w14:paraId="75677CEF" w14:textId="77777777" w:rsidTr="00341D46">
        <w:tc>
          <w:tcPr>
            <w:tcW w:w="0" w:type="auto"/>
            <w:vMerge/>
            <w:tcBorders>
              <w:top w:val="single" w:sz="4" w:space="0" w:color="auto"/>
              <w:left w:val="single" w:sz="4" w:space="0" w:color="auto"/>
              <w:bottom w:val="nil"/>
              <w:right w:val="single" w:sz="4" w:space="0" w:color="auto"/>
            </w:tcBorders>
            <w:shd w:val="clear" w:color="auto" w:fill="C9DED4"/>
            <w:vAlign w:val="center"/>
            <w:hideMark/>
          </w:tcPr>
          <w:p w14:paraId="0942BD4B"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single" w:sz="4" w:space="0" w:color="auto"/>
              <w:right w:val="single" w:sz="4" w:space="0" w:color="auto"/>
            </w:tcBorders>
            <w:shd w:val="clear" w:color="auto" w:fill="C9DED4"/>
            <w:hideMark/>
          </w:tcPr>
          <w:p w14:paraId="6064A110" w14:textId="77777777" w:rsidR="00120717" w:rsidRPr="00B93EE1" w:rsidRDefault="00120717" w:rsidP="00341D46">
            <w:pPr>
              <w:rPr>
                <w:sz w:val="15"/>
                <w:szCs w:val="15"/>
              </w:rPr>
            </w:pPr>
            <w:r w:rsidRPr="00B93EE1">
              <w:rPr>
                <w:sz w:val="15"/>
                <w:szCs w:val="15"/>
              </w:rPr>
              <w:t>Total</w:t>
            </w:r>
          </w:p>
        </w:tc>
        <w:tc>
          <w:tcPr>
            <w:tcW w:w="1441" w:type="dxa"/>
            <w:tcBorders>
              <w:top w:val="nil"/>
              <w:left w:val="single" w:sz="4" w:space="0" w:color="auto"/>
              <w:bottom w:val="single" w:sz="4" w:space="0" w:color="auto"/>
              <w:right w:val="single" w:sz="4" w:space="0" w:color="auto"/>
            </w:tcBorders>
            <w:shd w:val="clear" w:color="auto" w:fill="C9DED4"/>
          </w:tcPr>
          <w:p w14:paraId="0F83D335" w14:textId="77777777" w:rsidR="00120717" w:rsidRPr="00B93EE1" w:rsidRDefault="00120717" w:rsidP="00341D46">
            <w:pPr>
              <w:ind w:right="113"/>
              <w:jc w:val="right"/>
              <w:rPr>
                <w:sz w:val="15"/>
                <w:szCs w:val="15"/>
              </w:rPr>
            </w:pPr>
            <w:r w:rsidRPr="00B93EE1">
              <w:rPr>
                <w:sz w:val="15"/>
                <w:szCs w:val="15"/>
              </w:rPr>
              <w:t>42,000</w:t>
            </w:r>
          </w:p>
        </w:tc>
        <w:tc>
          <w:tcPr>
            <w:tcW w:w="0" w:type="auto"/>
            <w:tcBorders>
              <w:top w:val="nil"/>
              <w:left w:val="single" w:sz="4" w:space="0" w:color="auto"/>
              <w:bottom w:val="single" w:sz="4" w:space="0" w:color="auto"/>
              <w:right w:val="single" w:sz="4" w:space="0" w:color="auto"/>
            </w:tcBorders>
            <w:shd w:val="clear" w:color="auto" w:fill="C9DED4"/>
          </w:tcPr>
          <w:p w14:paraId="4F4A5D6A" w14:textId="77777777" w:rsidR="00120717" w:rsidRPr="00B93EE1" w:rsidRDefault="00120717" w:rsidP="00341D46">
            <w:pPr>
              <w:ind w:right="113"/>
              <w:jc w:val="right"/>
              <w:rPr>
                <w:sz w:val="15"/>
                <w:szCs w:val="15"/>
              </w:rPr>
            </w:pPr>
            <w:r w:rsidRPr="00B93EE1">
              <w:rPr>
                <w:sz w:val="15"/>
                <w:szCs w:val="15"/>
              </w:rPr>
              <w:t>6,699</w:t>
            </w:r>
          </w:p>
        </w:tc>
        <w:tc>
          <w:tcPr>
            <w:tcW w:w="0" w:type="auto"/>
            <w:tcBorders>
              <w:top w:val="nil"/>
              <w:left w:val="single" w:sz="4" w:space="0" w:color="auto"/>
              <w:bottom w:val="single" w:sz="4" w:space="0" w:color="auto"/>
              <w:right w:val="single" w:sz="4" w:space="0" w:color="auto"/>
            </w:tcBorders>
            <w:shd w:val="clear" w:color="auto" w:fill="C9DED4"/>
          </w:tcPr>
          <w:p w14:paraId="72EE7815" w14:textId="77777777" w:rsidR="00120717" w:rsidRPr="00B93EE1" w:rsidRDefault="00120717" w:rsidP="00341D46">
            <w:pPr>
              <w:ind w:right="113"/>
              <w:jc w:val="right"/>
              <w:rPr>
                <w:sz w:val="15"/>
                <w:szCs w:val="15"/>
              </w:rPr>
            </w:pPr>
            <w:r w:rsidRPr="00B93EE1">
              <w:rPr>
                <w:sz w:val="15"/>
                <w:szCs w:val="15"/>
              </w:rPr>
              <w:t>6,352</w:t>
            </w:r>
          </w:p>
        </w:tc>
        <w:tc>
          <w:tcPr>
            <w:tcW w:w="0" w:type="auto"/>
            <w:tcBorders>
              <w:top w:val="nil"/>
              <w:left w:val="single" w:sz="4" w:space="0" w:color="auto"/>
              <w:bottom w:val="single" w:sz="4" w:space="0" w:color="auto"/>
              <w:right w:val="single" w:sz="4" w:space="0" w:color="auto"/>
            </w:tcBorders>
            <w:shd w:val="clear" w:color="auto" w:fill="C9DED4"/>
          </w:tcPr>
          <w:p w14:paraId="4181AFE5" w14:textId="77777777" w:rsidR="00120717" w:rsidRPr="00B93EE1" w:rsidRDefault="00120717" w:rsidP="00341D46">
            <w:pPr>
              <w:ind w:right="113"/>
              <w:jc w:val="right"/>
              <w:rPr>
                <w:sz w:val="15"/>
                <w:szCs w:val="15"/>
              </w:rPr>
            </w:pPr>
            <w:r w:rsidRPr="00B93EE1">
              <w:rPr>
                <w:sz w:val="15"/>
                <w:szCs w:val="15"/>
              </w:rPr>
              <w:t>94%</w:t>
            </w:r>
          </w:p>
        </w:tc>
        <w:tc>
          <w:tcPr>
            <w:tcW w:w="0" w:type="auto"/>
            <w:tcBorders>
              <w:top w:val="nil"/>
              <w:left w:val="single" w:sz="4" w:space="0" w:color="auto"/>
              <w:bottom w:val="single" w:sz="4" w:space="0" w:color="auto"/>
              <w:right w:val="single" w:sz="4" w:space="0" w:color="auto"/>
            </w:tcBorders>
            <w:shd w:val="clear" w:color="auto" w:fill="C9DED4"/>
          </w:tcPr>
          <w:p w14:paraId="2745BE2F" w14:textId="77777777" w:rsidR="00120717" w:rsidRPr="00B93EE1" w:rsidRDefault="00120717" w:rsidP="00341D46">
            <w:pPr>
              <w:ind w:right="113"/>
              <w:jc w:val="right"/>
              <w:rPr>
                <w:sz w:val="15"/>
                <w:szCs w:val="15"/>
              </w:rPr>
            </w:pPr>
            <w:r w:rsidRPr="00B93EE1">
              <w:rPr>
                <w:sz w:val="15"/>
                <w:szCs w:val="15"/>
              </w:rPr>
              <w:t>347</w:t>
            </w:r>
          </w:p>
        </w:tc>
        <w:tc>
          <w:tcPr>
            <w:tcW w:w="0" w:type="auto"/>
            <w:tcBorders>
              <w:top w:val="nil"/>
              <w:left w:val="single" w:sz="4" w:space="0" w:color="auto"/>
              <w:bottom w:val="single" w:sz="4" w:space="0" w:color="auto"/>
              <w:right w:val="single" w:sz="4" w:space="0" w:color="auto"/>
            </w:tcBorders>
            <w:shd w:val="clear" w:color="auto" w:fill="C9DED4"/>
          </w:tcPr>
          <w:p w14:paraId="399DCA52" w14:textId="77777777" w:rsidR="00120717" w:rsidRPr="00B93EE1" w:rsidRDefault="00120717" w:rsidP="00341D46">
            <w:pPr>
              <w:ind w:right="113"/>
              <w:jc w:val="right"/>
              <w:rPr>
                <w:sz w:val="15"/>
                <w:szCs w:val="15"/>
              </w:rPr>
            </w:pPr>
            <w:r w:rsidRPr="00B93EE1">
              <w:rPr>
                <w:sz w:val="15"/>
                <w:szCs w:val="15"/>
              </w:rPr>
              <w:t>6%</w:t>
            </w:r>
          </w:p>
        </w:tc>
      </w:tr>
      <w:tr w:rsidR="00120717" w:rsidRPr="00B93EE1" w14:paraId="20EBAB34" w14:textId="77777777" w:rsidTr="00341D46">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14:paraId="1E30D22A" w14:textId="77777777" w:rsidR="00120717" w:rsidRPr="00B93EE1" w:rsidRDefault="00120717" w:rsidP="000468F5">
            <w:pPr>
              <w:spacing w:line="276" w:lineRule="auto"/>
              <w:jc w:val="left"/>
              <w:rPr>
                <w:rFonts w:eastAsia="Verdana" w:cs="Verdana"/>
                <w:sz w:val="15"/>
                <w:szCs w:val="15"/>
              </w:rPr>
            </w:pPr>
            <w:r w:rsidRPr="00B93EE1">
              <w:rPr>
                <w:rFonts w:eastAsia="Verdana" w:cs="Verdana"/>
                <w:sz w:val="15"/>
                <w:szCs w:val="15"/>
              </w:rPr>
              <w:t>2018</w:t>
            </w:r>
          </w:p>
        </w:tc>
        <w:tc>
          <w:tcPr>
            <w:tcW w:w="2136" w:type="dxa"/>
            <w:tcBorders>
              <w:top w:val="single" w:sz="4" w:space="0" w:color="auto"/>
              <w:left w:val="single" w:sz="4" w:space="0" w:color="auto"/>
              <w:bottom w:val="nil"/>
              <w:right w:val="single" w:sz="4" w:space="0" w:color="auto"/>
            </w:tcBorders>
            <w:shd w:val="clear" w:color="auto" w:fill="auto"/>
            <w:hideMark/>
          </w:tcPr>
          <w:p w14:paraId="51FB5A1E" w14:textId="77777777" w:rsidR="00120717" w:rsidRPr="00B93EE1" w:rsidRDefault="00120717" w:rsidP="00341D46">
            <w:pPr>
              <w:rPr>
                <w:sz w:val="15"/>
                <w:szCs w:val="15"/>
              </w:rPr>
            </w:pPr>
            <w:r w:rsidRPr="00B93EE1">
              <w:rPr>
                <w:sz w:val="15"/>
                <w:szCs w:val="15"/>
              </w:rPr>
              <w:t>Central government</w:t>
            </w:r>
          </w:p>
        </w:tc>
        <w:tc>
          <w:tcPr>
            <w:tcW w:w="1441" w:type="dxa"/>
            <w:tcBorders>
              <w:top w:val="single" w:sz="4" w:space="0" w:color="auto"/>
              <w:left w:val="single" w:sz="4" w:space="0" w:color="auto"/>
              <w:bottom w:val="nil"/>
              <w:right w:val="single" w:sz="4" w:space="0" w:color="auto"/>
            </w:tcBorders>
            <w:shd w:val="clear" w:color="auto" w:fill="auto"/>
          </w:tcPr>
          <w:p w14:paraId="32BD07F7" w14:textId="77777777" w:rsidR="00120717" w:rsidRPr="00B93EE1" w:rsidRDefault="00120717" w:rsidP="00341D46">
            <w:pPr>
              <w:ind w:right="113"/>
              <w:jc w:val="right"/>
              <w:rPr>
                <w:sz w:val="15"/>
                <w:szCs w:val="15"/>
              </w:rPr>
            </w:pPr>
          </w:p>
        </w:tc>
        <w:tc>
          <w:tcPr>
            <w:tcW w:w="0" w:type="auto"/>
            <w:tcBorders>
              <w:top w:val="single" w:sz="4" w:space="0" w:color="auto"/>
              <w:left w:val="single" w:sz="4" w:space="0" w:color="auto"/>
              <w:bottom w:val="nil"/>
              <w:right w:val="single" w:sz="4" w:space="0" w:color="auto"/>
            </w:tcBorders>
            <w:shd w:val="clear" w:color="auto" w:fill="auto"/>
          </w:tcPr>
          <w:p w14:paraId="18E76B1F" w14:textId="77777777" w:rsidR="00120717" w:rsidRPr="00B93EE1" w:rsidRDefault="00120717" w:rsidP="00341D46">
            <w:pPr>
              <w:ind w:right="113"/>
              <w:jc w:val="right"/>
              <w:rPr>
                <w:sz w:val="15"/>
                <w:szCs w:val="15"/>
              </w:rPr>
            </w:pPr>
            <w:r w:rsidRPr="00B93EE1">
              <w:rPr>
                <w:sz w:val="15"/>
                <w:szCs w:val="15"/>
              </w:rPr>
              <w:t>1,076</w:t>
            </w:r>
          </w:p>
        </w:tc>
        <w:tc>
          <w:tcPr>
            <w:tcW w:w="0" w:type="auto"/>
            <w:tcBorders>
              <w:top w:val="single" w:sz="4" w:space="0" w:color="auto"/>
              <w:left w:val="single" w:sz="4" w:space="0" w:color="auto"/>
              <w:bottom w:val="nil"/>
              <w:right w:val="single" w:sz="4" w:space="0" w:color="auto"/>
            </w:tcBorders>
            <w:shd w:val="clear" w:color="auto" w:fill="auto"/>
          </w:tcPr>
          <w:p w14:paraId="01053651" w14:textId="77777777" w:rsidR="00120717" w:rsidRPr="00B93EE1" w:rsidRDefault="00120717" w:rsidP="00341D46">
            <w:pPr>
              <w:ind w:right="113"/>
              <w:jc w:val="right"/>
              <w:rPr>
                <w:sz w:val="15"/>
                <w:szCs w:val="15"/>
              </w:rPr>
            </w:pPr>
            <w:r w:rsidRPr="00B93EE1">
              <w:rPr>
                <w:sz w:val="15"/>
                <w:szCs w:val="15"/>
              </w:rPr>
              <w:t>808</w:t>
            </w:r>
          </w:p>
        </w:tc>
        <w:tc>
          <w:tcPr>
            <w:tcW w:w="0" w:type="auto"/>
            <w:tcBorders>
              <w:top w:val="single" w:sz="4" w:space="0" w:color="auto"/>
              <w:left w:val="single" w:sz="4" w:space="0" w:color="auto"/>
              <w:bottom w:val="nil"/>
              <w:right w:val="single" w:sz="4" w:space="0" w:color="auto"/>
            </w:tcBorders>
            <w:shd w:val="clear" w:color="auto" w:fill="auto"/>
          </w:tcPr>
          <w:p w14:paraId="400181CA" w14:textId="77777777" w:rsidR="00120717" w:rsidRPr="00B93EE1" w:rsidRDefault="00120717" w:rsidP="00341D46">
            <w:pPr>
              <w:ind w:right="113"/>
              <w:jc w:val="right"/>
              <w:rPr>
                <w:sz w:val="15"/>
                <w:szCs w:val="15"/>
              </w:rPr>
            </w:pPr>
            <w:r w:rsidRPr="00B93EE1">
              <w:rPr>
                <w:sz w:val="15"/>
                <w:szCs w:val="15"/>
              </w:rPr>
              <w:t>75%</w:t>
            </w:r>
          </w:p>
        </w:tc>
        <w:tc>
          <w:tcPr>
            <w:tcW w:w="0" w:type="auto"/>
            <w:tcBorders>
              <w:top w:val="single" w:sz="4" w:space="0" w:color="auto"/>
              <w:left w:val="single" w:sz="4" w:space="0" w:color="auto"/>
              <w:bottom w:val="nil"/>
              <w:right w:val="single" w:sz="4" w:space="0" w:color="auto"/>
            </w:tcBorders>
            <w:shd w:val="clear" w:color="auto" w:fill="auto"/>
          </w:tcPr>
          <w:p w14:paraId="14DCFD5A" w14:textId="77777777" w:rsidR="00120717" w:rsidRPr="00B93EE1" w:rsidRDefault="00120717" w:rsidP="00341D46">
            <w:pPr>
              <w:ind w:right="113"/>
              <w:jc w:val="right"/>
              <w:rPr>
                <w:sz w:val="15"/>
                <w:szCs w:val="15"/>
              </w:rPr>
            </w:pPr>
            <w:r w:rsidRPr="00B93EE1">
              <w:rPr>
                <w:sz w:val="15"/>
                <w:szCs w:val="15"/>
              </w:rPr>
              <w:t>267</w:t>
            </w:r>
          </w:p>
        </w:tc>
        <w:tc>
          <w:tcPr>
            <w:tcW w:w="0" w:type="auto"/>
            <w:tcBorders>
              <w:top w:val="single" w:sz="4" w:space="0" w:color="auto"/>
              <w:left w:val="single" w:sz="4" w:space="0" w:color="auto"/>
              <w:bottom w:val="nil"/>
              <w:right w:val="single" w:sz="4" w:space="0" w:color="auto"/>
            </w:tcBorders>
            <w:shd w:val="clear" w:color="auto" w:fill="auto"/>
          </w:tcPr>
          <w:p w14:paraId="7CF011E6" w14:textId="77777777" w:rsidR="00120717" w:rsidRPr="00B93EE1" w:rsidRDefault="00120717" w:rsidP="00341D46">
            <w:pPr>
              <w:ind w:right="113"/>
              <w:jc w:val="right"/>
              <w:rPr>
                <w:sz w:val="15"/>
                <w:szCs w:val="15"/>
              </w:rPr>
            </w:pPr>
            <w:r w:rsidRPr="00B93EE1">
              <w:rPr>
                <w:sz w:val="15"/>
                <w:szCs w:val="15"/>
              </w:rPr>
              <w:t>25%</w:t>
            </w:r>
          </w:p>
        </w:tc>
      </w:tr>
      <w:tr w:rsidR="00120717" w:rsidRPr="00B93EE1" w14:paraId="0DECE701" w14:textId="77777777" w:rsidTr="00341D46">
        <w:tc>
          <w:tcPr>
            <w:tcW w:w="0" w:type="auto"/>
            <w:vMerge/>
            <w:tcBorders>
              <w:top w:val="single" w:sz="4" w:space="0" w:color="auto"/>
              <w:left w:val="single" w:sz="4" w:space="0" w:color="auto"/>
              <w:bottom w:val="nil"/>
              <w:right w:val="single" w:sz="4" w:space="0" w:color="auto"/>
            </w:tcBorders>
            <w:shd w:val="clear" w:color="auto" w:fill="C9DED4"/>
            <w:vAlign w:val="center"/>
            <w:hideMark/>
          </w:tcPr>
          <w:p w14:paraId="0C13AD1B"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nil"/>
              <w:right w:val="single" w:sz="4" w:space="0" w:color="auto"/>
            </w:tcBorders>
            <w:shd w:val="clear" w:color="auto" w:fill="C9DED4"/>
            <w:hideMark/>
          </w:tcPr>
          <w:p w14:paraId="69E495A9" w14:textId="77777777" w:rsidR="00120717" w:rsidRPr="00B93EE1" w:rsidRDefault="00120717" w:rsidP="00341D46">
            <w:pPr>
              <w:rPr>
                <w:sz w:val="15"/>
                <w:szCs w:val="15"/>
              </w:rPr>
            </w:pPr>
            <w:r w:rsidRPr="00B93EE1">
              <w:rPr>
                <w:sz w:val="15"/>
                <w:szCs w:val="15"/>
              </w:rPr>
              <w:t>Sub-central government</w:t>
            </w:r>
          </w:p>
        </w:tc>
        <w:tc>
          <w:tcPr>
            <w:tcW w:w="1441" w:type="dxa"/>
            <w:tcBorders>
              <w:top w:val="nil"/>
              <w:left w:val="single" w:sz="4" w:space="0" w:color="auto"/>
              <w:bottom w:val="nil"/>
              <w:right w:val="single" w:sz="4" w:space="0" w:color="auto"/>
            </w:tcBorders>
            <w:shd w:val="clear" w:color="auto" w:fill="C9DED4"/>
          </w:tcPr>
          <w:p w14:paraId="014E5EB9" w14:textId="77777777" w:rsidR="00120717" w:rsidRPr="00B93EE1" w:rsidRDefault="00120717" w:rsidP="00341D46">
            <w:pPr>
              <w:ind w:right="113"/>
              <w:jc w:val="right"/>
              <w:rPr>
                <w:sz w:val="15"/>
                <w:szCs w:val="15"/>
              </w:rPr>
            </w:pPr>
          </w:p>
        </w:tc>
        <w:tc>
          <w:tcPr>
            <w:tcW w:w="0" w:type="auto"/>
            <w:tcBorders>
              <w:top w:val="nil"/>
              <w:left w:val="single" w:sz="4" w:space="0" w:color="auto"/>
              <w:bottom w:val="nil"/>
              <w:right w:val="single" w:sz="4" w:space="0" w:color="auto"/>
            </w:tcBorders>
            <w:shd w:val="clear" w:color="auto" w:fill="C9DED4"/>
          </w:tcPr>
          <w:p w14:paraId="36948905" w14:textId="77777777" w:rsidR="00120717" w:rsidRPr="00B93EE1" w:rsidRDefault="00120717" w:rsidP="00341D46">
            <w:pPr>
              <w:ind w:right="113"/>
              <w:jc w:val="right"/>
              <w:rPr>
                <w:sz w:val="15"/>
                <w:szCs w:val="15"/>
              </w:rPr>
            </w:pPr>
            <w:r w:rsidRPr="00B93EE1">
              <w:rPr>
                <w:sz w:val="15"/>
                <w:szCs w:val="15"/>
              </w:rPr>
              <w:t>1,861</w:t>
            </w:r>
          </w:p>
        </w:tc>
        <w:tc>
          <w:tcPr>
            <w:tcW w:w="0" w:type="auto"/>
            <w:tcBorders>
              <w:top w:val="nil"/>
              <w:left w:val="single" w:sz="4" w:space="0" w:color="auto"/>
              <w:bottom w:val="nil"/>
              <w:right w:val="single" w:sz="4" w:space="0" w:color="auto"/>
            </w:tcBorders>
            <w:shd w:val="clear" w:color="auto" w:fill="C9DED4"/>
          </w:tcPr>
          <w:p w14:paraId="7B5945ED" w14:textId="77777777" w:rsidR="00120717" w:rsidRPr="00B93EE1" w:rsidRDefault="00120717" w:rsidP="00341D46">
            <w:pPr>
              <w:ind w:right="113"/>
              <w:jc w:val="right"/>
              <w:rPr>
                <w:sz w:val="15"/>
                <w:szCs w:val="15"/>
              </w:rPr>
            </w:pPr>
            <w:r w:rsidRPr="00B93EE1">
              <w:rPr>
                <w:sz w:val="15"/>
                <w:szCs w:val="15"/>
              </w:rPr>
              <w:t>1738</w:t>
            </w:r>
          </w:p>
        </w:tc>
        <w:tc>
          <w:tcPr>
            <w:tcW w:w="0" w:type="auto"/>
            <w:tcBorders>
              <w:top w:val="nil"/>
              <w:left w:val="single" w:sz="4" w:space="0" w:color="auto"/>
              <w:bottom w:val="nil"/>
              <w:right w:val="single" w:sz="4" w:space="0" w:color="auto"/>
            </w:tcBorders>
            <w:shd w:val="clear" w:color="auto" w:fill="C9DED4"/>
          </w:tcPr>
          <w:p w14:paraId="2ADC9AD9" w14:textId="77777777" w:rsidR="00120717" w:rsidRPr="00B93EE1" w:rsidRDefault="00120717" w:rsidP="00341D46">
            <w:pPr>
              <w:ind w:right="113"/>
              <w:jc w:val="right"/>
              <w:rPr>
                <w:sz w:val="15"/>
                <w:szCs w:val="15"/>
              </w:rPr>
            </w:pPr>
            <w:r w:rsidRPr="00B93EE1">
              <w:rPr>
                <w:sz w:val="15"/>
                <w:szCs w:val="15"/>
              </w:rPr>
              <w:t>93%</w:t>
            </w:r>
          </w:p>
        </w:tc>
        <w:tc>
          <w:tcPr>
            <w:tcW w:w="0" w:type="auto"/>
            <w:tcBorders>
              <w:top w:val="nil"/>
              <w:left w:val="single" w:sz="4" w:space="0" w:color="auto"/>
              <w:bottom w:val="nil"/>
              <w:right w:val="single" w:sz="4" w:space="0" w:color="auto"/>
            </w:tcBorders>
            <w:shd w:val="clear" w:color="auto" w:fill="C9DED4"/>
          </w:tcPr>
          <w:p w14:paraId="6C2D3326" w14:textId="77777777" w:rsidR="00120717" w:rsidRPr="00B93EE1" w:rsidRDefault="00120717" w:rsidP="00341D46">
            <w:pPr>
              <w:ind w:right="113"/>
              <w:jc w:val="right"/>
              <w:rPr>
                <w:sz w:val="15"/>
                <w:szCs w:val="15"/>
              </w:rPr>
            </w:pPr>
            <w:r w:rsidRPr="00B93EE1">
              <w:rPr>
                <w:sz w:val="15"/>
                <w:szCs w:val="15"/>
              </w:rPr>
              <w:t>123</w:t>
            </w:r>
          </w:p>
        </w:tc>
        <w:tc>
          <w:tcPr>
            <w:tcW w:w="0" w:type="auto"/>
            <w:tcBorders>
              <w:top w:val="nil"/>
              <w:left w:val="single" w:sz="4" w:space="0" w:color="auto"/>
              <w:bottom w:val="nil"/>
              <w:right w:val="single" w:sz="4" w:space="0" w:color="auto"/>
            </w:tcBorders>
            <w:shd w:val="clear" w:color="auto" w:fill="C9DED4"/>
          </w:tcPr>
          <w:p w14:paraId="1D101B1D" w14:textId="77777777" w:rsidR="00120717" w:rsidRPr="00B93EE1" w:rsidRDefault="00120717" w:rsidP="00341D46">
            <w:pPr>
              <w:ind w:right="113"/>
              <w:jc w:val="right"/>
              <w:rPr>
                <w:sz w:val="15"/>
                <w:szCs w:val="15"/>
              </w:rPr>
            </w:pPr>
            <w:r w:rsidRPr="00B93EE1">
              <w:rPr>
                <w:sz w:val="15"/>
                <w:szCs w:val="15"/>
              </w:rPr>
              <w:t>7%</w:t>
            </w:r>
          </w:p>
        </w:tc>
      </w:tr>
      <w:tr w:rsidR="00120717" w:rsidRPr="00B93EE1" w14:paraId="5C8FD948" w14:textId="77777777" w:rsidTr="00341D46">
        <w:tc>
          <w:tcPr>
            <w:tcW w:w="0" w:type="auto"/>
            <w:vMerge/>
            <w:tcBorders>
              <w:top w:val="single" w:sz="4" w:space="0" w:color="auto"/>
              <w:left w:val="single" w:sz="4" w:space="0" w:color="auto"/>
              <w:bottom w:val="nil"/>
              <w:right w:val="single" w:sz="4" w:space="0" w:color="auto"/>
            </w:tcBorders>
            <w:shd w:val="clear" w:color="auto" w:fill="auto"/>
            <w:vAlign w:val="center"/>
            <w:hideMark/>
          </w:tcPr>
          <w:p w14:paraId="5466BF12"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nil"/>
              <w:right w:val="single" w:sz="4" w:space="0" w:color="auto"/>
            </w:tcBorders>
            <w:shd w:val="clear" w:color="auto" w:fill="auto"/>
            <w:hideMark/>
          </w:tcPr>
          <w:p w14:paraId="04BCE7BD" w14:textId="77777777" w:rsidR="00120717" w:rsidRPr="00B93EE1" w:rsidRDefault="00120717" w:rsidP="00341D46">
            <w:pPr>
              <w:rPr>
                <w:sz w:val="15"/>
                <w:szCs w:val="15"/>
              </w:rPr>
            </w:pPr>
            <w:r w:rsidRPr="00B93EE1">
              <w:rPr>
                <w:rFonts w:eastAsia="Times New Roman"/>
                <w:sz w:val="15"/>
                <w:szCs w:val="15"/>
              </w:rPr>
              <w:t>Other</w:t>
            </w:r>
          </w:p>
        </w:tc>
        <w:tc>
          <w:tcPr>
            <w:tcW w:w="1441" w:type="dxa"/>
            <w:tcBorders>
              <w:top w:val="nil"/>
              <w:left w:val="single" w:sz="4" w:space="0" w:color="auto"/>
              <w:bottom w:val="nil"/>
              <w:right w:val="single" w:sz="4" w:space="0" w:color="auto"/>
            </w:tcBorders>
            <w:shd w:val="clear" w:color="auto" w:fill="auto"/>
          </w:tcPr>
          <w:p w14:paraId="5E12FB1A" w14:textId="77777777" w:rsidR="00120717" w:rsidRPr="00B93EE1" w:rsidRDefault="00120717" w:rsidP="00341D46">
            <w:pPr>
              <w:ind w:right="113"/>
              <w:jc w:val="right"/>
              <w:rPr>
                <w:rFonts w:cs="Arial"/>
                <w:sz w:val="15"/>
                <w:szCs w:val="15"/>
              </w:rPr>
            </w:pPr>
          </w:p>
        </w:tc>
        <w:tc>
          <w:tcPr>
            <w:tcW w:w="0" w:type="auto"/>
            <w:tcBorders>
              <w:top w:val="nil"/>
              <w:left w:val="single" w:sz="4" w:space="0" w:color="auto"/>
              <w:bottom w:val="nil"/>
              <w:right w:val="single" w:sz="4" w:space="0" w:color="auto"/>
            </w:tcBorders>
            <w:shd w:val="clear" w:color="auto" w:fill="auto"/>
          </w:tcPr>
          <w:p w14:paraId="1937EC30" w14:textId="77777777" w:rsidR="00120717" w:rsidRPr="00B93EE1" w:rsidRDefault="00120717" w:rsidP="00341D46">
            <w:pPr>
              <w:ind w:right="113"/>
              <w:jc w:val="right"/>
              <w:rPr>
                <w:sz w:val="15"/>
                <w:szCs w:val="15"/>
              </w:rPr>
            </w:pPr>
            <w:r w:rsidRPr="00B93EE1">
              <w:rPr>
                <w:sz w:val="15"/>
                <w:szCs w:val="15"/>
              </w:rPr>
              <w:t>2,567</w:t>
            </w:r>
          </w:p>
        </w:tc>
        <w:tc>
          <w:tcPr>
            <w:tcW w:w="0" w:type="auto"/>
            <w:tcBorders>
              <w:top w:val="nil"/>
              <w:left w:val="single" w:sz="4" w:space="0" w:color="auto"/>
              <w:bottom w:val="nil"/>
              <w:right w:val="single" w:sz="4" w:space="0" w:color="auto"/>
            </w:tcBorders>
            <w:shd w:val="clear" w:color="auto" w:fill="auto"/>
          </w:tcPr>
          <w:p w14:paraId="116CBBD1" w14:textId="77777777" w:rsidR="00120717" w:rsidRPr="00B93EE1" w:rsidRDefault="00120717" w:rsidP="00341D46">
            <w:pPr>
              <w:ind w:right="113"/>
              <w:jc w:val="right"/>
              <w:rPr>
                <w:sz w:val="15"/>
                <w:szCs w:val="15"/>
              </w:rPr>
            </w:pPr>
            <w:r w:rsidRPr="00B93EE1">
              <w:rPr>
                <w:sz w:val="15"/>
                <w:szCs w:val="15"/>
              </w:rPr>
              <w:t>2,465</w:t>
            </w:r>
          </w:p>
        </w:tc>
        <w:tc>
          <w:tcPr>
            <w:tcW w:w="0" w:type="auto"/>
            <w:tcBorders>
              <w:top w:val="nil"/>
              <w:left w:val="single" w:sz="4" w:space="0" w:color="auto"/>
              <w:bottom w:val="nil"/>
              <w:right w:val="single" w:sz="4" w:space="0" w:color="auto"/>
            </w:tcBorders>
            <w:shd w:val="clear" w:color="auto" w:fill="auto"/>
          </w:tcPr>
          <w:p w14:paraId="136DF441" w14:textId="77777777" w:rsidR="00120717" w:rsidRPr="00B93EE1" w:rsidRDefault="00120717" w:rsidP="00341D46">
            <w:pPr>
              <w:ind w:right="113"/>
              <w:jc w:val="right"/>
              <w:rPr>
                <w:sz w:val="15"/>
                <w:szCs w:val="15"/>
              </w:rPr>
            </w:pPr>
            <w:r w:rsidRPr="00B93EE1">
              <w:rPr>
                <w:sz w:val="15"/>
                <w:szCs w:val="15"/>
              </w:rPr>
              <w:t>96%</w:t>
            </w:r>
          </w:p>
        </w:tc>
        <w:tc>
          <w:tcPr>
            <w:tcW w:w="0" w:type="auto"/>
            <w:tcBorders>
              <w:top w:val="nil"/>
              <w:left w:val="single" w:sz="4" w:space="0" w:color="auto"/>
              <w:bottom w:val="nil"/>
              <w:right w:val="single" w:sz="4" w:space="0" w:color="auto"/>
            </w:tcBorders>
            <w:shd w:val="clear" w:color="auto" w:fill="auto"/>
          </w:tcPr>
          <w:p w14:paraId="7C402558" w14:textId="77777777" w:rsidR="00120717" w:rsidRPr="00B93EE1" w:rsidRDefault="00120717" w:rsidP="00341D46">
            <w:pPr>
              <w:ind w:right="113"/>
              <w:jc w:val="right"/>
              <w:rPr>
                <w:sz w:val="15"/>
                <w:szCs w:val="15"/>
              </w:rPr>
            </w:pPr>
            <w:r w:rsidRPr="00B93EE1">
              <w:rPr>
                <w:sz w:val="15"/>
                <w:szCs w:val="15"/>
              </w:rPr>
              <w:t>102</w:t>
            </w:r>
          </w:p>
        </w:tc>
        <w:tc>
          <w:tcPr>
            <w:tcW w:w="0" w:type="auto"/>
            <w:tcBorders>
              <w:top w:val="nil"/>
              <w:left w:val="single" w:sz="4" w:space="0" w:color="auto"/>
              <w:bottom w:val="nil"/>
              <w:right w:val="single" w:sz="4" w:space="0" w:color="auto"/>
            </w:tcBorders>
            <w:shd w:val="clear" w:color="auto" w:fill="auto"/>
          </w:tcPr>
          <w:p w14:paraId="43E5A8F7" w14:textId="77777777" w:rsidR="00120717" w:rsidRPr="00B93EE1" w:rsidRDefault="00120717" w:rsidP="00341D46">
            <w:pPr>
              <w:ind w:right="113"/>
              <w:jc w:val="right"/>
              <w:rPr>
                <w:sz w:val="15"/>
                <w:szCs w:val="15"/>
              </w:rPr>
            </w:pPr>
            <w:r w:rsidRPr="00B93EE1">
              <w:rPr>
                <w:sz w:val="15"/>
                <w:szCs w:val="15"/>
              </w:rPr>
              <w:t>4%</w:t>
            </w:r>
          </w:p>
        </w:tc>
      </w:tr>
      <w:tr w:rsidR="00120717" w:rsidRPr="00B93EE1" w14:paraId="3BF42F4B" w14:textId="77777777" w:rsidTr="00341D46">
        <w:tc>
          <w:tcPr>
            <w:tcW w:w="0" w:type="auto"/>
            <w:vMerge/>
            <w:tcBorders>
              <w:top w:val="single" w:sz="4" w:space="0" w:color="auto"/>
              <w:left w:val="single" w:sz="4" w:space="0" w:color="auto"/>
              <w:bottom w:val="nil"/>
              <w:right w:val="single" w:sz="4" w:space="0" w:color="auto"/>
            </w:tcBorders>
            <w:shd w:val="clear" w:color="auto" w:fill="C9DED4"/>
            <w:vAlign w:val="center"/>
            <w:hideMark/>
          </w:tcPr>
          <w:p w14:paraId="158F78EC"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single" w:sz="4" w:space="0" w:color="auto"/>
              <w:right w:val="single" w:sz="4" w:space="0" w:color="auto"/>
            </w:tcBorders>
            <w:shd w:val="clear" w:color="auto" w:fill="C9DED4"/>
            <w:hideMark/>
          </w:tcPr>
          <w:p w14:paraId="3C1EC070" w14:textId="77777777" w:rsidR="00120717" w:rsidRPr="00B93EE1" w:rsidRDefault="00120717" w:rsidP="00341D46">
            <w:pPr>
              <w:rPr>
                <w:sz w:val="15"/>
                <w:szCs w:val="15"/>
              </w:rPr>
            </w:pPr>
            <w:r w:rsidRPr="00B93EE1">
              <w:rPr>
                <w:sz w:val="15"/>
                <w:szCs w:val="15"/>
              </w:rPr>
              <w:t>Total</w:t>
            </w:r>
          </w:p>
        </w:tc>
        <w:tc>
          <w:tcPr>
            <w:tcW w:w="1441" w:type="dxa"/>
            <w:tcBorders>
              <w:top w:val="nil"/>
              <w:left w:val="single" w:sz="4" w:space="0" w:color="auto"/>
              <w:bottom w:val="single" w:sz="4" w:space="0" w:color="auto"/>
              <w:right w:val="single" w:sz="4" w:space="0" w:color="auto"/>
            </w:tcBorders>
            <w:shd w:val="clear" w:color="auto" w:fill="C9DED4"/>
          </w:tcPr>
          <w:p w14:paraId="02C96634" w14:textId="77777777" w:rsidR="00120717" w:rsidRPr="00B93EE1" w:rsidRDefault="00120717" w:rsidP="00341D46">
            <w:pPr>
              <w:ind w:right="113"/>
              <w:jc w:val="right"/>
              <w:rPr>
                <w:sz w:val="15"/>
                <w:szCs w:val="15"/>
              </w:rPr>
            </w:pPr>
            <w:r w:rsidRPr="00B93EE1">
              <w:rPr>
                <w:sz w:val="15"/>
                <w:szCs w:val="15"/>
              </w:rPr>
              <w:t>42,000</w:t>
            </w:r>
          </w:p>
        </w:tc>
        <w:tc>
          <w:tcPr>
            <w:tcW w:w="0" w:type="auto"/>
            <w:tcBorders>
              <w:top w:val="nil"/>
              <w:left w:val="single" w:sz="4" w:space="0" w:color="auto"/>
              <w:bottom w:val="single" w:sz="4" w:space="0" w:color="auto"/>
              <w:right w:val="single" w:sz="4" w:space="0" w:color="auto"/>
            </w:tcBorders>
            <w:shd w:val="clear" w:color="auto" w:fill="C9DED4"/>
          </w:tcPr>
          <w:p w14:paraId="03628062" w14:textId="77777777" w:rsidR="00120717" w:rsidRPr="00B93EE1" w:rsidRDefault="00120717" w:rsidP="00341D46">
            <w:pPr>
              <w:ind w:right="113"/>
              <w:jc w:val="right"/>
              <w:rPr>
                <w:sz w:val="15"/>
                <w:szCs w:val="15"/>
              </w:rPr>
            </w:pPr>
            <w:r w:rsidRPr="00B93EE1">
              <w:rPr>
                <w:sz w:val="15"/>
                <w:szCs w:val="15"/>
              </w:rPr>
              <w:t>5,504</w:t>
            </w:r>
          </w:p>
        </w:tc>
        <w:tc>
          <w:tcPr>
            <w:tcW w:w="0" w:type="auto"/>
            <w:tcBorders>
              <w:top w:val="nil"/>
              <w:left w:val="single" w:sz="4" w:space="0" w:color="auto"/>
              <w:bottom w:val="single" w:sz="4" w:space="0" w:color="auto"/>
              <w:right w:val="single" w:sz="4" w:space="0" w:color="auto"/>
            </w:tcBorders>
            <w:shd w:val="clear" w:color="auto" w:fill="C9DED4"/>
          </w:tcPr>
          <w:p w14:paraId="74E3D883" w14:textId="77777777" w:rsidR="00120717" w:rsidRPr="00B93EE1" w:rsidRDefault="00120717" w:rsidP="00341D46">
            <w:pPr>
              <w:ind w:right="113"/>
              <w:jc w:val="right"/>
              <w:rPr>
                <w:sz w:val="15"/>
                <w:szCs w:val="15"/>
              </w:rPr>
            </w:pPr>
            <w:r w:rsidRPr="00B93EE1">
              <w:rPr>
                <w:sz w:val="15"/>
                <w:szCs w:val="15"/>
              </w:rPr>
              <w:t>5,011</w:t>
            </w:r>
          </w:p>
        </w:tc>
        <w:tc>
          <w:tcPr>
            <w:tcW w:w="0" w:type="auto"/>
            <w:tcBorders>
              <w:top w:val="nil"/>
              <w:left w:val="single" w:sz="4" w:space="0" w:color="auto"/>
              <w:bottom w:val="single" w:sz="4" w:space="0" w:color="auto"/>
              <w:right w:val="single" w:sz="4" w:space="0" w:color="auto"/>
            </w:tcBorders>
            <w:shd w:val="clear" w:color="auto" w:fill="C9DED4"/>
          </w:tcPr>
          <w:p w14:paraId="63F6112A" w14:textId="77777777" w:rsidR="00120717" w:rsidRPr="00B93EE1" w:rsidRDefault="00120717" w:rsidP="00341D46">
            <w:pPr>
              <w:ind w:right="113"/>
              <w:jc w:val="right"/>
              <w:rPr>
                <w:sz w:val="15"/>
                <w:szCs w:val="15"/>
              </w:rPr>
            </w:pPr>
            <w:r w:rsidRPr="00B93EE1">
              <w:rPr>
                <w:sz w:val="15"/>
                <w:szCs w:val="15"/>
              </w:rPr>
              <w:t>91%</w:t>
            </w:r>
          </w:p>
        </w:tc>
        <w:tc>
          <w:tcPr>
            <w:tcW w:w="0" w:type="auto"/>
            <w:tcBorders>
              <w:top w:val="nil"/>
              <w:left w:val="single" w:sz="4" w:space="0" w:color="auto"/>
              <w:bottom w:val="single" w:sz="4" w:space="0" w:color="auto"/>
              <w:right w:val="single" w:sz="4" w:space="0" w:color="auto"/>
            </w:tcBorders>
            <w:shd w:val="clear" w:color="auto" w:fill="C9DED4"/>
          </w:tcPr>
          <w:p w14:paraId="71FD656D" w14:textId="77777777" w:rsidR="00120717" w:rsidRPr="00B93EE1" w:rsidRDefault="00120717" w:rsidP="00341D46">
            <w:pPr>
              <w:ind w:right="113"/>
              <w:jc w:val="right"/>
              <w:rPr>
                <w:sz w:val="15"/>
                <w:szCs w:val="15"/>
              </w:rPr>
            </w:pPr>
            <w:r w:rsidRPr="00B93EE1">
              <w:rPr>
                <w:sz w:val="15"/>
                <w:szCs w:val="15"/>
              </w:rPr>
              <w:t>492</w:t>
            </w:r>
          </w:p>
        </w:tc>
        <w:tc>
          <w:tcPr>
            <w:tcW w:w="0" w:type="auto"/>
            <w:tcBorders>
              <w:top w:val="nil"/>
              <w:left w:val="single" w:sz="4" w:space="0" w:color="auto"/>
              <w:bottom w:val="single" w:sz="4" w:space="0" w:color="auto"/>
              <w:right w:val="single" w:sz="4" w:space="0" w:color="auto"/>
            </w:tcBorders>
            <w:shd w:val="clear" w:color="auto" w:fill="C9DED4"/>
          </w:tcPr>
          <w:p w14:paraId="2128F964" w14:textId="77777777" w:rsidR="00120717" w:rsidRPr="00B93EE1" w:rsidRDefault="00120717" w:rsidP="00341D46">
            <w:pPr>
              <w:ind w:right="113"/>
              <w:jc w:val="right"/>
              <w:rPr>
                <w:sz w:val="15"/>
                <w:szCs w:val="15"/>
              </w:rPr>
            </w:pPr>
            <w:r w:rsidRPr="00B93EE1">
              <w:rPr>
                <w:sz w:val="15"/>
                <w:szCs w:val="15"/>
              </w:rPr>
              <w:t>9%</w:t>
            </w:r>
          </w:p>
        </w:tc>
      </w:tr>
      <w:tr w:rsidR="00120717" w:rsidRPr="00B93EE1" w14:paraId="13BC6FD2" w14:textId="77777777" w:rsidTr="00341D46">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14:paraId="21C73268" w14:textId="77777777" w:rsidR="00120717" w:rsidRPr="00B93EE1" w:rsidRDefault="00120717" w:rsidP="000468F5">
            <w:pPr>
              <w:spacing w:line="276" w:lineRule="auto"/>
              <w:jc w:val="left"/>
              <w:rPr>
                <w:rFonts w:eastAsia="Verdana" w:cs="Verdana"/>
                <w:sz w:val="15"/>
                <w:szCs w:val="15"/>
              </w:rPr>
            </w:pPr>
            <w:r w:rsidRPr="00B93EE1">
              <w:rPr>
                <w:rFonts w:eastAsia="Verdana" w:cs="Verdana"/>
                <w:sz w:val="15"/>
                <w:szCs w:val="15"/>
              </w:rPr>
              <w:t>2019</w:t>
            </w:r>
          </w:p>
        </w:tc>
        <w:tc>
          <w:tcPr>
            <w:tcW w:w="2136" w:type="dxa"/>
            <w:tcBorders>
              <w:top w:val="single" w:sz="4" w:space="0" w:color="auto"/>
              <w:left w:val="single" w:sz="4" w:space="0" w:color="auto"/>
              <w:bottom w:val="nil"/>
              <w:right w:val="single" w:sz="4" w:space="0" w:color="auto"/>
            </w:tcBorders>
            <w:shd w:val="clear" w:color="auto" w:fill="auto"/>
            <w:hideMark/>
          </w:tcPr>
          <w:p w14:paraId="71E5714E" w14:textId="77777777" w:rsidR="00120717" w:rsidRPr="00B93EE1" w:rsidRDefault="00120717" w:rsidP="00341D46">
            <w:pPr>
              <w:rPr>
                <w:sz w:val="15"/>
                <w:szCs w:val="15"/>
              </w:rPr>
            </w:pPr>
            <w:r w:rsidRPr="00B93EE1">
              <w:rPr>
                <w:sz w:val="15"/>
                <w:szCs w:val="15"/>
              </w:rPr>
              <w:t>Central government</w:t>
            </w:r>
          </w:p>
        </w:tc>
        <w:tc>
          <w:tcPr>
            <w:tcW w:w="1441" w:type="dxa"/>
            <w:tcBorders>
              <w:top w:val="single" w:sz="4" w:space="0" w:color="auto"/>
              <w:left w:val="single" w:sz="4" w:space="0" w:color="auto"/>
              <w:bottom w:val="nil"/>
              <w:right w:val="single" w:sz="4" w:space="0" w:color="auto"/>
            </w:tcBorders>
            <w:shd w:val="clear" w:color="auto" w:fill="auto"/>
          </w:tcPr>
          <w:p w14:paraId="0A38C004" w14:textId="77777777" w:rsidR="00120717" w:rsidRPr="00B93EE1" w:rsidRDefault="00120717" w:rsidP="00341D46">
            <w:pPr>
              <w:ind w:right="113"/>
              <w:jc w:val="right"/>
              <w:rPr>
                <w:sz w:val="15"/>
                <w:szCs w:val="15"/>
              </w:rPr>
            </w:pPr>
          </w:p>
        </w:tc>
        <w:tc>
          <w:tcPr>
            <w:tcW w:w="0" w:type="auto"/>
            <w:tcBorders>
              <w:top w:val="single" w:sz="4" w:space="0" w:color="auto"/>
              <w:left w:val="single" w:sz="4" w:space="0" w:color="auto"/>
              <w:bottom w:val="nil"/>
              <w:right w:val="single" w:sz="4" w:space="0" w:color="auto"/>
            </w:tcBorders>
            <w:shd w:val="clear" w:color="auto" w:fill="auto"/>
          </w:tcPr>
          <w:p w14:paraId="3E2B048A" w14:textId="77777777" w:rsidR="00120717" w:rsidRPr="00B93EE1" w:rsidRDefault="00120717" w:rsidP="00341D46">
            <w:pPr>
              <w:ind w:right="113"/>
              <w:jc w:val="right"/>
              <w:rPr>
                <w:sz w:val="15"/>
                <w:szCs w:val="15"/>
              </w:rPr>
            </w:pPr>
            <w:r w:rsidRPr="00B93EE1">
              <w:rPr>
                <w:sz w:val="15"/>
                <w:szCs w:val="15"/>
              </w:rPr>
              <w:t>1,400</w:t>
            </w:r>
          </w:p>
        </w:tc>
        <w:tc>
          <w:tcPr>
            <w:tcW w:w="0" w:type="auto"/>
            <w:tcBorders>
              <w:top w:val="single" w:sz="4" w:space="0" w:color="auto"/>
              <w:left w:val="single" w:sz="4" w:space="0" w:color="auto"/>
              <w:bottom w:val="nil"/>
              <w:right w:val="single" w:sz="4" w:space="0" w:color="auto"/>
            </w:tcBorders>
            <w:shd w:val="clear" w:color="auto" w:fill="auto"/>
          </w:tcPr>
          <w:p w14:paraId="1359E69F" w14:textId="77777777" w:rsidR="00120717" w:rsidRPr="00B93EE1" w:rsidRDefault="00120717" w:rsidP="00341D46">
            <w:pPr>
              <w:ind w:right="113"/>
              <w:jc w:val="right"/>
              <w:rPr>
                <w:sz w:val="15"/>
                <w:szCs w:val="15"/>
              </w:rPr>
            </w:pPr>
            <w:r w:rsidRPr="00B93EE1">
              <w:rPr>
                <w:sz w:val="15"/>
                <w:szCs w:val="15"/>
              </w:rPr>
              <w:t>851</w:t>
            </w:r>
          </w:p>
        </w:tc>
        <w:tc>
          <w:tcPr>
            <w:tcW w:w="0" w:type="auto"/>
            <w:tcBorders>
              <w:top w:val="single" w:sz="4" w:space="0" w:color="auto"/>
              <w:left w:val="single" w:sz="4" w:space="0" w:color="auto"/>
              <w:bottom w:val="nil"/>
              <w:right w:val="single" w:sz="4" w:space="0" w:color="auto"/>
            </w:tcBorders>
            <w:shd w:val="clear" w:color="auto" w:fill="auto"/>
          </w:tcPr>
          <w:p w14:paraId="7AF115FC" w14:textId="77777777" w:rsidR="00120717" w:rsidRPr="00B93EE1" w:rsidRDefault="00120717" w:rsidP="00341D46">
            <w:pPr>
              <w:ind w:right="113"/>
              <w:jc w:val="right"/>
              <w:rPr>
                <w:sz w:val="15"/>
                <w:szCs w:val="15"/>
              </w:rPr>
            </w:pPr>
            <w:r w:rsidRPr="00B93EE1">
              <w:rPr>
                <w:sz w:val="15"/>
                <w:szCs w:val="15"/>
              </w:rPr>
              <w:t>61%</w:t>
            </w:r>
          </w:p>
        </w:tc>
        <w:tc>
          <w:tcPr>
            <w:tcW w:w="0" w:type="auto"/>
            <w:tcBorders>
              <w:top w:val="single" w:sz="4" w:space="0" w:color="auto"/>
              <w:left w:val="single" w:sz="4" w:space="0" w:color="auto"/>
              <w:bottom w:val="nil"/>
              <w:right w:val="single" w:sz="4" w:space="0" w:color="auto"/>
            </w:tcBorders>
            <w:shd w:val="clear" w:color="auto" w:fill="auto"/>
          </w:tcPr>
          <w:p w14:paraId="0DE5558B" w14:textId="77777777" w:rsidR="00120717" w:rsidRPr="00B93EE1" w:rsidRDefault="00120717" w:rsidP="00341D46">
            <w:pPr>
              <w:ind w:right="113"/>
              <w:jc w:val="right"/>
              <w:rPr>
                <w:sz w:val="15"/>
                <w:szCs w:val="15"/>
              </w:rPr>
            </w:pPr>
            <w:r w:rsidRPr="00B93EE1">
              <w:rPr>
                <w:sz w:val="15"/>
                <w:szCs w:val="15"/>
              </w:rPr>
              <w:t>548</w:t>
            </w:r>
          </w:p>
        </w:tc>
        <w:tc>
          <w:tcPr>
            <w:tcW w:w="0" w:type="auto"/>
            <w:tcBorders>
              <w:top w:val="single" w:sz="4" w:space="0" w:color="auto"/>
              <w:left w:val="single" w:sz="4" w:space="0" w:color="auto"/>
              <w:bottom w:val="nil"/>
              <w:right w:val="single" w:sz="4" w:space="0" w:color="auto"/>
            </w:tcBorders>
            <w:shd w:val="clear" w:color="auto" w:fill="auto"/>
          </w:tcPr>
          <w:p w14:paraId="320F65AD" w14:textId="77777777" w:rsidR="00120717" w:rsidRPr="00B93EE1" w:rsidRDefault="00120717" w:rsidP="00341D46">
            <w:pPr>
              <w:ind w:right="113"/>
              <w:jc w:val="right"/>
              <w:rPr>
                <w:sz w:val="15"/>
                <w:szCs w:val="15"/>
              </w:rPr>
            </w:pPr>
            <w:r w:rsidRPr="00B93EE1">
              <w:rPr>
                <w:sz w:val="15"/>
                <w:szCs w:val="15"/>
              </w:rPr>
              <w:t>39%</w:t>
            </w:r>
          </w:p>
        </w:tc>
      </w:tr>
      <w:tr w:rsidR="00120717" w:rsidRPr="00B93EE1" w14:paraId="5888D8DA" w14:textId="77777777" w:rsidTr="00341D46">
        <w:tc>
          <w:tcPr>
            <w:tcW w:w="0" w:type="auto"/>
            <w:vMerge/>
            <w:tcBorders>
              <w:top w:val="single" w:sz="4" w:space="0" w:color="auto"/>
              <w:left w:val="single" w:sz="4" w:space="0" w:color="auto"/>
              <w:bottom w:val="nil"/>
              <w:right w:val="single" w:sz="4" w:space="0" w:color="auto"/>
            </w:tcBorders>
            <w:shd w:val="clear" w:color="auto" w:fill="C9DED4"/>
            <w:vAlign w:val="center"/>
            <w:hideMark/>
          </w:tcPr>
          <w:p w14:paraId="3F1A9A30"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nil"/>
              <w:right w:val="single" w:sz="4" w:space="0" w:color="auto"/>
            </w:tcBorders>
            <w:shd w:val="clear" w:color="auto" w:fill="C9DED4"/>
            <w:hideMark/>
          </w:tcPr>
          <w:p w14:paraId="7A9A078A" w14:textId="77777777" w:rsidR="00120717" w:rsidRPr="00B93EE1" w:rsidRDefault="00120717" w:rsidP="00341D46">
            <w:pPr>
              <w:rPr>
                <w:sz w:val="15"/>
                <w:szCs w:val="15"/>
              </w:rPr>
            </w:pPr>
            <w:r w:rsidRPr="00B93EE1">
              <w:rPr>
                <w:sz w:val="15"/>
                <w:szCs w:val="15"/>
              </w:rPr>
              <w:t>Sub-central government</w:t>
            </w:r>
          </w:p>
        </w:tc>
        <w:tc>
          <w:tcPr>
            <w:tcW w:w="1441" w:type="dxa"/>
            <w:tcBorders>
              <w:top w:val="nil"/>
              <w:left w:val="single" w:sz="4" w:space="0" w:color="auto"/>
              <w:bottom w:val="nil"/>
              <w:right w:val="single" w:sz="4" w:space="0" w:color="auto"/>
            </w:tcBorders>
            <w:shd w:val="clear" w:color="auto" w:fill="C9DED4"/>
          </w:tcPr>
          <w:p w14:paraId="02202CC0" w14:textId="77777777" w:rsidR="00120717" w:rsidRPr="00B93EE1" w:rsidRDefault="00120717" w:rsidP="00341D46">
            <w:pPr>
              <w:ind w:right="113"/>
              <w:jc w:val="right"/>
              <w:rPr>
                <w:sz w:val="15"/>
                <w:szCs w:val="15"/>
              </w:rPr>
            </w:pPr>
          </w:p>
        </w:tc>
        <w:tc>
          <w:tcPr>
            <w:tcW w:w="0" w:type="auto"/>
            <w:tcBorders>
              <w:top w:val="nil"/>
              <w:left w:val="single" w:sz="4" w:space="0" w:color="auto"/>
              <w:bottom w:val="nil"/>
              <w:right w:val="single" w:sz="4" w:space="0" w:color="auto"/>
            </w:tcBorders>
            <w:shd w:val="clear" w:color="auto" w:fill="C9DED4"/>
          </w:tcPr>
          <w:p w14:paraId="27617FB8" w14:textId="77777777" w:rsidR="00120717" w:rsidRPr="00B93EE1" w:rsidRDefault="00120717" w:rsidP="00341D46">
            <w:pPr>
              <w:ind w:right="113"/>
              <w:jc w:val="right"/>
              <w:rPr>
                <w:sz w:val="15"/>
                <w:szCs w:val="15"/>
              </w:rPr>
            </w:pPr>
            <w:r w:rsidRPr="00B93EE1">
              <w:rPr>
                <w:sz w:val="15"/>
                <w:szCs w:val="15"/>
              </w:rPr>
              <w:t>2,014</w:t>
            </w:r>
          </w:p>
        </w:tc>
        <w:tc>
          <w:tcPr>
            <w:tcW w:w="0" w:type="auto"/>
            <w:tcBorders>
              <w:top w:val="nil"/>
              <w:left w:val="single" w:sz="4" w:space="0" w:color="auto"/>
              <w:bottom w:val="nil"/>
              <w:right w:val="single" w:sz="4" w:space="0" w:color="auto"/>
            </w:tcBorders>
            <w:shd w:val="clear" w:color="auto" w:fill="C9DED4"/>
          </w:tcPr>
          <w:p w14:paraId="626D71A3" w14:textId="77777777" w:rsidR="00120717" w:rsidRPr="00B93EE1" w:rsidRDefault="00120717" w:rsidP="00341D46">
            <w:pPr>
              <w:ind w:right="113"/>
              <w:jc w:val="right"/>
              <w:rPr>
                <w:rFonts w:cs="Arial"/>
                <w:sz w:val="15"/>
                <w:szCs w:val="15"/>
              </w:rPr>
            </w:pPr>
            <w:r w:rsidRPr="00B93EE1">
              <w:rPr>
                <w:rFonts w:cs="Arial"/>
                <w:sz w:val="15"/>
                <w:szCs w:val="15"/>
              </w:rPr>
              <w:t>1730</w:t>
            </w:r>
          </w:p>
        </w:tc>
        <w:tc>
          <w:tcPr>
            <w:tcW w:w="0" w:type="auto"/>
            <w:tcBorders>
              <w:top w:val="nil"/>
              <w:left w:val="single" w:sz="4" w:space="0" w:color="auto"/>
              <w:bottom w:val="nil"/>
              <w:right w:val="single" w:sz="4" w:space="0" w:color="auto"/>
            </w:tcBorders>
            <w:shd w:val="clear" w:color="auto" w:fill="C9DED4"/>
          </w:tcPr>
          <w:p w14:paraId="1BAD691C" w14:textId="77777777" w:rsidR="00120717" w:rsidRPr="00B93EE1" w:rsidRDefault="00120717" w:rsidP="00341D46">
            <w:pPr>
              <w:ind w:right="113"/>
              <w:jc w:val="right"/>
              <w:rPr>
                <w:sz w:val="15"/>
                <w:szCs w:val="15"/>
              </w:rPr>
            </w:pPr>
            <w:r w:rsidRPr="00B93EE1">
              <w:rPr>
                <w:sz w:val="15"/>
                <w:szCs w:val="15"/>
              </w:rPr>
              <w:t>86%</w:t>
            </w:r>
          </w:p>
        </w:tc>
        <w:tc>
          <w:tcPr>
            <w:tcW w:w="0" w:type="auto"/>
            <w:tcBorders>
              <w:top w:val="nil"/>
              <w:left w:val="single" w:sz="4" w:space="0" w:color="auto"/>
              <w:bottom w:val="nil"/>
              <w:right w:val="single" w:sz="4" w:space="0" w:color="auto"/>
            </w:tcBorders>
            <w:shd w:val="clear" w:color="auto" w:fill="C9DED4"/>
          </w:tcPr>
          <w:p w14:paraId="66A62A6A" w14:textId="77777777" w:rsidR="00120717" w:rsidRPr="00B93EE1" w:rsidRDefault="00120717" w:rsidP="00341D46">
            <w:pPr>
              <w:ind w:right="113"/>
              <w:jc w:val="right"/>
              <w:rPr>
                <w:sz w:val="15"/>
                <w:szCs w:val="15"/>
              </w:rPr>
            </w:pPr>
            <w:r w:rsidRPr="00B93EE1">
              <w:rPr>
                <w:sz w:val="15"/>
                <w:szCs w:val="15"/>
              </w:rPr>
              <w:t>284</w:t>
            </w:r>
          </w:p>
        </w:tc>
        <w:tc>
          <w:tcPr>
            <w:tcW w:w="0" w:type="auto"/>
            <w:tcBorders>
              <w:top w:val="nil"/>
              <w:left w:val="single" w:sz="4" w:space="0" w:color="auto"/>
              <w:bottom w:val="nil"/>
              <w:right w:val="single" w:sz="4" w:space="0" w:color="auto"/>
            </w:tcBorders>
            <w:shd w:val="clear" w:color="auto" w:fill="C9DED4"/>
          </w:tcPr>
          <w:p w14:paraId="0FB61D25" w14:textId="77777777" w:rsidR="00120717" w:rsidRPr="00B93EE1" w:rsidRDefault="00120717" w:rsidP="00341D46">
            <w:pPr>
              <w:ind w:right="113"/>
              <w:jc w:val="right"/>
              <w:rPr>
                <w:sz w:val="15"/>
                <w:szCs w:val="15"/>
              </w:rPr>
            </w:pPr>
            <w:r w:rsidRPr="00B93EE1">
              <w:rPr>
                <w:sz w:val="15"/>
                <w:szCs w:val="15"/>
              </w:rPr>
              <w:t>14%</w:t>
            </w:r>
          </w:p>
        </w:tc>
      </w:tr>
      <w:tr w:rsidR="00120717" w:rsidRPr="00B93EE1" w14:paraId="32CB83AE" w14:textId="77777777" w:rsidTr="00341D46">
        <w:tc>
          <w:tcPr>
            <w:tcW w:w="0" w:type="auto"/>
            <w:vMerge/>
            <w:tcBorders>
              <w:top w:val="single" w:sz="4" w:space="0" w:color="auto"/>
              <w:left w:val="single" w:sz="4" w:space="0" w:color="auto"/>
              <w:bottom w:val="nil"/>
              <w:right w:val="single" w:sz="4" w:space="0" w:color="auto"/>
            </w:tcBorders>
            <w:shd w:val="clear" w:color="auto" w:fill="auto"/>
            <w:vAlign w:val="center"/>
            <w:hideMark/>
          </w:tcPr>
          <w:p w14:paraId="14F3F6D1"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nil"/>
              <w:right w:val="single" w:sz="4" w:space="0" w:color="auto"/>
            </w:tcBorders>
            <w:shd w:val="clear" w:color="auto" w:fill="auto"/>
            <w:hideMark/>
          </w:tcPr>
          <w:p w14:paraId="6E507EAC" w14:textId="77777777" w:rsidR="00120717" w:rsidRPr="00B93EE1" w:rsidRDefault="00120717" w:rsidP="00341D46">
            <w:pPr>
              <w:rPr>
                <w:sz w:val="15"/>
                <w:szCs w:val="15"/>
              </w:rPr>
            </w:pPr>
            <w:r w:rsidRPr="00B93EE1">
              <w:rPr>
                <w:rFonts w:eastAsia="Times New Roman"/>
                <w:sz w:val="15"/>
                <w:szCs w:val="15"/>
              </w:rPr>
              <w:t>Other</w:t>
            </w:r>
          </w:p>
        </w:tc>
        <w:tc>
          <w:tcPr>
            <w:tcW w:w="1441" w:type="dxa"/>
            <w:tcBorders>
              <w:top w:val="nil"/>
              <w:left w:val="single" w:sz="4" w:space="0" w:color="auto"/>
              <w:bottom w:val="nil"/>
              <w:right w:val="single" w:sz="4" w:space="0" w:color="auto"/>
            </w:tcBorders>
            <w:shd w:val="clear" w:color="auto" w:fill="auto"/>
          </w:tcPr>
          <w:p w14:paraId="21188904" w14:textId="77777777" w:rsidR="00120717" w:rsidRPr="00B93EE1" w:rsidRDefault="00120717" w:rsidP="00341D46">
            <w:pPr>
              <w:ind w:right="113"/>
              <w:jc w:val="right"/>
              <w:rPr>
                <w:rFonts w:cs="Arial"/>
                <w:sz w:val="15"/>
                <w:szCs w:val="15"/>
              </w:rPr>
            </w:pPr>
          </w:p>
        </w:tc>
        <w:tc>
          <w:tcPr>
            <w:tcW w:w="0" w:type="auto"/>
            <w:tcBorders>
              <w:top w:val="nil"/>
              <w:left w:val="single" w:sz="4" w:space="0" w:color="auto"/>
              <w:bottom w:val="nil"/>
              <w:right w:val="single" w:sz="4" w:space="0" w:color="auto"/>
            </w:tcBorders>
            <w:shd w:val="clear" w:color="auto" w:fill="auto"/>
          </w:tcPr>
          <w:p w14:paraId="454D3419" w14:textId="77777777" w:rsidR="00120717" w:rsidRPr="00B93EE1" w:rsidRDefault="00120717" w:rsidP="00341D46">
            <w:pPr>
              <w:ind w:right="113"/>
              <w:jc w:val="right"/>
              <w:rPr>
                <w:sz w:val="15"/>
                <w:szCs w:val="15"/>
              </w:rPr>
            </w:pPr>
            <w:r w:rsidRPr="00B93EE1">
              <w:rPr>
                <w:sz w:val="15"/>
                <w:szCs w:val="15"/>
              </w:rPr>
              <w:t>2,866</w:t>
            </w:r>
          </w:p>
        </w:tc>
        <w:tc>
          <w:tcPr>
            <w:tcW w:w="0" w:type="auto"/>
            <w:tcBorders>
              <w:top w:val="nil"/>
              <w:left w:val="single" w:sz="4" w:space="0" w:color="auto"/>
              <w:bottom w:val="nil"/>
              <w:right w:val="single" w:sz="4" w:space="0" w:color="auto"/>
            </w:tcBorders>
            <w:shd w:val="clear" w:color="auto" w:fill="auto"/>
          </w:tcPr>
          <w:p w14:paraId="3DD46E29" w14:textId="77777777" w:rsidR="00120717" w:rsidRPr="00B93EE1" w:rsidRDefault="00120717" w:rsidP="00341D46">
            <w:pPr>
              <w:ind w:right="113"/>
              <w:jc w:val="right"/>
              <w:rPr>
                <w:sz w:val="15"/>
                <w:szCs w:val="15"/>
              </w:rPr>
            </w:pPr>
            <w:r w:rsidRPr="00B93EE1">
              <w:rPr>
                <w:sz w:val="15"/>
                <w:szCs w:val="15"/>
              </w:rPr>
              <w:t>2,589</w:t>
            </w:r>
          </w:p>
        </w:tc>
        <w:tc>
          <w:tcPr>
            <w:tcW w:w="0" w:type="auto"/>
            <w:tcBorders>
              <w:top w:val="nil"/>
              <w:left w:val="single" w:sz="4" w:space="0" w:color="auto"/>
              <w:bottom w:val="nil"/>
              <w:right w:val="single" w:sz="4" w:space="0" w:color="auto"/>
            </w:tcBorders>
            <w:shd w:val="clear" w:color="auto" w:fill="auto"/>
          </w:tcPr>
          <w:p w14:paraId="1992F4E3" w14:textId="77777777" w:rsidR="00120717" w:rsidRPr="00B93EE1" w:rsidRDefault="00120717" w:rsidP="00341D46">
            <w:pPr>
              <w:ind w:right="113"/>
              <w:jc w:val="right"/>
              <w:rPr>
                <w:sz w:val="15"/>
                <w:szCs w:val="15"/>
              </w:rPr>
            </w:pPr>
            <w:r w:rsidRPr="00B93EE1">
              <w:rPr>
                <w:sz w:val="15"/>
                <w:szCs w:val="15"/>
              </w:rPr>
              <w:t>90%</w:t>
            </w:r>
          </w:p>
        </w:tc>
        <w:tc>
          <w:tcPr>
            <w:tcW w:w="0" w:type="auto"/>
            <w:tcBorders>
              <w:top w:val="nil"/>
              <w:left w:val="single" w:sz="4" w:space="0" w:color="auto"/>
              <w:bottom w:val="nil"/>
              <w:right w:val="single" w:sz="4" w:space="0" w:color="auto"/>
            </w:tcBorders>
            <w:shd w:val="clear" w:color="auto" w:fill="auto"/>
          </w:tcPr>
          <w:p w14:paraId="35C961B6" w14:textId="77777777" w:rsidR="00120717" w:rsidRPr="00B93EE1" w:rsidRDefault="00120717" w:rsidP="00341D46">
            <w:pPr>
              <w:ind w:right="113"/>
              <w:jc w:val="right"/>
              <w:rPr>
                <w:sz w:val="15"/>
                <w:szCs w:val="15"/>
              </w:rPr>
            </w:pPr>
            <w:r w:rsidRPr="00B93EE1">
              <w:rPr>
                <w:sz w:val="15"/>
                <w:szCs w:val="15"/>
              </w:rPr>
              <w:t>277</w:t>
            </w:r>
          </w:p>
        </w:tc>
        <w:tc>
          <w:tcPr>
            <w:tcW w:w="0" w:type="auto"/>
            <w:tcBorders>
              <w:top w:val="nil"/>
              <w:left w:val="single" w:sz="4" w:space="0" w:color="auto"/>
              <w:bottom w:val="nil"/>
              <w:right w:val="single" w:sz="4" w:space="0" w:color="auto"/>
            </w:tcBorders>
            <w:shd w:val="clear" w:color="auto" w:fill="auto"/>
          </w:tcPr>
          <w:p w14:paraId="09B65445" w14:textId="77777777" w:rsidR="00120717" w:rsidRPr="00B93EE1" w:rsidRDefault="00120717" w:rsidP="00341D46">
            <w:pPr>
              <w:ind w:right="113"/>
              <w:jc w:val="right"/>
              <w:rPr>
                <w:sz w:val="15"/>
                <w:szCs w:val="15"/>
              </w:rPr>
            </w:pPr>
            <w:r w:rsidRPr="00B93EE1">
              <w:rPr>
                <w:sz w:val="15"/>
                <w:szCs w:val="15"/>
              </w:rPr>
              <w:t>10%</w:t>
            </w:r>
          </w:p>
        </w:tc>
      </w:tr>
      <w:tr w:rsidR="00120717" w:rsidRPr="00B93EE1" w14:paraId="1121545B" w14:textId="77777777" w:rsidTr="00341D46">
        <w:tc>
          <w:tcPr>
            <w:tcW w:w="0" w:type="auto"/>
            <w:vMerge/>
            <w:tcBorders>
              <w:top w:val="single" w:sz="4" w:space="0" w:color="auto"/>
              <w:left w:val="single" w:sz="4" w:space="0" w:color="auto"/>
              <w:bottom w:val="nil"/>
              <w:right w:val="single" w:sz="4" w:space="0" w:color="auto"/>
            </w:tcBorders>
            <w:shd w:val="clear" w:color="auto" w:fill="C9DED4"/>
            <w:vAlign w:val="center"/>
            <w:hideMark/>
          </w:tcPr>
          <w:p w14:paraId="44876EEC" w14:textId="77777777" w:rsidR="00120717" w:rsidRPr="00B93EE1" w:rsidRDefault="00120717" w:rsidP="000468F5">
            <w:pPr>
              <w:jc w:val="left"/>
              <w:rPr>
                <w:rFonts w:eastAsia="Verdana" w:cs="Verdana"/>
                <w:sz w:val="15"/>
                <w:szCs w:val="15"/>
              </w:rPr>
            </w:pPr>
          </w:p>
        </w:tc>
        <w:tc>
          <w:tcPr>
            <w:tcW w:w="2136" w:type="dxa"/>
            <w:tcBorders>
              <w:top w:val="nil"/>
              <w:left w:val="single" w:sz="4" w:space="0" w:color="auto"/>
              <w:bottom w:val="single" w:sz="4" w:space="0" w:color="auto"/>
              <w:right w:val="single" w:sz="4" w:space="0" w:color="auto"/>
            </w:tcBorders>
            <w:shd w:val="clear" w:color="auto" w:fill="C9DED4"/>
            <w:hideMark/>
          </w:tcPr>
          <w:p w14:paraId="1AB71CDE" w14:textId="77777777" w:rsidR="00120717" w:rsidRPr="00B93EE1" w:rsidRDefault="00120717" w:rsidP="00341D46">
            <w:pPr>
              <w:rPr>
                <w:sz w:val="15"/>
                <w:szCs w:val="15"/>
              </w:rPr>
            </w:pPr>
            <w:r w:rsidRPr="00B93EE1">
              <w:rPr>
                <w:sz w:val="15"/>
                <w:szCs w:val="15"/>
              </w:rPr>
              <w:t>Total</w:t>
            </w:r>
          </w:p>
        </w:tc>
        <w:tc>
          <w:tcPr>
            <w:tcW w:w="1441" w:type="dxa"/>
            <w:tcBorders>
              <w:top w:val="nil"/>
              <w:left w:val="single" w:sz="4" w:space="0" w:color="auto"/>
              <w:bottom w:val="single" w:sz="4" w:space="0" w:color="auto"/>
              <w:right w:val="single" w:sz="4" w:space="0" w:color="auto"/>
            </w:tcBorders>
            <w:shd w:val="clear" w:color="auto" w:fill="C9DED4"/>
          </w:tcPr>
          <w:p w14:paraId="7DDB2EE9" w14:textId="77777777" w:rsidR="00120717" w:rsidRPr="00B93EE1" w:rsidRDefault="00120717" w:rsidP="00341D46">
            <w:pPr>
              <w:ind w:right="113"/>
              <w:jc w:val="right"/>
              <w:rPr>
                <w:sz w:val="15"/>
                <w:szCs w:val="15"/>
              </w:rPr>
            </w:pPr>
            <w:r w:rsidRPr="00B93EE1">
              <w:rPr>
                <w:sz w:val="15"/>
                <w:szCs w:val="15"/>
              </w:rPr>
              <w:t>42,000</w:t>
            </w:r>
          </w:p>
        </w:tc>
        <w:tc>
          <w:tcPr>
            <w:tcW w:w="0" w:type="auto"/>
            <w:tcBorders>
              <w:top w:val="nil"/>
              <w:left w:val="single" w:sz="4" w:space="0" w:color="auto"/>
              <w:bottom w:val="single" w:sz="4" w:space="0" w:color="auto"/>
              <w:right w:val="single" w:sz="4" w:space="0" w:color="auto"/>
            </w:tcBorders>
            <w:shd w:val="clear" w:color="auto" w:fill="C9DED4"/>
          </w:tcPr>
          <w:p w14:paraId="5CA39EAC" w14:textId="77777777" w:rsidR="00120717" w:rsidRPr="00B93EE1" w:rsidRDefault="00120717" w:rsidP="00341D46">
            <w:pPr>
              <w:ind w:right="113"/>
              <w:jc w:val="right"/>
              <w:rPr>
                <w:sz w:val="15"/>
                <w:szCs w:val="15"/>
              </w:rPr>
            </w:pPr>
            <w:r w:rsidRPr="00B93EE1">
              <w:rPr>
                <w:sz w:val="15"/>
                <w:szCs w:val="15"/>
              </w:rPr>
              <w:t>6,280</w:t>
            </w:r>
          </w:p>
        </w:tc>
        <w:tc>
          <w:tcPr>
            <w:tcW w:w="0" w:type="auto"/>
            <w:tcBorders>
              <w:top w:val="nil"/>
              <w:left w:val="single" w:sz="4" w:space="0" w:color="auto"/>
              <w:bottom w:val="single" w:sz="4" w:space="0" w:color="auto"/>
              <w:right w:val="single" w:sz="4" w:space="0" w:color="auto"/>
            </w:tcBorders>
            <w:shd w:val="clear" w:color="auto" w:fill="C9DED4"/>
          </w:tcPr>
          <w:p w14:paraId="0C0B1A68" w14:textId="77777777" w:rsidR="00120717" w:rsidRPr="00B93EE1" w:rsidRDefault="00120717" w:rsidP="00341D46">
            <w:pPr>
              <w:ind w:right="113"/>
              <w:jc w:val="right"/>
              <w:rPr>
                <w:sz w:val="15"/>
                <w:szCs w:val="15"/>
              </w:rPr>
            </w:pPr>
            <w:r w:rsidRPr="00B93EE1">
              <w:rPr>
                <w:sz w:val="15"/>
                <w:szCs w:val="15"/>
              </w:rPr>
              <w:t>5,170</w:t>
            </w:r>
          </w:p>
        </w:tc>
        <w:tc>
          <w:tcPr>
            <w:tcW w:w="0" w:type="auto"/>
            <w:tcBorders>
              <w:top w:val="nil"/>
              <w:left w:val="single" w:sz="4" w:space="0" w:color="auto"/>
              <w:bottom w:val="single" w:sz="4" w:space="0" w:color="auto"/>
              <w:right w:val="single" w:sz="4" w:space="0" w:color="auto"/>
            </w:tcBorders>
            <w:shd w:val="clear" w:color="auto" w:fill="C9DED4"/>
          </w:tcPr>
          <w:p w14:paraId="2100CD2B" w14:textId="77777777" w:rsidR="00120717" w:rsidRPr="00B93EE1" w:rsidRDefault="00120717" w:rsidP="00341D46">
            <w:pPr>
              <w:ind w:right="113"/>
              <w:jc w:val="right"/>
              <w:rPr>
                <w:sz w:val="15"/>
                <w:szCs w:val="15"/>
              </w:rPr>
            </w:pPr>
            <w:r w:rsidRPr="00B93EE1">
              <w:rPr>
                <w:sz w:val="15"/>
                <w:szCs w:val="15"/>
              </w:rPr>
              <w:t>82%</w:t>
            </w:r>
          </w:p>
        </w:tc>
        <w:tc>
          <w:tcPr>
            <w:tcW w:w="0" w:type="auto"/>
            <w:tcBorders>
              <w:top w:val="nil"/>
              <w:left w:val="single" w:sz="4" w:space="0" w:color="auto"/>
              <w:bottom w:val="single" w:sz="4" w:space="0" w:color="auto"/>
              <w:right w:val="single" w:sz="4" w:space="0" w:color="auto"/>
            </w:tcBorders>
            <w:shd w:val="clear" w:color="auto" w:fill="C9DED4"/>
          </w:tcPr>
          <w:p w14:paraId="36CBA5BE" w14:textId="77777777" w:rsidR="00120717" w:rsidRPr="00B93EE1" w:rsidRDefault="00120717" w:rsidP="00341D46">
            <w:pPr>
              <w:ind w:right="113"/>
              <w:jc w:val="right"/>
              <w:rPr>
                <w:sz w:val="15"/>
                <w:szCs w:val="15"/>
              </w:rPr>
            </w:pPr>
            <w:r w:rsidRPr="00B93EE1">
              <w:rPr>
                <w:sz w:val="15"/>
                <w:szCs w:val="15"/>
              </w:rPr>
              <w:t>1109</w:t>
            </w:r>
          </w:p>
        </w:tc>
        <w:tc>
          <w:tcPr>
            <w:tcW w:w="0" w:type="auto"/>
            <w:tcBorders>
              <w:top w:val="nil"/>
              <w:left w:val="single" w:sz="4" w:space="0" w:color="auto"/>
              <w:bottom w:val="single" w:sz="4" w:space="0" w:color="auto"/>
              <w:right w:val="single" w:sz="4" w:space="0" w:color="auto"/>
            </w:tcBorders>
            <w:shd w:val="clear" w:color="auto" w:fill="C9DED4"/>
          </w:tcPr>
          <w:p w14:paraId="3DA22990" w14:textId="77777777" w:rsidR="00120717" w:rsidRPr="00B93EE1" w:rsidRDefault="00120717" w:rsidP="00341D46">
            <w:pPr>
              <w:ind w:right="113"/>
              <w:jc w:val="right"/>
              <w:rPr>
                <w:sz w:val="15"/>
                <w:szCs w:val="15"/>
              </w:rPr>
            </w:pPr>
            <w:r w:rsidRPr="00B93EE1">
              <w:rPr>
                <w:sz w:val="15"/>
                <w:szCs w:val="15"/>
              </w:rPr>
              <w:t>18%</w:t>
            </w:r>
          </w:p>
        </w:tc>
      </w:tr>
      <w:tr w:rsidR="00120717" w:rsidRPr="00B93EE1" w14:paraId="316CDE54" w14:textId="77777777" w:rsidTr="00341D46">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DCEC5" w14:textId="77777777" w:rsidR="00120717" w:rsidRPr="00B93EE1" w:rsidRDefault="00120717" w:rsidP="000468F5">
            <w:pPr>
              <w:spacing w:line="276" w:lineRule="auto"/>
              <w:jc w:val="left"/>
              <w:rPr>
                <w:rFonts w:eastAsia="Verdana" w:cs="Verdana"/>
                <w:sz w:val="15"/>
                <w:szCs w:val="15"/>
              </w:rPr>
            </w:pPr>
            <w:r w:rsidRPr="00B93EE1">
              <w:rPr>
                <w:rFonts w:eastAsia="Verdana" w:cs="Verdana"/>
                <w:sz w:val="15"/>
                <w:szCs w:val="15"/>
              </w:rPr>
              <w:t>2020</w:t>
            </w:r>
          </w:p>
        </w:tc>
        <w:tc>
          <w:tcPr>
            <w:tcW w:w="2136" w:type="dxa"/>
            <w:tcBorders>
              <w:top w:val="single" w:sz="4" w:space="0" w:color="auto"/>
              <w:left w:val="single" w:sz="4" w:space="0" w:color="auto"/>
              <w:bottom w:val="nil"/>
              <w:right w:val="single" w:sz="4" w:space="0" w:color="auto"/>
            </w:tcBorders>
            <w:shd w:val="clear" w:color="auto" w:fill="auto"/>
            <w:hideMark/>
          </w:tcPr>
          <w:p w14:paraId="14E23FC0" w14:textId="77777777" w:rsidR="00120717" w:rsidRPr="00B93EE1" w:rsidRDefault="00120717" w:rsidP="00341D46">
            <w:pPr>
              <w:rPr>
                <w:sz w:val="15"/>
                <w:szCs w:val="15"/>
              </w:rPr>
            </w:pPr>
            <w:r w:rsidRPr="00B93EE1">
              <w:rPr>
                <w:sz w:val="15"/>
                <w:szCs w:val="15"/>
              </w:rPr>
              <w:t>Central government</w:t>
            </w:r>
          </w:p>
        </w:tc>
        <w:tc>
          <w:tcPr>
            <w:tcW w:w="1441" w:type="dxa"/>
            <w:tcBorders>
              <w:top w:val="single" w:sz="4" w:space="0" w:color="auto"/>
              <w:left w:val="single" w:sz="4" w:space="0" w:color="auto"/>
              <w:bottom w:val="nil"/>
              <w:right w:val="single" w:sz="4" w:space="0" w:color="auto"/>
            </w:tcBorders>
            <w:shd w:val="clear" w:color="auto" w:fill="auto"/>
          </w:tcPr>
          <w:p w14:paraId="46B4569B" w14:textId="77777777" w:rsidR="00120717" w:rsidRPr="00B93EE1" w:rsidRDefault="00120717" w:rsidP="00341D46">
            <w:pPr>
              <w:ind w:right="113"/>
              <w:jc w:val="right"/>
              <w:rPr>
                <w:sz w:val="15"/>
                <w:szCs w:val="15"/>
              </w:rPr>
            </w:pPr>
          </w:p>
        </w:tc>
        <w:tc>
          <w:tcPr>
            <w:tcW w:w="0" w:type="auto"/>
            <w:tcBorders>
              <w:top w:val="single" w:sz="4" w:space="0" w:color="auto"/>
              <w:left w:val="single" w:sz="4" w:space="0" w:color="auto"/>
              <w:bottom w:val="nil"/>
              <w:right w:val="single" w:sz="4" w:space="0" w:color="auto"/>
            </w:tcBorders>
            <w:shd w:val="clear" w:color="auto" w:fill="auto"/>
          </w:tcPr>
          <w:p w14:paraId="0F6B5872" w14:textId="77777777" w:rsidR="00120717" w:rsidRPr="00B93EE1" w:rsidRDefault="00120717" w:rsidP="00341D46">
            <w:pPr>
              <w:ind w:right="113"/>
              <w:jc w:val="right"/>
              <w:rPr>
                <w:sz w:val="15"/>
                <w:szCs w:val="15"/>
              </w:rPr>
            </w:pPr>
            <w:r w:rsidRPr="00B93EE1">
              <w:rPr>
                <w:sz w:val="15"/>
                <w:szCs w:val="15"/>
              </w:rPr>
              <w:t>1,683</w:t>
            </w:r>
          </w:p>
        </w:tc>
        <w:tc>
          <w:tcPr>
            <w:tcW w:w="0" w:type="auto"/>
            <w:tcBorders>
              <w:top w:val="single" w:sz="4" w:space="0" w:color="auto"/>
              <w:left w:val="single" w:sz="4" w:space="0" w:color="auto"/>
              <w:bottom w:val="nil"/>
              <w:right w:val="single" w:sz="4" w:space="0" w:color="auto"/>
            </w:tcBorders>
            <w:shd w:val="clear" w:color="auto" w:fill="auto"/>
          </w:tcPr>
          <w:p w14:paraId="242CC29D" w14:textId="77777777" w:rsidR="00120717" w:rsidRPr="00B93EE1" w:rsidRDefault="00120717" w:rsidP="00341D46">
            <w:pPr>
              <w:ind w:right="113"/>
              <w:jc w:val="right"/>
              <w:rPr>
                <w:sz w:val="15"/>
                <w:szCs w:val="15"/>
              </w:rPr>
            </w:pPr>
            <w:r w:rsidRPr="00B93EE1">
              <w:rPr>
                <w:sz w:val="15"/>
                <w:szCs w:val="15"/>
              </w:rPr>
              <w:t>1,064</w:t>
            </w:r>
          </w:p>
        </w:tc>
        <w:tc>
          <w:tcPr>
            <w:tcW w:w="0" w:type="auto"/>
            <w:tcBorders>
              <w:top w:val="single" w:sz="4" w:space="0" w:color="auto"/>
              <w:left w:val="single" w:sz="4" w:space="0" w:color="auto"/>
              <w:bottom w:val="nil"/>
              <w:right w:val="single" w:sz="4" w:space="0" w:color="auto"/>
            </w:tcBorders>
            <w:shd w:val="clear" w:color="auto" w:fill="auto"/>
          </w:tcPr>
          <w:p w14:paraId="6432D986" w14:textId="77777777" w:rsidR="00120717" w:rsidRPr="00B93EE1" w:rsidRDefault="00120717" w:rsidP="00341D46">
            <w:pPr>
              <w:ind w:right="113"/>
              <w:jc w:val="right"/>
              <w:rPr>
                <w:sz w:val="15"/>
                <w:szCs w:val="15"/>
              </w:rPr>
            </w:pPr>
            <w:r w:rsidRPr="00B93EE1">
              <w:rPr>
                <w:sz w:val="15"/>
                <w:szCs w:val="15"/>
              </w:rPr>
              <w:t>63%</w:t>
            </w:r>
          </w:p>
        </w:tc>
        <w:tc>
          <w:tcPr>
            <w:tcW w:w="0" w:type="auto"/>
            <w:tcBorders>
              <w:top w:val="single" w:sz="4" w:space="0" w:color="auto"/>
              <w:left w:val="single" w:sz="4" w:space="0" w:color="auto"/>
              <w:bottom w:val="nil"/>
              <w:right w:val="single" w:sz="4" w:space="0" w:color="auto"/>
            </w:tcBorders>
            <w:shd w:val="clear" w:color="auto" w:fill="auto"/>
          </w:tcPr>
          <w:p w14:paraId="0DCFD761" w14:textId="77777777" w:rsidR="00120717" w:rsidRPr="00B93EE1" w:rsidRDefault="00120717" w:rsidP="00341D46">
            <w:pPr>
              <w:ind w:right="113"/>
              <w:jc w:val="right"/>
              <w:rPr>
                <w:sz w:val="15"/>
                <w:szCs w:val="15"/>
              </w:rPr>
            </w:pPr>
            <w:r w:rsidRPr="00B93EE1">
              <w:rPr>
                <w:sz w:val="15"/>
                <w:szCs w:val="15"/>
              </w:rPr>
              <w:t>618</w:t>
            </w:r>
          </w:p>
        </w:tc>
        <w:tc>
          <w:tcPr>
            <w:tcW w:w="0" w:type="auto"/>
            <w:tcBorders>
              <w:top w:val="single" w:sz="4" w:space="0" w:color="auto"/>
              <w:left w:val="single" w:sz="4" w:space="0" w:color="auto"/>
              <w:bottom w:val="nil"/>
              <w:right w:val="single" w:sz="4" w:space="0" w:color="auto"/>
            </w:tcBorders>
            <w:shd w:val="clear" w:color="auto" w:fill="auto"/>
          </w:tcPr>
          <w:p w14:paraId="798654B7" w14:textId="77777777" w:rsidR="00120717" w:rsidRPr="00B93EE1" w:rsidRDefault="00120717" w:rsidP="00341D46">
            <w:pPr>
              <w:ind w:right="113"/>
              <w:jc w:val="right"/>
              <w:rPr>
                <w:sz w:val="15"/>
                <w:szCs w:val="15"/>
              </w:rPr>
            </w:pPr>
            <w:r w:rsidRPr="00B93EE1">
              <w:rPr>
                <w:sz w:val="15"/>
                <w:szCs w:val="15"/>
              </w:rPr>
              <w:t>37%</w:t>
            </w:r>
          </w:p>
        </w:tc>
      </w:tr>
      <w:tr w:rsidR="00120717" w:rsidRPr="00B93EE1" w14:paraId="305BDD3F" w14:textId="77777777" w:rsidTr="00341D46">
        <w:tc>
          <w:tcPr>
            <w:tcW w:w="0" w:type="auto"/>
            <w:vMerge/>
            <w:tcBorders>
              <w:top w:val="single" w:sz="4" w:space="0" w:color="auto"/>
              <w:left w:val="single" w:sz="4" w:space="0" w:color="auto"/>
              <w:bottom w:val="single" w:sz="4" w:space="0" w:color="auto"/>
              <w:right w:val="single" w:sz="4" w:space="0" w:color="auto"/>
            </w:tcBorders>
            <w:shd w:val="clear" w:color="auto" w:fill="C9DED4"/>
            <w:vAlign w:val="center"/>
            <w:hideMark/>
          </w:tcPr>
          <w:p w14:paraId="3899FB15" w14:textId="77777777" w:rsidR="00120717" w:rsidRPr="00B93EE1" w:rsidRDefault="00120717" w:rsidP="00341D46">
            <w:pPr>
              <w:rPr>
                <w:rFonts w:eastAsia="Verdana" w:cs="Verdana"/>
                <w:sz w:val="15"/>
                <w:szCs w:val="15"/>
              </w:rPr>
            </w:pPr>
          </w:p>
        </w:tc>
        <w:tc>
          <w:tcPr>
            <w:tcW w:w="2136" w:type="dxa"/>
            <w:tcBorders>
              <w:top w:val="nil"/>
              <w:left w:val="single" w:sz="4" w:space="0" w:color="auto"/>
              <w:bottom w:val="nil"/>
              <w:right w:val="single" w:sz="4" w:space="0" w:color="auto"/>
            </w:tcBorders>
            <w:shd w:val="clear" w:color="auto" w:fill="C9DED4"/>
            <w:hideMark/>
          </w:tcPr>
          <w:p w14:paraId="064221CF" w14:textId="77777777" w:rsidR="00120717" w:rsidRPr="00B93EE1" w:rsidRDefault="00120717" w:rsidP="00341D46">
            <w:pPr>
              <w:rPr>
                <w:sz w:val="15"/>
                <w:szCs w:val="15"/>
              </w:rPr>
            </w:pPr>
            <w:r w:rsidRPr="00B93EE1">
              <w:rPr>
                <w:sz w:val="15"/>
                <w:szCs w:val="15"/>
              </w:rPr>
              <w:t>Sub-central government</w:t>
            </w:r>
          </w:p>
        </w:tc>
        <w:tc>
          <w:tcPr>
            <w:tcW w:w="1441" w:type="dxa"/>
            <w:tcBorders>
              <w:top w:val="nil"/>
              <w:left w:val="single" w:sz="4" w:space="0" w:color="auto"/>
              <w:bottom w:val="nil"/>
              <w:right w:val="single" w:sz="4" w:space="0" w:color="auto"/>
            </w:tcBorders>
            <w:shd w:val="clear" w:color="auto" w:fill="C9DED4"/>
          </w:tcPr>
          <w:p w14:paraId="3217B91F" w14:textId="77777777" w:rsidR="00120717" w:rsidRPr="00B93EE1" w:rsidRDefault="00120717" w:rsidP="00341D46">
            <w:pPr>
              <w:ind w:right="113"/>
              <w:jc w:val="right"/>
              <w:rPr>
                <w:sz w:val="15"/>
                <w:szCs w:val="15"/>
              </w:rPr>
            </w:pPr>
          </w:p>
        </w:tc>
        <w:tc>
          <w:tcPr>
            <w:tcW w:w="0" w:type="auto"/>
            <w:tcBorders>
              <w:top w:val="nil"/>
              <w:left w:val="single" w:sz="4" w:space="0" w:color="auto"/>
              <w:bottom w:val="nil"/>
              <w:right w:val="single" w:sz="4" w:space="0" w:color="auto"/>
            </w:tcBorders>
            <w:shd w:val="clear" w:color="auto" w:fill="C9DED4"/>
          </w:tcPr>
          <w:p w14:paraId="5325B992" w14:textId="77777777" w:rsidR="00120717" w:rsidRPr="00B93EE1" w:rsidRDefault="00120717" w:rsidP="00341D46">
            <w:pPr>
              <w:ind w:right="113"/>
              <w:jc w:val="right"/>
              <w:rPr>
                <w:sz w:val="15"/>
                <w:szCs w:val="15"/>
              </w:rPr>
            </w:pPr>
            <w:r w:rsidRPr="00B93EE1">
              <w:rPr>
                <w:sz w:val="15"/>
                <w:szCs w:val="15"/>
              </w:rPr>
              <w:t>611</w:t>
            </w:r>
          </w:p>
        </w:tc>
        <w:tc>
          <w:tcPr>
            <w:tcW w:w="0" w:type="auto"/>
            <w:tcBorders>
              <w:top w:val="nil"/>
              <w:left w:val="single" w:sz="4" w:space="0" w:color="auto"/>
              <w:bottom w:val="nil"/>
              <w:right w:val="single" w:sz="4" w:space="0" w:color="auto"/>
            </w:tcBorders>
            <w:shd w:val="clear" w:color="auto" w:fill="C9DED4"/>
          </w:tcPr>
          <w:p w14:paraId="694CF1AD" w14:textId="77777777" w:rsidR="00120717" w:rsidRPr="00B93EE1" w:rsidRDefault="00120717" w:rsidP="00341D46">
            <w:pPr>
              <w:ind w:right="113"/>
              <w:jc w:val="right"/>
              <w:rPr>
                <w:sz w:val="15"/>
                <w:szCs w:val="15"/>
              </w:rPr>
            </w:pPr>
            <w:r w:rsidRPr="00B93EE1">
              <w:rPr>
                <w:sz w:val="15"/>
                <w:szCs w:val="15"/>
              </w:rPr>
              <w:t>255</w:t>
            </w:r>
          </w:p>
        </w:tc>
        <w:tc>
          <w:tcPr>
            <w:tcW w:w="0" w:type="auto"/>
            <w:tcBorders>
              <w:top w:val="nil"/>
              <w:left w:val="single" w:sz="4" w:space="0" w:color="auto"/>
              <w:bottom w:val="nil"/>
              <w:right w:val="single" w:sz="4" w:space="0" w:color="auto"/>
            </w:tcBorders>
            <w:shd w:val="clear" w:color="auto" w:fill="C9DED4"/>
          </w:tcPr>
          <w:p w14:paraId="47E0594E" w14:textId="77777777" w:rsidR="00120717" w:rsidRPr="00B93EE1" w:rsidRDefault="00120717" w:rsidP="00341D46">
            <w:pPr>
              <w:ind w:right="113"/>
              <w:jc w:val="right"/>
              <w:rPr>
                <w:sz w:val="15"/>
                <w:szCs w:val="15"/>
              </w:rPr>
            </w:pPr>
            <w:r w:rsidRPr="00B93EE1">
              <w:rPr>
                <w:sz w:val="15"/>
                <w:szCs w:val="15"/>
              </w:rPr>
              <w:t>42%</w:t>
            </w:r>
          </w:p>
        </w:tc>
        <w:tc>
          <w:tcPr>
            <w:tcW w:w="0" w:type="auto"/>
            <w:tcBorders>
              <w:top w:val="nil"/>
              <w:left w:val="single" w:sz="4" w:space="0" w:color="auto"/>
              <w:bottom w:val="nil"/>
              <w:right w:val="single" w:sz="4" w:space="0" w:color="auto"/>
            </w:tcBorders>
            <w:shd w:val="clear" w:color="auto" w:fill="C9DED4"/>
          </w:tcPr>
          <w:p w14:paraId="04CEEEEA" w14:textId="77777777" w:rsidR="00120717" w:rsidRPr="00B93EE1" w:rsidRDefault="00120717" w:rsidP="00341D46">
            <w:pPr>
              <w:ind w:right="113"/>
              <w:jc w:val="right"/>
              <w:rPr>
                <w:sz w:val="15"/>
                <w:szCs w:val="15"/>
              </w:rPr>
            </w:pPr>
            <w:r w:rsidRPr="00B93EE1">
              <w:rPr>
                <w:sz w:val="15"/>
                <w:szCs w:val="15"/>
              </w:rPr>
              <w:t>356</w:t>
            </w:r>
          </w:p>
        </w:tc>
        <w:tc>
          <w:tcPr>
            <w:tcW w:w="0" w:type="auto"/>
            <w:tcBorders>
              <w:top w:val="nil"/>
              <w:left w:val="single" w:sz="4" w:space="0" w:color="auto"/>
              <w:bottom w:val="nil"/>
              <w:right w:val="single" w:sz="4" w:space="0" w:color="auto"/>
            </w:tcBorders>
            <w:shd w:val="clear" w:color="auto" w:fill="C9DED4"/>
          </w:tcPr>
          <w:p w14:paraId="11B037DD" w14:textId="77777777" w:rsidR="00120717" w:rsidRPr="00B93EE1" w:rsidRDefault="00120717" w:rsidP="00341D46">
            <w:pPr>
              <w:ind w:right="113"/>
              <w:jc w:val="right"/>
              <w:rPr>
                <w:sz w:val="15"/>
                <w:szCs w:val="15"/>
              </w:rPr>
            </w:pPr>
            <w:r w:rsidRPr="00B93EE1">
              <w:rPr>
                <w:sz w:val="15"/>
                <w:szCs w:val="15"/>
              </w:rPr>
              <w:t>58%</w:t>
            </w:r>
          </w:p>
        </w:tc>
      </w:tr>
      <w:tr w:rsidR="00120717" w:rsidRPr="00B93EE1" w14:paraId="5BE8DAC7" w14:textId="77777777" w:rsidTr="00341D4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38A0F" w14:textId="77777777" w:rsidR="00120717" w:rsidRPr="00B93EE1" w:rsidRDefault="00120717" w:rsidP="00341D46">
            <w:pPr>
              <w:rPr>
                <w:rFonts w:eastAsia="Verdana" w:cs="Verdana"/>
                <w:sz w:val="15"/>
                <w:szCs w:val="15"/>
              </w:rPr>
            </w:pPr>
          </w:p>
        </w:tc>
        <w:tc>
          <w:tcPr>
            <w:tcW w:w="2136" w:type="dxa"/>
            <w:tcBorders>
              <w:top w:val="nil"/>
              <w:left w:val="single" w:sz="4" w:space="0" w:color="auto"/>
              <w:bottom w:val="nil"/>
              <w:right w:val="single" w:sz="4" w:space="0" w:color="auto"/>
            </w:tcBorders>
            <w:shd w:val="clear" w:color="auto" w:fill="auto"/>
            <w:hideMark/>
          </w:tcPr>
          <w:p w14:paraId="6D1448EC" w14:textId="77777777" w:rsidR="00120717" w:rsidRPr="00B93EE1" w:rsidRDefault="00120717" w:rsidP="00341D46">
            <w:pPr>
              <w:rPr>
                <w:sz w:val="15"/>
                <w:szCs w:val="15"/>
              </w:rPr>
            </w:pPr>
            <w:r w:rsidRPr="00B93EE1">
              <w:rPr>
                <w:rFonts w:eastAsia="Times New Roman"/>
                <w:sz w:val="15"/>
                <w:szCs w:val="15"/>
              </w:rPr>
              <w:t xml:space="preserve">Other </w:t>
            </w:r>
          </w:p>
        </w:tc>
        <w:tc>
          <w:tcPr>
            <w:tcW w:w="1441" w:type="dxa"/>
            <w:tcBorders>
              <w:top w:val="nil"/>
              <w:left w:val="single" w:sz="4" w:space="0" w:color="auto"/>
              <w:bottom w:val="nil"/>
              <w:right w:val="single" w:sz="4" w:space="0" w:color="auto"/>
            </w:tcBorders>
            <w:shd w:val="clear" w:color="auto" w:fill="auto"/>
          </w:tcPr>
          <w:p w14:paraId="3E3E8005" w14:textId="77777777" w:rsidR="00120717" w:rsidRPr="00B93EE1" w:rsidRDefault="00120717" w:rsidP="00341D46">
            <w:pPr>
              <w:ind w:right="113"/>
              <w:jc w:val="right"/>
              <w:rPr>
                <w:rFonts w:cs="Arial"/>
                <w:sz w:val="15"/>
                <w:szCs w:val="15"/>
              </w:rPr>
            </w:pPr>
          </w:p>
        </w:tc>
        <w:tc>
          <w:tcPr>
            <w:tcW w:w="0" w:type="auto"/>
            <w:tcBorders>
              <w:top w:val="nil"/>
              <w:left w:val="single" w:sz="4" w:space="0" w:color="auto"/>
              <w:bottom w:val="nil"/>
              <w:right w:val="single" w:sz="4" w:space="0" w:color="auto"/>
            </w:tcBorders>
            <w:shd w:val="clear" w:color="auto" w:fill="auto"/>
          </w:tcPr>
          <w:p w14:paraId="7EC20413" w14:textId="77777777" w:rsidR="00120717" w:rsidRPr="00B93EE1" w:rsidRDefault="00120717" w:rsidP="00341D46">
            <w:pPr>
              <w:ind w:right="113"/>
              <w:jc w:val="right"/>
              <w:rPr>
                <w:sz w:val="15"/>
                <w:szCs w:val="15"/>
              </w:rPr>
            </w:pPr>
            <w:r w:rsidRPr="00B93EE1">
              <w:rPr>
                <w:sz w:val="15"/>
                <w:szCs w:val="15"/>
              </w:rPr>
              <w:t>461</w:t>
            </w:r>
          </w:p>
        </w:tc>
        <w:tc>
          <w:tcPr>
            <w:tcW w:w="0" w:type="auto"/>
            <w:tcBorders>
              <w:top w:val="nil"/>
              <w:left w:val="single" w:sz="4" w:space="0" w:color="auto"/>
              <w:bottom w:val="nil"/>
              <w:right w:val="single" w:sz="4" w:space="0" w:color="auto"/>
            </w:tcBorders>
            <w:shd w:val="clear" w:color="auto" w:fill="auto"/>
          </w:tcPr>
          <w:p w14:paraId="742338F2" w14:textId="77777777" w:rsidR="00120717" w:rsidRPr="00B93EE1" w:rsidRDefault="00120717" w:rsidP="00341D46">
            <w:pPr>
              <w:ind w:right="113"/>
              <w:jc w:val="right"/>
              <w:rPr>
                <w:sz w:val="15"/>
                <w:szCs w:val="15"/>
              </w:rPr>
            </w:pPr>
            <w:r w:rsidRPr="00B93EE1">
              <w:rPr>
                <w:sz w:val="15"/>
                <w:szCs w:val="15"/>
              </w:rPr>
              <w:t>407</w:t>
            </w:r>
          </w:p>
        </w:tc>
        <w:tc>
          <w:tcPr>
            <w:tcW w:w="0" w:type="auto"/>
            <w:tcBorders>
              <w:top w:val="nil"/>
              <w:left w:val="single" w:sz="4" w:space="0" w:color="auto"/>
              <w:bottom w:val="nil"/>
              <w:right w:val="single" w:sz="4" w:space="0" w:color="auto"/>
            </w:tcBorders>
            <w:shd w:val="clear" w:color="auto" w:fill="auto"/>
          </w:tcPr>
          <w:p w14:paraId="064C996C" w14:textId="77777777" w:rsidR="00120717" w:rsidRPr="00B93EE1" w:rsidRDefault="00120717" w:rsidP="00341D46">
            <w:pPr>
              <w:ind w:right="113"/>
              <w:jc w:val="right"/>
              <w:rPr>
                <w:sz w:val="15"/>
                <w:szCs w:val="15"/>
              </w:rPr>
            </w:pPr>
            <w:r w:rsidRPr="00B93EE1">
              <w:rPr>
                <w:sz w:val="15"/>
                <w:szCs w:val="15"/>
              </w:rPr>
              <w:t>88%</w:t>
            </w:r>
          </w:p>
        </w:tc>
        <w:tc>
          <w:tcPr>
            <w:tcW w:w="0" w:type="auto"/>
            <w:tcBorders>
              <w:top w:val="nil"/>
              <w:left w:val="single" w:sz="4" w:space="0" w:color="auto"/>
              <w:bottom w:val="nil"/>
              <w:right w:val="single" w:sz="4" w:space="0" w:color="auto"/>
            </w:tcBorders>
            <w:shd w:val="clear" w:color="auto" w:fill="auto"/>
          </w:tcPr>
          <w:p w14:paraId="43A6814D" w14:textId="77777777" w:rsidR="00120717" w:rsidRPr="00B93EE1" w:rsidRDefault="00120717" w:rsidP="00341D46">
            <w:pPr>
              <w:ind w:right="113"/>
              <w:jc w:val="right"/>
              <w:rPr>
                <w:sz w:val="15"/>
                <w:szCs w:val="15"/>
              </w:rPr>
            </w:pPr>
            <w:r w:rsidRPr="00B93EE1">
              <w:rPr>
                <w:sz w:val="15"/>
                <w:szCs w:val="15"/>
              </w:rPr>
              <w:t>54</w:t>
            </w:r>
          </w:p>
        </w:tc>
        <w:tc>
          <w:tcPr>
            <w:tcW w:w="0" w:type="auto"/>
            <w:tcBorders>
              <w:top w:val="nil"/>
              <w:left w:val="single" w:sz="4" w:space="0" w:color="auto"/>
              <w:bottom w:val="nil"/>
              <w:right w:val="single" w:sz="4" w:space="0" w:color="auto"/>
            </w:tcBorders>
            <w:shd w:val="clear" w:color="auto" w:fill="auto"/>
          </w:tcPr>
          <w:p w14:paraId="65BB423C" w14:textId="77777777" w:rsidR="00120717" w:rsidRPr="00B93EE1" w:rsidRDefault="00120717" w:rsidP="00341D46">
            <w:pPr>
              <w:ind w:right="113"/>
              <w:jc w:val="right"/>
              <w:rPr>
                <w:sz w:val="15"/>
                <w:szCs w:val="15"/>
              </w:rPr>
            </w:pPr>
            <w:r w:rsidRPr="00B93EE1">
              <w:rPr>
                <w:sz w:val="15"/>
                <w:szCs w:val="15"/>
              </w:rPr>
              <w:t>12%</w:t>
            </w:r>
          </w:p>
        </w:tc>
      </w:tr>
      <w:tr w:rsidR="00120717" w:rsidRPr="00B93EE1" w14:paraId="6945EB57" w14:textId="77777777" w:rsidTr="00341D46">
        <w:tc>
          <w:tcPr>
            <w:tcW w:w="0" w:type="auto"/>
            <w:vMerge/>
            <w:tcBorders>
              <w:top w:val="single" w:sz="4" w:space="0" w:color="auto"/>
              <w:left w:val="single" w:sz="4" w:space="0" w:color="auto"/>
              <w:bottom w:val="single" w:sz="4" w:space="0" w:color="auto"/>
              <w:right w:val="single" w:sz="4" w:space="0" w:color="auto"/>
            </w:tcBorders>
            <w:shd w:val="clear" w:color="auto" w:fill="C9DED4"/>
            <w:vAlign w:val="center"/>
            <w:hideMark/>
          </w:tcPr>
          <w:p w14:paraId="0F1DDC1D" w14:textId="77777777" w:rsidR="00120717" w:rsidRPr="00B93EE1" w:rsidRDefault="00120717" w:rsidP="00341D46">
            <w:pPr>
              <w:rPr>
                <w:rFonts w:eastAsia="Verdana" w:cs="Verdana"/>
                <w:sz w:val="15"/>
                <w:szCs w:val="15"/>
              </w:rPr>
            </w:pPr>
          </w:p>
        </w:tc>
        <w:tc>
          <w:tcPr>
            <w:tcW w:w="2136" w:type="dxa"/>
            <w:tcBorders>
              <w:top w:val="nil"/>
              <w:left w:val="single" w:sz="4" w:space="0" w:color="auto"/>
              <w:bottom w:val="single" w:sz="4" w:space="0" w:color="auto"/>
              <w:right w:val="single" w:sz="4" w:space="0" w:color="auto"/>
            </w:tcBorders>
            <w:shd w:val="clear" w:color="auto" w:fill="C9DED4"/>
            <w:hideMark/>
          </w:tcPr>
          <w:p w14:paraId="0791F385" w14:textId="77777777" w:rsidR="00120717" w:rsidRPr="00B93EE1" w:rsidRDefault="00120717" w:rsidP="00341D46">
            <w:pPr>
              <w:rPr>
                <w:sz w:val="15"/>
                <w:szCs w:val="15"/>
              </w:rPr>
            </w:pPr>
            <w:r w:rsidRPr="00B93EE1">
              <w:rPr>
                <w:sz w:val="15"/>
                <w:szCs w:val="15"/>
              </w:rPr>
              <w:t>Total</w:t>
            </w:r>
          </w:p>
        </w:tc>
        <w:tc>
          <w:tcPr>
            <w:tcW w:w="1441" w:type="dxa"/>
            <w:tcBorders>
              <w:top w:val="nil"/>
              <w:left w:val="single" w:sz="4" w:space="0" w:color="auto"/>
              <w:bottom w:val="single" w:sz="4" w:space="0" w:color="auto"/>
              <w:right w:val="single" w:sz="4" w:space="0" w:color="auto"/>
            </w:tcBorders>
            <w:shd w:val="clear" w:color="auto" w:fill="C9DED4"/>
          </w:tcPr>
          <w:p w14:paraId="0537E486" w14:textId="77777777" w:rsidR="00120717" w:rsidRPr="00B93EE1" w:rsidRDefault="00120717" w:rsidP="00341D46">
            <w:pPr>
              <w:ind w:right="113"/>
              <w:jc w:val="right"/>
              <w:rPr>
                <w:sz w:val="15"/>
                <w:szCs w:val="15"/>
              </w:rPr>
            </w:pPr>
            <w:r w:rsidRPr="00B93EE1">
              <w:rPr>
                <w:sz w:val="15"/>
                <w:szCs w:val="15"/>
              </w:rPr>
              <w:t>51,500</w:t>
            </w:r>
          </w:p>
        </w:tc>
        <w:tc>
          <w:tcPr>
            <w:tcW w:w="0" w:type="auto"/>
            <w:tcBorders>
              <w:top w:val="nil"/>
              <w:left w:val="single" w:sz="4" w:space="0" w:color="auto"/>
              <w:bottom w:val="single" w:sz="4" w:space="0" w:color="auto"/>
              <w:right w:val="single" w:sz="4" w:space="0" w:color="auto"/>
            </w:tcBorders>
            <w:shd w:val="clear" w:color="auto" w:fill="C9DED4"/>
          </w:tcPr>
          <w:p w14:paraId="4C46ACCA" w14:textId="77777777" w:rsidR="00120717" w:rsidRPr="00B93EE1" w:rsidRDefault="00120717" w:rsidP="00341D46">
            <w:pPr>
              <w:ind w:right="113"/>
              <w:jc w:val="right"/>
              <w:rPr>
                <w:sz w:val="15"/>
                <w:szCs w:val="15"/>
              </w:rPr>
            </w:pPr>
            <w:r w:rsidRPr="00B93EE1">
              <w:rPr>
                <w:sz w:val="15"/>
                <w:szCs w:val="15"/>
              </w:rPr>
              <w:t>2755</w:t>
            </w:r>
          </w:p>
        </w:tc>
        <w:tc>
          <w:tcPr>
            <w:tcW w:w="0" w:type="auto"/>
            <w:tcBorders>
              <w:top w:val="nil"/>
              <w:left w:val="single" w:sz="4" w:space="0" w:color="auto"/>
              <w:bottom w:val="single" w:sz="4" w:space="0" w:color="auto"/>
              <w:right w:val="single" w:sz="4" w:space="0" w:color="auto"/>
            </w:tcBorders>
            <w:shd w:val="clear" w:color="auto" w:fill="C9DED4"/>
          </w:tcPr>
          <w:p w14:paraId="4E5F9F7E" w14:textId="77777777" w:rsidR="00120717" w:rsidRPr="00B93EE1" w:rsidRDefault="00120717" w:rsidP="00341D46">
            <w:pPr>
              <w:ind w:right="113"/>
              <w:jc w:val="right"/>
              <w:rPr>
                <w:sz w:val="15"/>
                <w:szCs w:val="15"/>
              </w:rPr>
            </w:pPr>
            <w:r w:rsidRPr="00B93EE1">
              <w:rPr>
                <w:sz w:val="15"/>
                <w:szCs w:val="15"/>
              </w:rPr>
              <w:t>1726</w:t>
            </w:r>
          </w:p>
        </w:tc>
        <w:tc>
          <w:tcPr>
            <w:tcW w:w="0" w:type="auto"/>
            <w:tcBorders>
              <w:top w:val="nil"/>
              <w:left w:val="single" w:sz="4" w:space="0" w:color="auto"/>
              <w:bottom w:val="single" w:sz="4" w:space="0" w:color="auto"/>
              <w:right w:val="single" w:sz="4" w:space="0" w:color="auto"/>
            </w:tcBorders>
            <w:shd w:val="clear" w:color="auto" w:fill="C9DED4"/>
          </w:tcPr>
          <w:p w14:paraId="45768402" w14:textId="77777777" w:rsidR="00120717" w:rsidRPr="00B93EE1" w:rsidRDefault="00120717" w:rsidP="00341D46">
            <w:pPr>
              <w:ind w:right="113"/>
              <w:jc w:val="right"/>
              <w:rPr>
                <w:sz w:val="15"/>
                <w:szCs w:val="15"/>
              </w:rPr>
            </w:pPr>
            <w:r w:rsidRPr="00B93EE1">
              <w:rPr>
                <w:sz w:val="15"/>
                <w:szCs w:val="15"/>
              </w:rPr>
              <w:t>63%</w:t>
            </w:r>
          </w:p>
        </w:tc>
        <w:tc>
          <w:tcPr>
            <w:tcW w:w="0" w:type="auto"/>
            <w:tcBorders>
              <w:top w:val="nil"/>
              <w:left w:val="single" w:sz="4" w:space="0" w:color="auto"/>
              <w:bottom w:val="single" w:sz="4" w:space="0" w:color="auto"/>
              <w:right w:val="single" w:sz="4" w:space="0" w:color="auto"/>
            </w:tcBorders>
            <w:shd w:val="clear" w:color="auto" w:fill="C9DED4"/>
          </w:tcPr>
          <w:p w14:paraId="6EB31565" w14:textId="77777777" w:rsidR="00120717" w:rsidRPr="00B93EE1" w:rsidRDefault="00120717" w:rsidP="00341D46">
            <w:pPr>
              <w:ind w:right="113"/>
              <w:jc w:val="right"/>
              <w:rPr>
                <w:sz w:val="15"/>
                <w:szCs w:val="15"/>
              </w:rPr>
            </w:pPr>
            <w:r w:rsidRPr="00B93EE1">
              <w:rPr>
                <w:sz w:val="15"/>
                <w:szCs w:val="15"/>
              </w:rPr>
              <w:t>1028</w:t>
            </w:r>
          </w:p>
        </w:tc>
        <w:tc>
          <w:tcPr>
            <w:tcW w:w="0" w:type="auto"/>
            <w:tcBorders>
              <w:top w:val="nil"/>
              <w:left w:val="single" w:sz="4" w:space="0" w:color="auto"/>
              <w:bottom w:val="single" w:sz="4" w:space="0" w:color="auto"/>
              <w:right w:val="single" w:sz="4" w:space="0" w:color="auto"/>
            </w:tcBorders>
            <w:shd w:val="clear" w:color="auto" w:fill="C9DED4"/>
          </w:tcPr>
          <w:p w14:paraId="6748A745" w14:textId="77777777" w:rsidR="00120717" w:rsidRPr="00B93EE1" w:rsidRDefault="00120717" w:rsidP="00341D46">
            <w:pPr>
              <w:ind w:right="113"/>
              <w:jc w:val="right"/>
              <w:rPr>
                <w:sz w:val="15"/>
                <w:szCs w:val="15"/>
              </w:rPr>
            </w:pPr>
            <w:r w:rsidRPr="00B93EE1">
              <w:rPr>
                <w:sz w:val="15"/>
                <w:szCs w:val="15"/>
              </w:rPr>
              <w:t>37%</w:t>
            </w:r>
          </w:p>
        </w:tc>
      </w:tr>
    </w:tbl>
    <w:p w14:paraId="31C603AE" w14:textId="528EEAAD" w:rsidR="001B67C0" w:rsidRDefault="001B67C0" w:rsidP="00AF569F">
      <w:pPr>
        <w:pStyle w:val="NoteText"/>
        <w:spacing w:before="120"/>
      </w:pPr>
      <w:r>
        <w:t>-</w:t>
      </w:r>
      <w:r>
        <w:tab/>
        <w:t>N</w:t>
      </w:r>
      <w:r w:rsidR="00375F3C">
        <w:t>il</w:t>
      </w:r>
      <w:r>
        <w:t>.</w:t>
      </w:r>
    </w:p>
    <w:p w14:paraId="3A624A50" w14:textId="0E870909" w:rsidR="00120717" w:rsidRPr="00B93EE1" w:rsidRDefault="00120717" w:rsidP="00FD7477">
      <w:pPr>
        <w:pStyle w:val="NoteText"/>
        <w:spacing w:before="120"/>
      </w:pPr>
      <w:r w:rsidRPr="00B93EE1">
        <w:t>Note:</w:t>
      </w:r>
      <w:r w:rsidRPr="00B93EE1">
        <w:tab/>
        <w:t>1.</w:t>
      </w:r>
      <w:r w:rsidRPr="00B93EE1">
        <w:tab/>
        <w:t>Data on the total value of procurement (GPA covered and non-covered) by type of entity is not centrally collected. Total government procurement spend is calculated approximately every three years but is not disaggregated into central, subcentral</w:t>
      </w:r>
      <w:r w:rsidR="001B67C0">
        <w:t>,</w:t>
      </w:r>
      <w:r w:rsidRPr="00B93EE1">
        <w:t xml:space="preserve"> and other entities.</w:t>
      </w:r>
    </w:p>
    <w:p w14:paraId="67C9B381" w14:textId="4FCDCE15" w:rsidR="00120717" w:rsidRPr="00B93EE1" w:rsidRDefault="00120717" w:rsidP="00FD7477">
      <w:pPr>
        <w:pStyle w:val="NoteText"/>
        <w:spacing w:before="120"/>
      </w:pPr>
      <w:r w:rsidRPr="00B93EE1">
        <w:tab/>
        <w:t>2.</w:t>
      </w:r>
      <w:r w:rsidRPr="00B93EE1">
        <w:tab/>
        <w:t xml:space="preserve">Data for 2015 and 2016 </w:t>
      </w:r>
      <w:r w:rsidR="001B67C0">
        <w:t>were</w:t>
      </w:r>
      <w:r w:rsidR="001B67C0" w:rsidRPr="00B93EE1">
        <w:t xml:space="preserve"> </w:t>
      </w:r>
      <w:r w:rsidRPr="00B93EE1">
        <w:t xml:space="preserve">drawn from tender notices published in the Government Electronic Tenders Service (GETS). Specific contract values were used where possible; however, some values were estimated based on the mid-point of the price band indicated by the entity. </w:t>
      </w:r>
    </w:p>
    <w:p w14:paraId="3FF850E7" w14:textId="1AAED731" w:rsidR="00120717" w:rsidRPr="00B93EE1" w:rsidRDefault="00120717" w:rsidP="00FD7477">
      <w:pPr>
        <w:pStyle w:val="NoteText"/>
        <w:spacing w:before="120"/>
      </w:pPr>
      <w:r w:rsidRPr="00B93EE1">
        <w:tab/>
        <w:t>3.</w:t>
      </w:r>
      <w:r w:rsidRPr="00B93EE1">
        <w:tab/>
        <w:t>2015 values represent a partial year only (August to December)</w:t>
      </w:r>
      <w:r w:rsidR="001B67C0">
        <w:t>,</w:t>
      </w:r>
      <w:r w:rsidRPr="00B93EE1">
        <w:t xml:space="preserve"> as New Zealand's GPA accession was effective from 15 August 2015.</w:t>
      </w:r>
    </w:p>
    <w:p w14:paraId="34447D1E" w14:textId="5E5088F4" w:rsidR="00120717" w:rsidRPr="00B93EE1" w:rsidRDefault="00120717" w:rsidP="00FD7477">
      <w:pPr>
        <w:pStyle w:val="NoteText"/>
        <w:spacing w:before="120"/>
      </w:pPr>
      <w:r w:rsidRPr="00B93EE1">
        <w:tab/>
        <w:t>4.</w:t>
      </w:r>
      <w:r w:rsidRPr="00B93EE1">
        <w:tab/>
        <w:t>Data for 2017, 2018</w:t>
      </w:r>
      <w:r w:rsidR="001B67C0">
        <w:t>,</w:t>
      </w:r>
      <w:r w:rsidRPr="00B93EE1">
        <w:t xml:space="preserve"> and 2019 </w:t>
      </w:r>
      <w:r w:rsidR="001B67C0">
        <w:t xml:space="preserve">were </w:t>
      </w:r>
      <w:r w:rsidRPr="00B93EE1">
        <w:t>obtained from contract award notices as recorded by government entities in GETS, except for information from the New Zealand Land Transport Agency</w:t>
      </w:r>
      <w:r w:rsidR="001B67C0">
        <w:t>,</w:t>
      </w:r>
      <w:r w:rsidRPr="00B93EE1">
        <w:t xml:space="preserve"> which was supplied separately. </w:t>
      </w:r>
    </w:p>
    <w:p w14:paraId="4280C183" w14:textId="4B40AC8E" w:rsidR="00120717" w:rsidRPr="00B93EE1" w:rsidRDefault="00120717" w:rsidP="00FD7477">
      <w:pPr>
        <w:pStyle w:val="NoteText"/>
        <w:spacing w:before="120"/>
      </w:pPr>
      <w:r w:rsidRPr="00B93EE1">
        <w:tab/>
        <w:t>5.</w:t>
      </w:r>
      <w:r w:rsidRPr="00B93EE1">
        <w:tab/>
        <w:t xml:space="preserve">Data for 2020 </w:t>
      </w:r>
      <w:r w:rsidR="001B67C0">
        <w:t xml:space="preserve">were </w:t>
      </w:r>
      <w:r w:rsidRPr="00B93EE1">
        <w:t>obtained from contract award notices as recorded by government entities in GETS. Information from the New Zealand Land Transport Agency (relevant to the totals for sub</w:t>
      </w:r>
      <w:r w:rsidR="001B67C0">
        <w:noBreakHyphen/>
      </w:r>
      <w:r w:rsidRPr="00B93EE1">
        <w:t>central government and other entities) is not yet available.</w:t>
      </w:r>
    </w:p>
    <w:p w14:paraId="608CA1B8" w14:textId="77777777" w:rsidR="00120717" w:rsidRPr="00B93EE1" w:rsidRDefault="00120717" w:rsidP="00FD7477">
      <w:pPr>
        <w:pStyle w:val="NoteText"/>
        <w:spacing w:before="120" w:after="240"/>
      </w:pPr>
      <w:r w:rsidRPr="00B93EE1">
        <w:t>Source:</w:t>
      </w:r>
      <w:r w:rsidRPr="00B93EE1">
        <w:tab/>
        <w:t>Information provided by New Zealand, including in its notifications of procurement statistics to the Committee on Government Procurement.</w:t>
      </w:r>
    </w:p>
    <w:p w14:paraId="0E24F59A" w14:textId="77777777" w:rsidR="00120717" w:rsidRPr="00F64A35" w:rsidRDefault="00120717" w:rsidP="00641CF0">
      <w:pPr>
        <w:pStyle w:val="BodyText"/>
      </w:pPr>
      <w:r w:rsidRPr="00B93EE1">
        <w:t>The government procurement system is governed by the so-called five principles</w:t>
      </w:r>
      <w:r w:rsidRPr="00B93EE1">
        <w:rPr>
          <w:vertAlign w:val="superscript"/>
        </w:rPr>
        <w:footnoteReference w:id="231"/>
      </w:r>
      <w:r w:rsidRPr="00B93EE1">
        <w:t>, the Government Procurement Charter, the Government Procurement Rules, and the related good practice guidance.</w:t>
      </w:r>
      <w:r w:rsidRPr="00B93EE1">
        <w:rPr>
          <w:vertAlign w:val="superscript"/>
        </w:rPr>
        <w:footnoteReference w:id="232"/>
      </w:r>
      <w:r w:rsidRPr="00B93EE1">
        <w:t xml:space="preserve"> The five principles comprise the following overarching values underpinning government procurement processes: (</w:t>
      </w:r>
      <w:proofErr w:type="spellStart"/>
      <w:r w:rsidRPr="00B93EE1">
        <w:t>i</w:t>
      </w:r>
      <w:proofErr w:type="spellEnd"/>
      <w:r w:rsidRPr="00B93EE1">
        <w:t xml:space="preserve">) plan and manage for great results; (ii) be fair to all suppliers; (iii) get the right supplier; (iv) get the best deal for everyone; and (v) play by the rules. The Charter sets out expectations for how government procurement should be carried out to achieve public values, such as creating opportunities for local businesses to participate in government </w:t>
      </w:r>
      <w:r w:rsidRPr="00B93EE1">
        <w:lastRenderedPageBreak/>
        <w:t xml:space="preserve">procurement, looking for new and innovative solutions, and engaging with businesses with good employment practices. Related guidance provides additional advice on an end-to-end approach to strategic procurement as well as on specific areas of the procurement process, such as managing conflict of interest and managing insider risks. </w:t>
      </w:r>
    </w:p>
    <w:p w14:paraId="3AEEBBAF" w14:textId="77777777" w:rsidR="00120717" w:rsidRPr="00F64A35" w:rsidRDefault="00120717" w:rsidP="00641CF0">
      <w:pPr>
        <w:pStyle w:val="BodyText"/>
      </w:pPr>
      <w:r w:rsidRPr="00B93EE1">
        <w:t>The Government Procurement Rules, which regulate different phases of the procurement process from planning to the contract award, are mandatory for government departments, the New Zealand Police, the New Zealand Defence Force, and most of the Crown entities.</w:t>
      </w:r>
      <w:r w:rsidRPr="00B93EE1">
        <w:rPr>
          <w:vertAlign w:val="superscript"/>
        </w:rPr>
        <w:footnoteReference w:id="233"/>
      </w:r>
      <w:r w:rsidRPr="00B93EE1">
        <w:t xml:space="preserve"> All other government agencies are encouraged but not obliged to follow the Rules.</w:t>
      </w:r>
    </w:p>
    <w:p w14:paraId="73A2FEE4" w14:textId="77777777" w:rsidR="00120717" w:rsidRPr="00F64A35" w:rsidRDefault="00120717" w:rsidP="00641CF0">
      <w:pPr>
        <w:pStyle w:val="BodyText"/>
      </w:pPr>
      <w:bookmarkStart w:id="175" w:name="_Hlk94112020"/>
      <w:r w:rsidRPr="00B93EE1">
        <w:t xml:space="preserve">Updated Government Procurement Rules came into effect </w:t>
      </w:r>
      <w:bookmarkEnd w:id="175"/>
      <w:r w:rsidRPr="00B93EE1">
        <w:t>on 1 October 2019. One of the main amendments is the introduction of the so</w:t>
      </w:r>
      <w:r w:rsidRPr="00B93EE1">
        <w:noBreakHyphen/>
        <w:t xml:space="preserve">called broader outcomes: </w:t>
      </w:r>
      <w:bookmarkStart w:id="176" w:name="_Hlk94112118"/>
      <w:r w:rsidRPr="00B93EE1">
        <w:t>secondary social, economic, or cultural benefits "generated from the procurement activity"</w:t>
      </w:r>
      <w:bookmarkEnd w:id="176"/>
      <w:r w:rsidRPr="00B93EE1">
        <w:t>.</w:t>
      </w:r>
      <w:r w:rsidRPr="00B93EE1">
        <w:rPr>
          <w:vertAlign w:val="superscript"/>
        </w:rPr>
        <w:footnoteReference w:id="234"/>
      </w:r>
      <w:r w:rsidRPr="00B93EE1">
        <w:t xml:space="preserve"> Currently, there are four broader outcomes to be considered by procuring entities in their procurement strategies, individual procurement procedures, and at the contract management stage: </w:t>
      </w:r>
    </w:p>
    <w:p w14:paraId="4F195442" w14:textId="77777777" w:rsidR="00120717" w:rsidRPr="00F64A35" w:rsidRDefault="00120717" w:rsidP="00FD7477">
      <w:pPr>
        <w:pStyle w:val="BodyText"/>
        <w:numPr>
          <w:ilvl w:val="6"/>
          <w:numId w:val="45"/>
        </w:numPr>
        <w:tabs>
          <w:tab w:val="clear" w:pos="567"/>
          <w:tab w:val="num" w:pos="1134"/>
        </w:tabs>
        <w:ind w:left="1134" w:hanging="567"/>
      </w:pPr>
      <w:r w:rsidRPr="00B93EE1">
        <w:t>increased access for New Zealand businesses.</w:t>
      </w:r>
      <w:r w:rsidRPr="00B93EE1">
        <w:rPr>
          <w:vertAlign w:val="superscript"/>
        </w:rPr>
        <w:footnoteReference w:id="235"/>
      </w:r>
      <w:r w:rsidRPr="00B93EE1">
        <w:t xml:space="preserve"> </w:t>
      </w:r>
      <w:r w:rsidRPr="00B93EE1">
        <w:rPr>
          <w:bCs/>
        </w:rPr>
        <w:t xml:space="preserve">Related to this outcome is a progressive procurement approach to increase the diversity of government suppliers, starting with Māori businesses. This </w:t>
      </w:r>
      <w:bookmarkStart w:id="177" w:name="_Hlk94112181"/>
      <w:r w:rsidRPr="00B93EE1">
        <w:rPr>
          <w:bCs/>
        </w:rPr>
        <w:t>includes a requirement that at least 5% of the total number of mandated government agencies' procurement contracts (including contracts above the GPA thresholds) must be</w:t>
      </w:r>
      <w:r w:rsidRPr="00B93EE1">
        <w:rPr>
          <w:rFonts w:cs="Helvetica"/>
          <w:color w:val="555555"/>
          <w:shd w:val="clear" w:color="auto" w:fill="FFFFFF"/>
        </w:rPr>
        <w:t xml:space="preserve"> </w:t>
      </w:r>
      <w:r w:rsidRPr="00B93EE1">
        <w:rPr>
          <w:bCs/>
        </w:rPr>
        <w:t>awarded to Māori businesses;</w:t>
      </w:r>
      <w:bookmarkEnd w:id="177"/>
      <w:r w:rsidRPr="00B93EE1">
        <w:t xml:space="preserve"> </w:t>
      </w:r>
    </w:p>
    <w:p w14:paraId="19C24351" w14:textId="77777777" w:rsidR="00120717" w:rsidRPr="00F64A35" w:rsidRDefault="00120717" w:rsidP="00FD7477">
      <w:pPr>
        <w:pStyle w:val="BodyText"/>
        <w:numPr>
          <w:ilvl w:val="6"/>
          <w:numId w:val="45"/>
        </w:numPr>
        <w:tabs>
          <w:tab w:val="clear" w:pos="567"/>
          <w:tab w:val="num" w:pos="1134"/>
        </w:tabs>
        <w:ind w:left="567"/>
      </w:pPr>
      <w:r w:rsidRPr="00B93EE1">
        <w:t xml:space="preserve">enhancement of construction skills and training; </w:t>
      </w:r>
    </w:p>
    <w:p w14:paraId="4C9D3E03" w14:textId="77777777" w:rsidR="00120717" w:rsidRPr="00F64A35" w:rsidRDefault="00120717" w:rsidP="00FD7477">
      <w:pPr>
        <w:pStyle w:val="BodyText"/>
        <w:numPr>
          <w:ilvl w:val="6"/>
          <w:numId w:val="45"/>
        </w:numPr>
        <w:tabs>
          <w:tab w:val="clear" w:pos="567"/>
          <w:tab w:val="num" w:pos="1134"/>
        </w:tabs>
        <w:ind w:left="567"/>
      </w:pPr>
      <w:r w:rsidRPr="00B93EE1">
        <w:t>improvement of conditions for New Zealand workers; and</w:t>
      </w:r>
    </w:p>
    <w:p w14:paraId="4760CCC9" w14:textId="77777777" w:rsidR="00120717" w:rsidRPr="00F64A35" w:rsidRDefault="00120717" w:rsidP="00FD7477">
      <w:pPr>
        <w:pStyle w:val="BodyText"/>
        <w:numPr>
          <w:ilvl w:val="6"/>
          <w:numId w:val="45"/>
        </w:numPr>
        <w:tabs>
          <w:tab w:val="clear" w:pos="567"/>
          <w:tab w:val="num" w:pos="1134"/>
        </w:tabs>
        <w:ind w:left="567"/>
      </w:pPr>
      <w:r w:rsidRPr="00B93EE1">
        <w:t>reduction of emission and waste.</w:t>
      </w:r>
      <w:r w:rsidRPr="00B93EE1">
        <w:rPr>
          <w:vertAlign w:val="superscript"/>
        </w:rPr>
        <w:footnoteReference w:id="236"/>
      </w:r>
    </w:p>
    <w:p w14:paraId="679D10BC" w14:textId="77777777" w:rsidR="00120717" w:rsidRPr="00F64A35" w:rsidRDefault="00120717" w:rsidP="00641CF0">
      <w:pPr>
        <w:pStyle w:val="BodyText"/>
      </w:pPr>
      <w:bookmarkStart w:id="178" w:name="_Hlk72487608"/>
      <w:r w:rsidRPr="00B93EE1">
        <w:rPr>
          <w:szCs w:val="18"/>
        </w:rPr>
        <w:t>Additional context and guidance primarily linked with the broader outcomes have been added to the new version of the Rules from 2019. These include but are not limited to: (</w:t>
      </w:r>
      <w:proofErr w:type="spellStart"/>
      <w:r w:rsidRPr="00B93EE1">
        <w:rPr>
          <w:szCs w:val="18"/>
        </w:rPr>
        <w:t>i</w:t>
      </w:r>
      <w:proofErr w:type="spellEnd"/>
      <w:r w:rsidRPr="00B93EE1">
        <w:rPr>
          <w:szCs w:val="18"/>
        </w:rPr>
        <w:t>) New Zealand may adopt measures that it deems necessary to accord favourable treatment to the Māori, provided that such measures are not used as a means of arbitrary or unjustified discrimination or as a disguised restriction on trade in goods, trade in services, and investment</w:t>
      </w:r>
      <w:r w:rsidRPr="00B93EE1">
        <w:rPr>
          <w:szCs w:val="18"/>
          <w:vertAlign w:val="superscript"/>
        </w:rPr>
        <w:footnoteReference w:id="237"/>
      </w:r>
      <w:r w:rsidRPr="00B93EE1">
        <w:rPr>
          <w:szCs w:val="18"/>
        </w:rPr>
        <w:t>; (ii) procuring entities are encouraged to engage more with local businesses, especially with social enterprises and Māori, Pasifika, and regional businesses, in case of procurement below domestically defined thresholds; and (iii) procuring entities must require their suppliers to ensure and demonstrate that they, and their domestic supply chain, comply with all relevant employment standards and health and safety requirements</w:t>
      </w:r>
      <w:r w:rsidRPr="00B93EE1">
        <w:rPr>
          <w:color w:val="424242"/>
          <w:szCs w:val="18"/>
          <w:shd w:val="clear" w:color="auto" w:fill="FFFFFF"/>
        </w:rPr>
        <w:t>.</w:t>
      </w:r>
      <w:r w:rsidRPr="00B93EE1">
        <w:rPr>
          <w:szCs w:val="18"/>
          <w:vertAlign w:val="superscript"/>
        </w:rPr>
        <w:footnoteReference w:id="238"/>
      </w:r>
      <w:r w:rsidRPr="00B93EE1">
        <w:rPr>
          <w:color w:val="424242"/>
          <w:szCs w:val="18"/>
          <w:shd w:val="clear" w:color="auto" w:fill="FFFFFF"/>
        </w:rPr>
        <w:t xml:space="preserve"> </w:t>
      </w:r>
      <w:r w:rsidRPr="00B93EE1">
        <w:rPr>
          <w:szCs w:val="18"/>
        </w:rPr>
        <w:t>In addition, a new Rule requiring procuring entities to pay the contractor's fees promptly has been added.</w:t>
      </w:r>
    </w:p>
    <w:p w14:paraId="0F97F4B6" w14:textId="77777777" w:rsidR="00120717" w:rsidRPr="00F64A35" w:rsidRDefault="00120717" w:rsidP="00641CF0">
      <w:pPr>
        <w:pStyle w:val="BodyText"/>
      </w:pPr>
      <w:r w:rsidRPr="00B93EE1">
        <w:t xml:space="preserve">In May 2021, two new Rules were approved by the Cabinet. Rule 12A allows the declaration of national, regional, or sectoral procurement response measures, including measures in response </w:t>
      </w:r>
      <w:r w:rsidRPr="00B93EE1">
        <w:lastRenderedPageBreak/>
        <w:t>to a social, economic, or environmental crisis that follows an emergency period or that is not otherwise an emergency situation. Such measures must be consistent with New Zealand's international commitments on government procurement. Moreover, Rule 18A requires procuring entities to consider ways in which they can create quality employment opportunities.</w:t>
      </w:r>
    </w:p>
    <w:p w14:paraId="5393999F" w14:textId="77777777" w:rsidR="00120717" w:rsidRPr="00F64A35" w:rsidRDefault="00120717" w:rsidP="00641CF0">
      <w:pPr>
        <w:pStyle w:val="BodyText"/>
      </w:pPr>
      <w:r w:rsidRPr="00B93EE1">
        <w:t xml:space="preserve">The </w:t>
      </w:r>
      <w:bookmarkStart w:id="179" w:name="_Hlk94112236"/>
      <w:r w:rsidRPr="00B93EE1">
        <w:t xml:space="preserve">Government Electronic Tenders Service (GETS) </w:t>
      </w:r>
      <w:bookmarkEnd w:id="179"/>
      <w:r w:rsidRPr="00B93EE1">
        <w:t xml:space="preserve">is an e-procurement platform where procuring entities are required </w:t>
      </w:r>
      <w:bookmarkStart w:id="180" w:name="_Hlk94112279"/>
      <w:r w:rsidRPr="00B93EE1">
        <w:t>to list contract opportunities, in addition to providing access to all relevant procurement documentation</w:t>
      </w:r>
      <w:bookmarkEnd w:id="180"/>
      <w:r w:rsidRPr="00B93EE1">
        <w:t>. GETS does not cover the whole procurement process from budgeting and planning to contract management and payment but allows for publication of procurement opportunities and receipt of tenders. The service is free of charge. New Zealand also undertook commitments under the Open Government Partnership and National Action Plan 2018</w:t>
      </w:r>
      <w:r w:rsidRPr="00B93EE1">
        <w:noBreakHyphen/>
        <w:t>2020 to publish procurement-related data in an open format.</w:t>
      </w:r>
      <w:r w:rsidRPr="00B93EE1">
        <w:rPr>
          <w:vertAlign w:val="superscript"/>
        </w:rPr>
        <w:footnoteReference w:id="239"/>
      </w:r>
    </w:p>
    <w:p w14:paraId="607948BE" w14:textId="77777777" w:rsidR="00120717" w:rsidRPr="00F64A35" w:rsidRDefault="00120717" w:rsidP="00E95F9E">
      <w:pPr>
        <w:pStyle w:val="BodyText"/>
      </w:pPr>
      <w:r w:rsidRPr="00B93EE1">
        <w:t>New Zealand has several types of Special Purchasing Arrangements, such as: (</w:t>
      </w:r>
      <w:proofErr w:type="spellStart"/>
      <w:r w:rsidRPr="00B93EE1">
        <w:t>i</w:t>
      </w:r>
      <w:proofErr w:type="spellEnd"/>
      <w:r w:rsidRPr="00B93EE1">
        <w:t>) a Panel of Suppliers – contracts entered into with suppliers that have been approved as capable of delivery and that have agreed to the terms and conditions of supply</w:t>
      </w:r>
      <w:r w:rsidRPr="00B93EE1">
        <w:rPr>
          <w:vertAlign w:val="superscript"/>
        </w:rPr>
        <w:footnoteReference w:id="240"/>
      </w:r>
      <w:r w:rsidRPr="00B93EE1">
        <w:t>; (ii) All-of-Government Contracts, i.e. supply agreements with approved suppliers for selected common purchased goods or services across the Government</w:t>
      </w:r>
      <w:r w:rsidRPr="00B93EE1">
        <w:rPr>
          <w:vertAlign w:val="superscript"/>
        </w:rPr>
        <w:footnoteReference w:id="241"/>
      </w:r>
      <w:r w:rsidRPr="00B93EE1">
        <w:t xml:space="preserve">; (iii) Syndicated Contracts, which typically involve a group of entities aggregating their respective needs and procuring collectively; and (iv) Common Capability Contracts (CCs), which establish various supply agreements with approved suppliers for selected common goods, services or works purchased across government. CCs can be either mandatory or voluntary, and an administrative fee or a levy may be charged for their use. The All-of-Government Contracts are mandatory for </w:t>
      </w:r>
      <w:r w:rsidRPr="00B93EE1">
        <w:rPr>
          <w:bCs/>
        </w:rPr>
        <w:t>Public Service Departments, New Zealand Police, New Zealand Defence Force, Crown agents, Independent Crown entities, Autonomous Crown entities, Crown entity companies, and Public Finance Act Schedule 4A companies,</w:t>
      </w:r>
      <w:r w:rsidRPr="00B93EE1">
        <w:t xml:space="preserve"> and are voluntary for other procuring entities. The Panel of Suppliers and Syndicated Contracts are voluntary for all procuring entities.</w:t>
      </w:r>
    </w:p>
    <w:p w14:paraId="27E89504" w14:textId="77777777" w:rsidR="00120717" w:rsidRPr="00F64A35" w:rsidRDefault="00120717" w:rsidP="00641CF0">
      <w:pPr>
        <w:pStyle w:val="BodyText"/>
      </w:pPr>
      <w:r w:rsidRPr="00B93EE1">
        <w:t>New Zealand Government Procurement (</w:t>
      </w:r>
      <w:proofErr w:type="spellStart"/>
      <w:r w:rsidRPr="00B93EE1">
        <w:t>NZGP</w:t>
      </w:r>
      <w:proofErr w:type="spellEnd"/>
      <w:r w:rsidRPr="00B93EE1">
        <w:t>) is the central purchasing body of New Zealand. It is tasked with setting up All-of-Government Contracts for commonly used goods and services, providing policy advice to the Government, developing procurement capability, and providing advisory and hands-on support for procuring entities.</w:t>
      </w:r>
    </w:p>
    <w:p w14:paraId="20A974D3" w14:textId="77777777" w:rsidR="00120717" w:rsidRPr="00F64A35" w:rsidRDefault="00120717" w:rsidP="00641CF0">
      <w:pPr>
        <w:pStyle w:val="BodyText"/>
      </w:pPr>
      <w:bookmarkStart w:id="181" w:name="_Hlk94186744"/>
      <w:r w:rsidRPr="00B93EE1">
        <w:t>Aggrieved suppliers can complain to the respective procuring entity if they believe that they have been treated unfairly, and entities have an obligation to respond to and treat the complaint fairly. If the supplier is still not satisfied after consultations with the procuring entity, it has several options of redress, such as an independent review or investigation; a mediation or alternative dispute resolution; an investigation by the Auditor-General; an investigation by the Ombudsman, the State Services Commission, or the Commerce Commission; and court review.</w:t>
      </w:r>
      <w:bookmarkEnd w:id="181"/>
      <w:r w:rsidRPr="00B93EE1">
        <w:t xml:space="preserve"> </w:t>
      </w:r>
      <w:bookmarkStart w:id="182" w:name="_Hlk94112933"/>
      <w:r w:rsidRPr="00B93EE1">
        <w:t>The aggrieved suppliers are free to choose a forum for launching the complaint.</w:t>
      </w:r>
      <w:bookmarkEnd w:id="182"/>
    </w:p>
    <w:p w14:paraId="1FF3893D" w14:textId="77777777" w:rsidR="00120717" w:rsidRPr="00F64A35" w:rsidRDefault="00120717" w:rsidP="00E962FF">
      <w:pPr>
        <w:pStyle w:val="Heading4"/>
        <w:numPr>
          <w:ilvl w:val="3"/>
          <w:numId w:val="35"/>
        </w:numPr>
      </w:pPr>
      <w:bookmarkStart w:id="183" w:name="_Toc415735892"/>
      <w:bookmarkStart w:id="184" w:name="_Toc97800172"/>
      <w:r w:rsidRPr="00F64A35">
        <w:rPr>
          <w:rFonts w:eastAsia="Times New Roman"/>
        </w:rPr>
        <w:t>Thresholds and exemptions</w:t>
      </w:r>
      <w:bookmarkEnd w:id="183"/>
      <w:bookmarkEnd w:id="184"/>
    </w:p>
    <w:p w14:paraId="5CE4A0AE" w14:textId="77777777" w:rsidR="00120717" w:rsidRPr="00F64A35" w:rsidRDefault="00120717" w:rsidP="00B57A77">
      <w:pPr>
        <w:pStyle w:val="BodyText"/>
      </w:pPr>
      <w:r w:rsidRPr="00B93EE1">
        <w:t>The Rules in general apply to:</w:t>
      </w:r>
    </w:p>
    <w:p w14:paraId="49F523E7" w14:textId="77777777" w:rsidR="00120717" w:rsidRPr="00B93EE1" w:rsidRDefault="00120717" w:rsidP="00FD7477">
      <w:pPr>
        <w:pStyle w:val="ListBullet2"/>
        <w:contextualSpacing w:val="0"/>
      </w:pPr>
      <w:r w:rsidRPr="00B93EE1">
        <w:t>procurement of goods or services or refurbishment works, or a combination of goods or services or refurbishment works, when the maximum total estimated value of the procurement equals or exceeds the value threshold of NZD 100,000 (excluding GST); and</w:t>
      </w:r>
    </w:p>
    <w:p w14:paraId="5C6F35F3" w14:textId="77777777" w:rsidR="00120717" w:rsidRPr="00B93EE1" w:rsidRDefault="00120717" w:rsidP="00FD7477">
      <w:pPr>
        <w:pStyle w:val="ListBullet2"/>
        <w:contextualSpacing w:val="0"/>
      </w:pPr>
      <w:r w:rsidRPr="00B93EE1">
        <w:t>procurement of goods or services or new construction works, when the maximum total estimated value of the procurement equals or exceeds the value threshold of NZD 9 million (excluding GST).</w:t>
      </w:r>
    </w:p>
    <w:p w14:paraId="31758DBC" w14:textId="77777777" w:rsidR="00120717" w:rsidRPr="00F64A35" w:rsidRDefault="00120717" w:rsidP="00B57A77">
      <w:pPr>
        <w:pStyle w:val="BodyText"/>
      </w:pPr>
      <w:r w:rsidRPr="00B93EE1">
        <w:lastRenderedPageBreak/>
        <w:t>However, as the Rules set out best practices, they can also be used for below-threshold procurement procedures.</w:t>
      </w:r>
    </w:p>
    <w:p w14:paraId="05CB32B4" w14:textId="77777777" w:rsidR="00120717" w:rsidRPr="00F64A35" w:rsidRDefault="00120717" w:rsidP="00B57A77">
      <w:pPr>
        <w:pStyle w:val="BodyText"/>
      </w:pPr>
      <w:r w:rsidRPr="00B93EE1">
        <w:t>Procuring entities have the possibility to opt out of the Rules in specific cases, including procurement between two procuring entities, procurement related to international development, and military and essential security interests. Nevertheless, even in the event of an opt</w:t>
      </w:r>
      <w:r w:rsidRPr="00B93EE1">
        <w:noBreakHyphen/>
        <w:t>out, the procuring entities have to follow the Principles and good practice guidance.</w:t>
      </w:r>
    </w:p>
    <w:p w14:paraId="5F64C8DA" w14:textId="77777777" w:rsidR="00120717" w:rsidRPr="00F64A35" w:rsidRDefault="00120717" w:rsidP="00B57A77">
      <w:pPr>
        <w:pStyle w:val="BodyText"/>
      </w:pPr>
      <w:r w:rsidRPr="00B93EE1">
        <w:t>In case the procurement value is above the threshold, the procuring entity needs to openly advertise the government procurement opportunities in GETS. Other media can also be used. The Rules allow for exemptions from the requirement to openly advertise in cases of emergency, where there is only one supplier in the market, and where conditions are exceptionally advantageous for the procuring entity. In such cases, procuring entities can choose to use either a closed competitive process (with a limited number of known suppliers by using a Request for Quote, Request for Tender, or Request for Proposal) or direct sourcing (with a known supplier by using a Request for Quote, Request for Tender, or Request for Proposal). Procuring entities cannot exempt a procurement from open advertising to: (</w:t>
      </w:r>
      <w:proofErr w:type="spellStart"/>
      <w:r w:rsidRPr="00B93EE1">
        <w:t>i</w:t>
      </w:r>
      <w:proofErr w:type="spellEnd"/>
      <w:r w:rsidRPr="00B93EE1">
        <w:t>) avoid competition; (ii) protect domestic suppliers; or (iii) discriminate against any domestic or international supplier. In addition, such exempted procurement still needs to comply with other applicable Rules.</w:t>
      </w:r>
    </w:p>
    <w:p w14:paraId="387A4C81" w14:textId="77777777" w:rsidR="00120717" w:rsidRPr="00F64A35" w:rsidRDefault="00120717" w:rsidP="00B57A77">
      <w:pPr>
        <w:pStyle w:val="Heading4"/>
      </w:pPr>
      <w:bookmarkStart w:id="185" w:name="_Toc97800173"/>
      <w:r w:rsidRPr="00B93EE1">
        <w:rPr>
          <w:rFonts w:eastAsia="Times New Roman"/>
        </w:rPr>
        <w:t>International cooperation</w:t>
      </w:r>
      <w:bookmarkEnd w:id="185"/>
    </w:p>
    <w:p w14:paraId="46D5CDA0" w14:textId="77777777" w:rsidR="00120717" w:rsidRPr="00F64A35" w:rsidRDefault="00120717" w:rsidP="00B57A77">
      <w:pPr>
        <w:pStyle w:val="BodyText"/>
      </w:pPr>
      <w:r w:rsidRPr="00B93EE1">
        <w:t xml:space="preserve">During the reporting period, New Zealand concluded several RTAs. Of these, the New Zealand-Korea FTA, the New Zealand-Singapore CEP Upgrade, and the </w:t>
      </w:r>
      <w:proofErr w:type="spellStart"/>
      <w:r w:rsidRPr="00B93EE1">
        <w:t>CPTPP</w:t>
      </w:r>
      <w:proofErr w:type="spellEnd"/>
      <w:r w:rsidRPr="00B93EE1">
        <w:t xml:space="preserve"> contain government procurement chapters envisaging transparency requirements as well as mutual access to government procurement markets. The New Zealand-China Free Trade Agreement Upgrade contains provisions on transparency and anti-corruption as well as a commitment by China to enter into negotiations with New Zealand once it completes its accession to the GPA or if it were to negotiate such provisions with another country. The Digital Economy Partnership Agreement (</w:t>
      </w:r>
      <w:proofErr w:type="spellStart"/>
      <w:r w:rsidRPr="00B93EE1">
        <w:t>DEPA</w:t>
      </w:r>
      <w:proofErr w:type="spellEnd"/>
      <w:r w:rsidRPr="00B93EE1">
        <w:t>) contains a provision recognizing that the digital economy will have an impact on government procurement. The government procurement chapter of the RCEP is mainly concerned with transparency and cooperation in the area of government procurement.</w:t>
      </w:r>
    </w:p>
    <w:p w14:paraId="133E4806" w14:textId="77777777" w:rsidR="00120717" w:rsidRPr="00F64A35" w:rsidRDefault="00120717" w:rsidP="0050761B">
      <w:pPr>
        <w:pStyle w:val="Heading3"/>
      </w:pPr>
      <w:bookmarkStart w:id="186" w:name="_Toc97800174"/>
      <w:bookmarkStart w:id="187" w:name="_Toc415735894"/>
      <w:r w:rsidRPr="00B93EE1">
        <w:rPr>
          <w:rFonts w:eastAsia="Times New Roman"/>
        </w:rPr>
        <w:t>Intellectual property rights</w:t>
      </w:r>
      <w:bookmarkEnd w:id="186"/>
    </w:p>
    <w:p w14:paraId="575DB9F0" w14:textId="77777777" w:rsidR="00120717" w:rsidRPr="00F64A35" w:rsidRDefault="00120717" w:rsidP="00E962FF">
      <w:pPr>
        <w:pStyle w:val="Heading4"/>
        <w:numPr>
          <w:ilvl w:val="3"/>
          <w:numId w:val="36"/>
        </w:numPr>
      </w:pPr>
      <w:bookmarkStart w:id="188" w:name="_Toc97800175"/>
      <w:r w:rsidRPr="00F64A35">
        <w:rPr>
          <w:rFonts w:eastAsia="Times New Roman"/>
        </w:rPr>
        <w:t>Overview</w:t>
      </w:r>
      <w:bookmarkEnd w:id="188"/>
    </w:p>
    <w:p w14:paraId="41B30906" w14:textId="2F1B1C8F" w:rsidR="00120717" w:rsidRPr="00F64A35" w:rsidRDefault="00120717" w:rsidP="00472364">
      <w:pPr>
        <w:pStyle w:val="BodyText"/>
      </w:pPr>
      <w:r w:rsidRPr="00B93EE1">
        <w:rPr>
          <w:lang w:eastAsia="en-GB"/>
        </w:rPr>
        <w:t>Intellectual property (IP) rights are of considerable economic importance to New Zealand. Trade receipts from IP royalties and licensing fees grew by 125% between 2015 and 2020, amounting to just over USD 825 million in 2020.</w:t>
      </w:r>
      <w:r w:rsidRPr="00B93EE1">
        <w:rPr>
          <w:rFonts w:eastAsia="Times New Roman"/>
          <w:vertAlign w:val="superscript"/>
          <w:lang w:eastAsia="en-GB"/>
        </w:rPr>
        <w:footnoteReference w:id="242"/>
      </w:r>
      <w:r w:rsidRPr="00B93EE1">
        <w:rPr>
          <w:lang w:eastAsia="en-GB"/>
        </w:rPr>
        <w:t xml:space="preserve"> During the same period, New Zealand's trade deficit narrowed considerably, although it remains a net importer of </w:t>
      </w:r>
      <w:r w:rsidRPr="000C40BE">
        <w:rPr>
          <w:lang w:eastAsia="en-GB"/>
        </w:rPr>
        <w:t xml:space="preserve">IP </w:t>
      </w:r>
      <w:r w:rsidRPr="00150FE8">
        <w:rPr>
          <w:lang w:eastAsia="en-GB"/>
        </w:rPr>
        <w:t>(Chart 3.</w:t>
      </w:r>
      <w:r w:rsidR="00826C18" w:rsidRPr="00150FE8">
        <w:rPr>
          <w:lang w:eastAsia="en-GB"/>
        </w:rPr>
        <w:t>4</w:t>
      </w:r>
      <w:r w:rsidRPr="00150FE8">
        <w:rPr>
          <w:lang w:eastAsia="en-GB"/>
        </w:rPr>
        <w:t>)</w:t>
      </w:r>
      <w:r w:rsidRPr="000C40BE">
        <w:rPr>
          <w:lang w:eastAsia="en-GB"/>
        </w:rPr>
        <w:t>.</w:t>
      </w:r>
    </w:p>
    <w:p w14:paraId="0C6E070C" w14:textId="77777777" w:rsidR="00120717" w:rsidRPr="00F64A35" w:rsidRDefault="00120717" w:rsidP="00472364">
      <w:pPr>
        <w:pStyle w:val="BodyText"/>
      </w:pPr>
      <w:r w:rsidRPr="00B93EE1">
        <w:t>The institutional framework of New Zealand's IP regime did not change during the review period. The Ministry of Business, Innovation and Employment (</w:t>
      </w:r>
      <w:proofErr w:type="spellStart"/>
      <w:r w:rsidRPr="00B93EE1">
        <w:t>MBIE</w:t>
      </w:r>
      <w:proofErr w:type="spellEnd"/>
      <w:r w:rsidRPr="00B93EE1">
        <w:t>) leads the development of IP policy and legislation. The Intellectual Property Office of New Zealand (</w:t>
      </w:r>
      <w:proofErr w:type="spellStart"/>
      <w:r w:rsidRPr="00B93EE1">
        <w:t>IPONZ</w:t>
      </w:r>
      <w:proofErr w:type="spellEnd"/>
      <w:r w:rsidRPr="00B93EE1">
        <w:t xml:space="preserve">), an operational arm of the </w:t>
      </w:r>
      <w:proofErr w:type="spellStart"/>
      <w:r w:rsidRPr="00B93EE1">
        <w:t>MBIE</w:t>
      </w:r>
      <w:proofErr w:type="spellEnd"/>
      <w:r w:rsidRPr="00B93EE1">
        <w:t xml:space="preserve">, registers and grants IP rights, with the exception of copyright and layout design rights, which vest automatically upon creation. The Plant Variety Rights (PVR) Office, which is part of </w:t>
      </w:r>
      <w:proofErr w:type="spellStart"/>
      <w:r w:rsidRPr="00B93EE1">
        <w:t>IPONZ</w:t>
      </w:r>
      <w:proofErr w:type="spellEnd"/>
      <w:r w:rsidRPr="00B93EE1">
        <w:t>, is in charge of applications for plant variety registration. The Ministry of Foreign Affairs and Trade (</w:t>
      </w:r>
      <w:proofErr w:type="spellStart"/>
      <w:r w:rsidRPr="00B93EE1">
        <w:t>MFAT</w:t>
      </w:r>
      <w:proofErr w:type="spellEnd"/>
      <w:r w:rsidRPr="00B93EE1">
        <w:t xml:space="preserve">), in conjunction with the </w:t>
      </w:r>
      <w:proofErr w:type="spellStart"/>
      <w:r w:rsidRPr="00B93EE1">
        <w:t>MBIE</w:t>
      </w:r>
      <w:proofErr w:type="spellEnd"/>
      <w:r w:rsidRPr="00B93EE1">
        <w:t>, negotiates and develops IP chapters in international agreements and represents New Zealand in other international discussions related to IP.</w:t>
      </w:r>
    </w:p>
    <w:p w14:paraId="7410FEFE" w14:textId="7D6EF9E5" w:rsidR="00120717" w:rsidRPr="00B93EE1" w:rsidRDefault="00150FE8" w:rsidP="00150FE8">
      <w:pPr>
        <w:pStyle w:val="Caption"/>
      </w:pPr>
      <w:bookmarkStart w:id="189" w:name="_Hlk58582884"/>
      <w:bookmarkStart w:id="190" w:name="_Toc97792513"/>
      <w:r>
        <w:lastRenderedPageBreak/>
        <w:t xml:space="preserve">Chart </w:t>
      </w:r>
      <w:r w:rsidR="0012793B">
        <w:fldChar w:fldCharType="begin"/>
      </w:r>
      <w:r w:rsidR="0012793B">
        <w:instrText xml:space="preserve"> STYLEREF 1 \s </w:instrText>
      </w:r>
      <w:r w:rsidR="0012793B">
        <w:fldChar w:fldCharType="separate"/>
      </w:r>
      <w:r w:rsidR="009327F6">
        <w:rPr>
          <w:noProof/>
        </w:rPr>
        <w:t>3</w:t>
      </w:r>
      <w:r w:rsidR="0012793B">
        <w:rPr>
          <w:noProof/>
        </w:rPr>
        <w:fldChar w:fldCharType="end"/>
      </w:r>
      <w:r w:rsidR="00133D67">
        <w:t>.</w:t>
      </w:r>
      <w:r w:rsidR="0012793B">
        <w:fldChar w:fldCharType="begin"/>
      </w:r>
      <w:r w:rsidR="0012793B">
        <w:instrText xml:space="preserve"> SEQ Chart \* ARABIC \s 1 </w:instrText>
      </w:r>
      <w:r w:rsidR="0012793B">
        <w:fldChar w:fldCharType="separate"/>
      </w:r>
      <w:r w:rsidR="00133D67">
        <w:rPr>
          <w:noProof/>
        </w:rPr>
        <w:t>4</w:t>
      </w:r>
      <w:r w:rsidR="0012793B">
        <w:rPr>
          <w:noProof/>
        </w:rPr>
        <w:fldChar w:fldCharType="end"/>
      </w:r>
      <w:r w:rsidR="00120717" w:rsidRPr="00B93EE1">
        <w:t xml:space="preserve"> Charges for the use of intellectual property, </w:t>
      </w:r>
      <w:proofErr w:type="spellStart"/>
      <w:r w:rsidR="00120717" w:rsidRPr="00B93EE1">
        <w:t>n.i.e</w:t>
      </w:r>
      <w:proofErr w:type="spellEnd"/>
      <w:r w:rsidR="00120717" w:rsidRPr="00B93EE1">
        <w:t xml:space="preserve">., </w:t>
      </w:r>
      <w:bookmarkEnd w:id="189"/>
      <w:r w:rsidR="00120717" w:rsidRPr="00B93EE1">
        <w:t>2015-20</w:t>
      </w:r>
      <w:r w:rsidR="00120717" w:rsidRPr="00B93EE1">
        <w:rPr>
          <w:vertAlign w:val="superscript"/>
        </w:rPr>
        <w:footnoteReference w:id="243"/>
      </w:r>
      <w:bookmarkEnd w:id="190"/>
    </w:p>
    <w:p w14:paraId="4B1359D9" w14:textId="77777777" w:rsidR="00120717" w:rsidRPr="00B93EE1" w:rsidRDefault="00120717" w:rsidP="00B220C9">
      <w:pPr>
        <w:rPr>
          <w:lang w:eastAsia="en-GB"/>
        </w:rPr>
      </w:pPr>
      <w:r w:rsidRPr="00B93EE1">
        <w:rPr>
          <w:noProof/>
          <w:lang w:eastAsia="en-NZ"/>
        </w:rPr>
        <w:drawing>
          <wp:inline distT="0" distB="0" distL="0" distR="0" wp14:anchorId="71585F63" wp14:editId="66504A8E">
            <wp:extent cx="5745561" cy="318833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53393" cy="3192681"/>
                    </a:xfrm>
                    <a:prstGeom prst="rect">
                      <a:avLst/>
                    </a:prstGeom>
                    <a:noFill/>
                    <a:ln>
                      <a:noFill/>
                    </a:ln>
                  </pic:spPr>
                </pic:pic>
              </a:graphicData>
            </a:graphic>
          </wp:inline>
        </w:drawing>
      </w:r>
    </w:p>
    <w:p w14:paraId="406AB22C" w14:textId="77777777" w:rsidR="00120717" w:rsidRPr="00B93EE1" w:rsidRDefault="00120717" w:rsidP="00FD7477">
      <w:pPr>
        <w:pStyle w:val="NoteText"/>
        <w:spacing w:before="120" w:after="240"/>
      </w:pPr>
      <w:r w:rsidRPr="00B93EE1">
        <w:t>Source:</w:t>
      </w:r>
      <w:r w:rsidRPr="00B93EE1">
        <w:tab/>
        <w:t xml:space="preserve">Stats NZ. Viewed at: </w:t>
      </w:r>
      <w:hyperlink r:id="rId39" w:history="1">
        <w:r w:rsidRPr="00B93EE1">
          <w:rPr>
            <w:color w:val="0000FF" w:themeColor="hyperlink"/>
            <w:u w:val="single"/>
          </w:rPr>
          <w:t>https://www.stats.govt.nz/information-releases/balance-of-payments-and-international-investment-position-year-ended-31-march-2021</w:t>
        </w:r>
      </w:hyperlink>
      <w:r w:rsidRPr="00B93EE1">
        <w:t>.</w:t>
      </w:r>
    </w:p>
    <w:p w14:paraId="584221BE" w14:textId="27FD509D" w:rsidR="00120717" w:rsidRPr="00F64A35" w:rsidRDefault="00120717" w:rsidP="00472364">
      <w:pPr>
        <w:pStyle w:val="BodyText"/>
      </w:pPr>
      <w:r w:rsidRPr="00150FE8">
        <w:t>Table A3.</w:t>
      </w:r>
      <w:r w:rsidR="006A26C7">
        <w:t>2</w:t>
      </w:r>
      <w:r w:rsidRPr="00150FE8">
        <w:t xml:space="preserve"> </w:t>
      </w:r>
      <w:r w:rsidRPr="00B93EE1">
        <w:t>summarizes the substantive laws addressing each main type of IP right. Several IP laws were the subject of amendments during the review period, as discussed in the relevant sections below.</w:t>
      </w:r>
      <w:r w:rsidRPr="00B93EE1">
        <w:rPr>
          <w:vertAlign w:val="superscript"/>
        </w:rPr>
        <w:footnoteReference w:id="244"/>
      </w:r>
      <w:r w:rsidRPr="00B93EE1">
        <w:t xml:space="preserve"> Perhaps most significantly, the Geographical Indications (Wine and Spirits) Registration Act 2006 took effect in 2017. More changes are expected in the near term: a new regime for the protection of PVRs is expected to enter into force in 2022; the </w:t>
      </w:r>
      <w:proofErr w:type="spellStart"/>
      <w:r w:rsidRPr="00B93EE1">
        <w:t>MBIE</w:t>
      </w:r>
      <w:proofErr w:type="spellEnd"/>
      <w:r w:rsidRPr="00B93EE1">
        <w:t xml:space="preserve"> is drafting an omnibus Intellectual Property Laws Amendment Bill, which would make technical amendments to the Patents Act 2013, Trade Marks Act 2002, Designs Act 1953, and their associated regulations</w:t>
      </w:r>
      <w:r w:rsidRPr="00B93EE1">
        <w:rPr>
          <w:vertAlign w:val="superscript"/>
        </w:rPr>
        <w:footnoteReference w:id="245"/>
      </w:r>
      <w:r w:rsidRPr="00B93EE1">
        <w:t>; and the Government launched an ongoing review of New Zealand's copyright regime in 2017, which may be impacted by a new FTA with the United Kingdom, signed on 28 February 2022.</w:t>
      </w:r>
    </w:p>
    <w:p w14:paraId="7C15551B" w14:textId="77777777" w:rsidR="00120717" w:rsidRPr="00F64A35" w:rsidRDefault="00120717" w:rsidP="00472364">
      <w:pPr>
        <w:pStyle w:val="Heading4"/>
      </w:pPr>
      <w:bookmarkStart w:id="191" w:name="_Toc97800176"/>
      <w:r w:rsidRPr="00B93EE1">
        <w:rPr>
          <w:rFonts w:eastAsia="Times New Roman"/>
        </w:rPr>
        <w:t>Policies on promotion and commercialization of innovation</w:t>
      </w:r>
      <w:bookmarkEnd w:id="191"/>
    </w:p>
    <w:p w14:paraId="596ED9E7" w14:textId="77777777" w:rsidR="00120717" w:rsidRPr="00F64A35" w:rsidRDefault="00120717" w:rsidP="00472364">
      <w:pPr>
        <w:pStyle w:val="BodyText"/>
      </w:pPr>
      <w:r w:rsidRPr="00B93EE1">
        <w:t>The Government has been developing a Research, Science and Innovation (RSI) Strategy since 2018.</w:t>
      </w:r>
      <w:r w:rsidRPr="00B93EE1">
        <w:rPr>
          <w:vertAlign w:val="superscript"/>
        </w:rPr>
        <w:footnoteReference w:id="246"/>
      </w:r>
      <w:r w:rsidRPr="00B93EE1">
        <w:t xml:space="preserve"> At the end of October 2021, it launched further consultations on the RSI system.</w:t>
      </w:r>
      <w:r w:rsidRPr="00B93EE1">
        <w:rPr>
          <w:vertAlign w:val="superscript"/>
        </w:rPr>
        <w:footnoteReference w:id="247"/>
      </w:r>
      <w:r w:rsidRPr="00B93EE1">
        <w:t xml:space="preserve"> Innovation, namely "developing New Zealand as a hub for high-value, knowledge</w:t>
      </w:r>
      <w:r w:rsidRPr="00B93EE1">
        <w:noBreakHyphen/>
        <w:t xml:space="preserve">intensive business </w:t>
      </w:r>
      <w:r w:rsidRPr="00B93EE1">
        <w:lastRenderedPageBreak/>
        <w:t>conducting more R&amp;D", was among the six key focus areas of the Government's Business Growth Agenda 2015/16.</w:t>
      </w:r>
      <w:r w:rsidRPr="00B93EE1">
        <w:rPr>
          <w:vertAlign w:val="superscript"/>
        </w:rPr>
        <w:footnoteReference w:id="248"/>
      </w:r>
      <w:r w:rsidRPr="00B93EE1">
        <w:t xml:space="preserve"> In 2014, approximately two thirds of New Zealand's R&amp;D expenditures were on manufacturing, primary industries, ICT, health, and environment.</w:t>
      </w:r>
      <w:r w:rsidRPr="00B93EE1">
        <w:rPr>
          <w:shd w:val="clear" w:color="auto" w:fill="FFFFFF"/>
          <w:vertAlign w:val="superscript"/>
        </w:rPr>
        <w:footnoteReference w:id="249"/>
      </w:r>
      <w:r w:rsidRPr="00B93EE1">
        <w:t xml:space="preserve"> Although New Zealand's gross domestic expenditure on R&amp;D (GERD) increased from 1.23% of GDP in 2015 to 1.41% in 2019, it remains low by OECD standards. The proportion of New Zealand's R&amp;D that is government</w:t>
      </w:r>
      <w:r w:rsidRPr="00B93EE1">
        <w:noBreakHyphen/>
        <w:t>financed is, however, higher than the OECD average.</w:t>
      </w:r>
      <w:r w:rsidRPr="00B93EE1">
        <w:rPr>
          <w:vertAlign w:val="superscript"/>
        </w:rPr>
        <w:footnoteReference w:id="250"/>
      </w:r>
      <w:r w:rsidRPr="00B93EE1">
        <w:t xml:space="preserve"> The OECD estimates that low levels of R&amp;D investment could account for approximately 40% of the productivity gap between New Zealand and the OECD average.</w:t>
      </w:r>
      <w:r w:rsidRPr="00B93EE1">
        <w:rPr>
          <w:vertAlign w:val="superscript"/>
        </w:rPr>
        <w:footnoteReference w:id="251"/>
      </w:r>
      <w:r w:rsidRPr="00B93EE1">
        <w:t xml:space="preserve"> The Government aims to increase total R&amp;D spending to 2% of GDP by 2027. In an effort to boost private sector R&amp;D, it introduced a 15% R&amp;D tax credit in 2019</w:t>
      </w:r>
      <w:r w:rsidRPr="00B93EE1">
        <w:rPr>
          <w:vertAlign w:val="superscript"/>
        </w:rPr>
        <w:footnoteReference w:id="252"/>
      </w:r>
      <w:r w:rsidRPr="00B93EE1">
        <w:t>, and subsequently enhanced its refundability to allow loss-making and pre-profit businesses to receive the benefit in cash.</w:t>
      </w:r>
      <w:r w:rsidRPr="00B93EE1">
        <w:rPr>
          <w:vertAlign w:val="superscript"/>
        </w:rPr>
        <w:footnoteReference w:id="253"/>
      </w:r>
    </w:p>
    <w:p w14:paraId="0CAA5EBE" w14:textId="77777777" w:rsidR="00120717" w:rsidRPr="00F64A35" w:rsidRDefault="00120717" w:rsidP="00472364">
      <w:pPr>
        <w:pStyle w:val="BodyText"/>
      </w:pPr>
      <w:r w:rsidRPr="00B93EE1">
        <w:t>New Zealand has eight universities, seven Crown Research Institutes (</w:t>
      </w:r>
      <w:proofErr w:type="spellStart"/>
      <w:r w:rsidRPr="00B93EE1">
        <w:t>CRIs</w:t>
      </w:r>
      <w:proofErr w:type="spellEnd"/>
      <w:r w:rsidRPr="00B93EE1">
        <w:t>), and a number of independent research organizations that undertake publicly funded research.</w:t>
      </w:r>
      <w:bookmarkStart w:id="192" w:name="_Ref86601835"/>
      <w:r w:rsidRPr="00B93EE1">
        <w:rPr>
          <w:vertAlign w:val="superscript"/>
        </w:rPr>
        <w:footnoteReference w:id="254"/>
      </w:r>
      <w:bookmarkEnd w:id="192"/>
      <w:r w:rsidRPr="00B93EE1">
        <w:t xml:space="preserve"> A recent </w:t>
      </w:r>
      <w:proofErr w:type="spellStart"/>
      <w:r w:rsidRPr="00B93EE1">
        <w:t>IPONZ</w:t>
      </w:r>
      <w:proofErr w:type="spellEnd"/>
      <w:r w:rsidRPr="00B93EE1">
        <w:t xml:space="preserve"> study found that 8% of domestic patent activity in New Zealand comes from its universities and </w:t>
      </w:r>
      <w:proofErr w:type="spellStart"/>
      <w:r w:rsidRPr="00B93EE1">
        <w:t>CRIs</w:t>
      </w:r>
      <w:proofErr w:type="spellEnd"/>
      <w:r w:rsidRPr="00B93EE1">
        <w:t xml:space="preserve">, which are sources of high-quality </w:t>
      </w:r>
      <w:proofErr w:type="spellStart"/>
      <w:r w:rsidRPr="00B93EE1">
        <w:t>commercializable</w:t>
      </w:r>
      <w:proofErr w:type="spellEnd"/>
      <w:r w:rsidRPr="00B93EE1">
        <w:t xml:space="preserve"> technology that is often patented to facilitate technology transfer (licensing).</w:t>
      </w:r>
      <w:r w:rsidRPr="00B93EE1">
        <w:rPr>
          <w:vertAlign w:val="superscript"/>
        </w:rPr>
        <w:footnoteReference w:id="255"/>
      </w:r>
      <w:r w:rsidRPr="00B93EE1">
        <w:t xml:space="preserve"> Despite low levels of investment relative to other small advanced economies, New Zealand's researchers have made an impact in their academic fields, as measured by their publication and citation rates.</w:t>
      </w:r>
      <w:bookmarkStart w:id="193" w:name="_Ref86601739"/>
      <w:r w:rsidRPr="00B93EE1">
        <w:rPr>
          <w:vertAlign w:val="superscript"/>
        </w:rPr>
        <w:footnoteReference w:id="256"/>
      </w:r>
      <w:bookmarkEnd w:id="193"/>
    </w:p>
    <w:p w14:paraId="7F01611B" w14:textId="77777777" w:rsidR="00120717" w:rsidRPr="00F64A35" w:rsidRDefault="00120717" w:rsidP="00472364">
      <w:pPr>
        <w:pStyle w:val="BodyText"/>
      </w:pPr>
      <w:r w:rsidRPr="00B93EE1">
        <w:rPr>
          <w:shd w:val="clear" w:color="auto" w:fill="FFFFFF"/>
        </w:rPr>
        <w:t>The National Statement of Science Investment 2015-2025 provides the long-term vision and strategic direction for New Zealand's public investments in science.</w:t>
      </w:r>
      <w:r w:rsidRPr="00B93EE1">
        <w:rPr>
          <w:shd w:val="clear" w:color="auto" w:fill="FFFFFF"/>
          <w:vertAlign w:val="superscript"/>
        </w:rPr>
        <w:footnoteReference w:id="257"/>
      </w:r>
      <w:r w:rsidRPr="00B93EE1">
        <w:rPr>
          <w:shd w:val="clear" w:color="auto" w:fill="FFFFFF"/>
        </w:rPr>
        <w:t xml:space="preserve"> The </w:t>
      </w:r>
      <w:proofErr w:type="spellStart"/>
      <w:r w:rsidRPr="00B93EE1">
        <w:rPr>
          <w:shd w:val="clear" w:color="auto" w:fill="FFFFFF"/>
        </w:rPr>
        <w:t>MBIE</w:t>
      </w:r>
      <w:proofErr w:type="spellEnd"/>
      <w:r w:rsidRPr="00B93EE1">
        <w:rPr>
          <w:shd w:val="clear" w:color="auto" w:fill="FFFFFF"/>
        </w:rPr>
        <w:t>, in collaboration with other agencies, including Callaghan Innovation (CI), the Health Research Council, and the Royal Society of New Zealand, coordinates contestable funding rounds to support investments in over a dozen different funds, schemes, networks, initiatives, and fellowships, including: (</w:t>
      </w:r>
      <w:proofErr w:type="spellStart"/>
      <w:r w:rsidRPr="00B93EE1">
        <w:rPr>
          <w:shd w:val="clear" w:color="auto" w:fill="FFFFFF"/>
        </w:rPr>
        <w:t>i</w:t>
      </w:r>
      <w:proofErr w:type="spellEnd"/>
      <w:r w:rsidRPr="00B93EE1">
        <w:rPr>
          <w:shd w:val="clear" w:color="auto" w:fill="FFFFFF"/>
        </w:rPr>
        <w:t>) the Commercialisation Partner Network, which builds the capability to turn publicly funded scientific research into commercially viable products; and (ii) </w:t>
      </w:r>
      <w:r w:rsidRPr="00B93EE1">
        <w:t xml:space="preserve">the </w:t>
      </w:r>
      <w:proofErr w:type="spellStart"/>
      <w:r w:rsidRPr="00B93EE1">
        <w:rPr>
          <w:shd w:val="clear" w:color="auto" w:fill="FFFFFF"/>
        </w:rPr>
        <w:t>PreSeed</w:t>
      </w:r>
      <w:proofErr w:type="spellEnd"/>
      <w:r w:rsidRPr="00B93EE1">
        <w:rPr>
          <w:shd w:val="clear" w:color="auto" w:fill="FFFFFF"/>
        </w:rPr>
        <w:t xml:space="preserve"> Accelerator Fund, which provides project funding for early stage technology commercialization activities.</w:t>
      </w:r>
      <w:r w:rsidRPr="00B93EE1">
        <w:rPr>
          <w:shd w:val="clear" w:color="auto" w:fill="FFFFFF"/>
          <w:vertAlign w:val="superscript"/>
        </w:rPr>
        <w:footnoteReference w:id="258"/>
      </w:r>
    </w:p>
    <w:p w14:paraId="72F750F3" w14:textId="77777777" w:rsidR="00120717" w:rsidRPr="00F64A35" w:rsidRDefault="00120717" w:rsidP="00472364">
      <w:pPr>
        <w:pStyle w:val="BodyText"/>
      </w:pPr>
      <w:r w:rsidRPr="00B93EE1">
        <w:rPr>
          <w:shd w:val="clear" w:color="auto" w:fill="FFFFFF"/>
        </w:rPr>
        <w:t>CI is a stand-alone Crown Entity whose mission is to help domestic businesses commercialize their innovations. It offers a range of services and tailored programmes, including access to experts, technology and product development, innovation skills, business collaborations, and R&amp;D grants and loans to promote business growth.</w:t>
      </w:r>
      <w:bookmarkStart w:id="194" w:name="_Ref86601608"/>
      <w:r w:rsidRPr="00B93EE1">
        <w:rPr>
          <w:vertAlign w:val="superscript"/>
        </w:rPr>
        <w:footnoteReference w:id="259"/>
      </w:r>
      <w:bookmarkEnd w:id="194"/>
      <w:r w:rsidRPr="00B93EE1">
        <w:rPr>
          <w:shd w:val="clear" w:color="auto" w:fill="FFFFFF"/>
        </w:rPr>
        <w:t xml:space="preserve"> Although CI assists businesses at all stages, it offers specialized programmes for start-ups. Founder Incubators, in place since 2001, help accelerate the path to </w:t>
      </w:r>
      <w:r w:rsidRPr="00B93EE1">
        <w:rPr>
          <w:shd w:val="clear" w:color="auto" w:fill="FFFFFF"/>
        </w:rPr>
        <w:lastRenderedPageBreak/>
        <w:t>market for founder-focused start-ups by providing core business support and networking services for entrepreneurs. Technology Incubators, initially launched as a pilot programme in 2014 with public and private funding, operate with a market-based, profit-driven focus and work with IP</w:t>
      </w:r>
      <w:r w:rsidRPr="00B93EE1">
        <w:rPr>
          <w:shd w:val="clear" w:color="auto" w:fill="FFFFFF"/>
        </w:rPr>
        <w:noBreakHyphen/>
        <w:t xml:space="preserve">intensive firms to </w:t>
      </w:r>
      <w:r w:rsidRPr="00B93EE1">
        <w:t>identify commercially viable IP</w:t>
      </w:r>
      <w:r w:rsidRPr="00B93EE1">
        <w:noBreakHyphen/>
        <w:t>based ideas or technology around which to build a business</w:t>
      </w:r>
      <w:r w:rsidRPr="00B93EE1">
        <w:rPr>
          <w:shd w:val="clear" w:color="auto" w:fill="FFFFFF"/>
        </w:rPr>
        <w:t>.</w:t>
      </w:r>
      <w:r w:rsidRPr="00B93EE1">
        <w:rPr>
          <w:shd w:val="clear" w:color="auto" w:fill="FFFFFF"/>
          <w:vertAlign w:val="superscript"/>
        </w:rPr>
        <w:footnoteReference w:id="260"/>
      </w:r>
      <w:r w:rsidRPr="00B93EE1">
        <w:rPr>
          <w:shd w:val="clear" w:color="auto" w:fill="FFFFFF"/>
        </w:rPr>
        <w:t xml:space="preserve"> CI also funds three- to five-month Accelerator programmes that offer mentoring, coaching, and business support focused on rapid and intensive product development to establish investment-ready start-ups.</w:t>
      </w:r>
      <w:r w:rsidRPr="00B93EE1">
        <w:rPr>
          <w:shd w:val="clear" w:color="auto" w:fill="FFFFFF"/>
          <w:vertAlign w:val="superscript"/>
        </w:rPr>
        <w:footnoteReference w:id="261"/>
      </w:r>
      <w:r w:rsidRPr="00B93EE1">
        <w:rPr>
          <w:shd w:val="clear" w:color="auto" w:fill="FFFFFF"/>
        </w:rPr>
        <w:t xml:space="preserve"> Once a business is ready to expand internationally, it can benefit from the assistance of New Zealand Trade and Enterprise (</w:t>
      </w:r>
      <w:proofErr w:type="spellStart"/>
      <w:r w:rsidRPr="00B93EE1">
        <w:rPr>
          <w:shd w:val="clear" w:color="auto" w:fill="FFFFFF"/>
        </w:rPr>
        <w:t>NZTE</w:t>
      </w:r>
      <w:proofErr w:type="spellEnd"/>
      <w:r w:rsidRPr="00B93EE1">
        <w:rPr>
          <w:shd w:val="clear" w:color="auto" w:fill="FFFFFF"/>
        </w:rPr>
        <w:t>), New Zealand's international business development agency</w:t>
      </w:r>
      <w:r w:rsidRPr="00B93EE1">
        <w:t>.</w:t>
      </w:r>
      <w:r w:rsidRPr="00B93EE1">
        <w:rPr>
          <w:vertAlign w:val="superscript"/>
        </w:rPr>
        <w:footnoteReference w:id="262"/>
      </w:r>
      <w:r w:rsidRPr="00B93EE1">
        <w:t xml:space="preserve"> The </w:t>
      </w:r>
      <w:proofErr w:type="spellStart"/>
      <w:r w:rsidRPr="00B93EE1">
        <w:t>NZTE's</w:t>
      </w:r>
      <w:proofErr w:type="spellEnd"/>
      <w:r w:rsidRPr="00B93EE1">
        <w:t xml:space="preserve"> International Growth Fund assists firms with the potential to contribute to New Zealand's long</w:t>
      </w:r>
      <w:r w:rsidRPr="00B93EE1">
        <w:noBreakHyphen/>
        <w:t>term economic growth by supporting efforts to acquire key capabilities for business growth (</w:t>
      </w:r>
      <w:r w:rsidRPr="001A2CCA">
        <w:t>Section 3.2.4</w:t>
      </w:r>
      <w:r w:rsidRPr="00B93EE1">
        <w:t>).</w:t>
      </w:r>
      <w:r w:rsidRPr="00B93EE1">
        <w:rPr>
          <w:vertAlign w:val="superscript"/>
        </w:rPr>
        <w:footnoteReference w:id="263"/>
      </w:r>
    </w:p>
    <w:p w14:paraId="14E97C22" w14:textId="77777777" w:rsidR="00120717" w:rsidRPr="00F64A35" w:rsidRDefault="00120717" w:rsidP="00472364">
      <w:pPr>
        <w:pStyle w:val="BodyText"/>
      </w:pPr>
      <w:proofErr w:type="spellStart"/>
      <w:r w:rsidRPr="00B93EE1">
        <w:t>IPONZ</w:t>
      </w:r>
      <w:proofErr w:type="spellEnd"/>
      <w:r w:rsidRPr="00B93EE1">
        <w:t xml:space="preserve"> has also undertaken to increase IP awareness among the estimated 10,000 new small to medium-size businesses and start-ups launched each year that do not register their IP. It launched online campaigns that leverage social media and created IP cards for small business road shows. A new Trade Mark Check website tool was designed specifically to assist small businesses and non</w:t>
      </w:r>
      <w:r w:rsidRPr="00B93EE1">
        <w:noBreakHyphen/>
        <w:t>IP experts quickly determine, with the aid of deep</w:t>
      </w:r>
      <w:r w:rsidRPr="00B93EE1">
        <w:noBreakHyphen/>
        <w:t>learning artificial intelligence technology, whether a brand name or logo is already registered.</w:t>
      </w:r>
      <w:r w:rsidRPr="00B93EE1">
        <w:rPr>
          <w:vertAlign w:val="superscript"/>
        </w:rPr>
        <w:footnoteReference w:id="264"/>
      </w:r>
      <w:r w:rsidRPr="00B93EE1">
        <w:t xml:space="preserve"> </w:t>
      </w:r>
      <w:proofErr w:type="spellStart"/>
      <w:r w:rsidRPr="00B93EE1">
        <w:t>IPONZ</w:t>
      </w:r>
      <w:proofErr w:type="spellEnd"/>
      <w:r w:rsidRPr="00B93EE1">
        <w:t xml:space="preserve"> also provides a number of online resources to assist businesses in capturing, protecting, and managing their IP, and avoiding conflicts with the rights of others.</w:t>
      </w:r>
      <w:r w:rsidRPr="00B93EE1">
        <w:rPr>
          <w:vertAlign w:val="superscript"/>
        </w:rPr>
        <w:footnoteReference w:id="265"/>
      </w:r>
    </w:p>
    <w:p w14:paraId="5C4BCF95" w14:textId="77777777" w:rsidR="00120717" w:rsidRPr="00F64A35" w:rsidRDefault="00120717" w:rsidP="00472364">
      <w:pPr>
        <w:pStyle w:val="Heading4"/>
      </w:pPr>
      <w:bookmarkStart w:id="195" w:name="_Toc97800177"/>
      <w:r w:rsidRPr="00B93EE1">
        <w:rPr>
          <w:rFonts w:eastAsia="Times New Roman"/>
        </w:rPr>
        <w:t>International context</w:t>
      </w:r>
      <w:bookmarkEnd w:id="195"/>
    </w:p>
    <w:p w14:paraId="63677FE9" w14:textId="77777777" w:rsidR="00120717" w:rsidRPr="00F64A35" w:rsidRDefault="00120717" w:rsidP="00472364">
      <w:pPr>
        <w:pStyle w:val="BodyText"/>
      </w:pPr>
      <w:r w:rsidRPr="00B93EE1">
        <w:t>New Zealand has been a member of the World Intellectual Property Organization (WIPO) since 1984 and is signatory to 14 WIPO</w:t>
      </w:r>
      <w:r w:rsidRPr="00B93EE1">
        <w:noBreakHyphen/>
        <w:t>administered treaties.</w:t>
      </w:r>
      <w:r w:rsidRPr="00B93EE1">
        <w:rPr>
          <w:vertAlign w:val="superscript"/>
        </w:rPr>
        <w:footnoteReference w:id="266"/>
      </w:r>
      <w:r w:rsidRPr="00B93EE1">
        <w:t xml:space="preserve"> During the review period, it acceded to four of them: (</w:t>
      </w:r>
      <w:proofErr w:type="spellStart"/>
      <w:r w:rsidRPr="00B93EE1">
        <w:t>i</w:t>
      </w:r>
      <w:proofErr w:type="spellEnd"/>
      <w:r w:rsidRPr="00B93EE1">
        <w:t>) the Budapest Treaty on the International Recognition of the Deposit of Microorganisms for the Purposes of Patent Procedure; (ii) the Marrakesh Treaty to Facilitate Access to Published Works for Persons Who Are Blind, Visually Impaired or Otherwise Print Disabled (WIPO Marrakesh Treaty); (iii) the WIPO Copyright Treaty; and (iv) the WIPO Performances and Phonograms Treaty. New Zealand also acceded to the Paris Act (1971) of the Berne Convention for the Protection of Literary and Artistic Works during the review period. New Zealand has been a party to the 1978 Act of the International Convention for the Protection of New Varieties of Plants (</w:t>
      </w:r>
      <w:proofErr w:type="spellStart"/>
      <w:r w:rsidRPr="00B93EE1">
        <w:t>UPOV</w:t>
      </w:r>
      <w:proofErr w:type="spellEnd"/>
      <w:r w:rsidRPr="00B93EE1">
        <w:t> Convention) since 1981, and the Convention on Biological Diversity since 1993. The Protocol Amending the TRIPS Agreement entered into force for New Zealand on 23 January 2017.</w:t>
      </w:r>
    </w:p>
    <w:p w14:paraId="14A3065B" w14:textId="77777777" w:rsidR="00120717" w:rsidRPr="00F64A35" w:rsidRDefault="00120717" w:rsidP="00472364">
      <w:pPr>
        <w:pStyle w:val="BodyText"/>
      </w:pPr>
      <w:r w:rsidRPr="00B93EE1">
        <w:t xml:space="preserve">New Zealand is also party to a range of bilateral, regional, and multilateral instruments, including RTAs, investment treaties, framework agreements, memoranda of understanding, and cooperation agreements that address IP. </w:t>
      </w:r>
      <w:r w:rsidRPr="00B93EE1">
        <w:rPr>
          <w:szCs w:val="18"/>
        </w:rPr>
        <w:t>IP provisions are included in most of New Zealand's FTAs.</w:t>
      </w:r>
      <w:r w:rsidRPr="00B93EE1">
        <w:t xml:space="preserve"> The </w:t>
      </w:r>
      <w:proofErr w:type="spellStart"/>
      <w:r w:rsidRPr="00B93EE1">
        <w:t>CPTPP</w:t>
      </w:r>
      <w:proofErr w:type="spellEnd"/>
      <w:r w:rsidRPr="00B93EE1">
        <w:t>, which entered into force during the review period, and the RCEP, which was signed during the review period, both contain lengthy IP chapters and high levels of protection</w:t>
      </w:r>
      <w:r w:rsidRPr="00B93EE1">
        <w:rPr>
          <w:i/>
        </w:rPr>
        <w:t>.</w:t>
      </w:r>
      <w:r w:rsidRPr="00B93EE1">
        <w:rPr>
          <w:szCs w:val="18"/>
        </w:rPr>
        <w:t xml:space="preserve"> </w:t>
      </w:r>
      <w:r w:rsidRPr="00B93EE1">
        <w:t xml:space="preserve">The New Zealand-Korea FTA, which entered into force at the end of 2015, also contains a chapter on IP, and includes specific commitments concerning the protection of trademarks, copyright, and related rights, technological protection measures and electronic rights management information, and enforcement. New Zealand has continued to collaborate on IP matters with the Association of </w:t>
      </w:r>
      <w:r w:rsidRPr="00B93EE1">
        <w:lastRenderedPageBreak/>
        <w:t>Southeast Asian Nations; Australia; China; Hong Kong, China; Malaysia; Singapore; and Thailand in the context of FTAs and EPAs in force with those countries.</w:t>
      </w:r>
      <w:r w:rsidRPr="00B93EE1">
        <w:rPr>
          <w:vertAlign w:val="superscript"/>
        </w:rPr>
        <w:footnoteReference w:id="267"/>
      </w:r>
    </w:p>
    <w:p w14:paraId="4D379C70" w14:textId="77777777" w:rsidR="00120717" w:rsidRPr="00F64A35" w:rsidRDefault="00120717" w:rsidP="00472364">
      <w:pPr>
        <w:pStyle w:val="BodyText"/>
      </w:pPr>
      <w:r w:rsidRPr="00B93EE1">
        <w:t>New Zealand signed a new FTA with the United Kingdom on 28 February 2022. The FTA, if it enters into force as planned by the end of 2022, would oblige New Zealand to make certain changes to its copyright system, including a 20-year extension of the copyright term for authors, performers, and producers (so that current protections of life plus 50 years would become life plus 70 years and current protections of 50 years would become 70 years); the introduction of an artist resale right scheme; and expanded rights for performers. It would also commit New Zealand to make all reasonable efforts to join the WIPO Hague Agreement Concerning the International Registration of Industrial Designs.</w:t>
      </w:r>
      <w:r w:rsidRPr="00B93EE1">
        <w:rPr>
          <w:vertAlign w:val="superscript"/>
        </w:rPr>
        <w:footnoteReference w:id="268"/>
      </w:r>
      <w:r w:rsidRPr="00B93EE1">
        <w:t xml:space="preserve"> </w:t>
      </w:r>
    </w:p>
    <w:p w14:paraId="6979442F" w14:textId="77777777" w:rsidR="00120717" w:rsidRPr="00F64A35" w:rsidRDefault="00120717" w:rsidP="00472364">
      <w:pPr>
        <w:pStyle w:val="BodyText"/>
      </w:pPr>
      <w:proofErr w:type="spellStart"/>
      <w:r w:rsidRPr="00B93EE1">
        <w:t>IPONZ</w:t>
      </w:r>
      <w:proofErr w:type="spellEnd"/>
      <w:r w:rsidRPr="00B93EE1">
        <w:t xml:space="preserve"> continues to strengthen its links to other IP offices, particularly those of key partners in the United Kingdom, Singapore, Australia, Canada, Japan, China, and Fiji. In 2017, </w:t>
      </w:r>
      <w:proofErr w:type="spellStart"/>
      <w:r w:rsidRPr="00B93EE1">
        <w:t>IPONZ</w:t>
      </w:r>
      <w:proofErr w:type="spellEnd"/>
      <w:r w:rsidRPr="00B93EE1">
        <w:t xml:space="preserve"> joined the Global Patent Prosecution Highway (</w:t>
      </w:r>
      <w:proofErr w:type="spellStart"/>
      <w:r w:rsidRPr="00B93EE1">
        <w:t>GPPH</w:t>
      </w:r>
      <w:proofErr w:type="spellEnd"/>
      <w:r w:rsidRPr="00B93EE1">
        <w:t xml:space="preserve">) pilot programme, which permits patent applicants to request expedited examination on the basis that one or more claims in the application have been deemed allowable by another of the 27 participating </w:t>
      </w:r>
      <w:proofErr w:type="spellStart"/>
      <w:r w:rsidRPr="00B93EE1">
        <w:t>GPPH</w:t>
      </w:r>
      <w:proofErr w:type="spellEnd"/>
      <w:r w:rsidRPr="00B93EE1">
        <w:t xml:space="preserve"> IP offices.</w:t>
      </w:r>
      <w:r w:rsidRPr="00B93EE1">
        <w:rPr>
          <w:vertAlign w:val="superscript"/>
        </w:rPr>
        <w:footnoteReference w:id="269"/>
      </w:r>
      <w:r w:rsidRPr="00B93EE1">
        <w:t xml:space="preserve"> New Zealand also collaborates with its regional neighbours on IP matters in the APEC Intellectual Property Rights Expert Group.</w:t>
      </w:r>
      <w:r w:rsidRPr="00B93EE1">
        <w:rPr>
          <w:rStyle w:val="FootnoteReference"/>
        </w:rPr>
        <w:footnoteReference w:id="270"/>
      </w:r>
    </w:p>
    <w:p w14:paraId="6C39B48F" w14:textId="77777777" w:rsidR="00120717" w:rsidRPr="00F64A35" w:rsidRDefault="00120717" w:rsidP="00472364">
      <w:pPr>
        <w:pStyle w:val="Heading4"/>
      </w:pPr>
      <w:bookmarkStart w:id="196" w:name="_Toc97800178"/>
      <w:r w:rsidRPr="00B93EE1">
        <w:rPr>
          <w:rFonts w:eastAsia="Times New Roman"/>
        </w:rPr>
        <w:t>Genetic resources, traditional knowledge, and folklore</w:t>
      </w:r>
      <w:bookmarkEnd w:id="196"/>
    </w:p>
    <w:p w14:paraId="7CD0CAF4" w14:textId="77777777" w:rsidR="00120717" w:rsidRPr="00F64A35" w:rsidRDefault="00120717" w:rsidP="00472364">
      <w:pPr>
        <w:pStyle w:val="BodyText"/>
      </w:pPr>
      <w:r w:rsidRPr="00B93EE1">
        <w:t xml:space="preserve">The protection, use, and guardianship of </w:t>
      </w:r>
      <w:proofErr w:type="spellStart"/>
      <w:r w:rsidRPr="00B93EE1">
        <w:t>mātauranga</w:t>
      </w:r>
      <w:proofErr w:type="spellEnd"/>
      <w:r w:rsidRPr="00B93EE1">
        <w:t xml:space="preserve"> Māori (Māori knowledge system) and other </w:t>
      </w:r>
      <w:proofErr w:type="spellStart"/>
      <w:r w:rsidRPr="00B93EE1">
        <w:rPr>
          <w:iCs/>
        </w:rPr>
        <w:t>tāonga</w:t>
      </w:r>
      <w:proofErr w:type="spellEnd"/>
      <w:r w:rsidRPr="00B93EE1">
        <w:t xml:space="preserve"> (tangible and intangible Māori treasures), including the relationships of the Māori indigenous people of New Zealand with the flora and fauna of New Zealand, are important considerations in the evolution of New Zealand's IP system. New Zealand's current patent and trademark regimes include provisions designed to prevent the registration of trademarks or granting of patents that would be considered offensive by Māori or contrary to Māori values. </w:t>
      </w:r>
      <w:proofErr w:type="spellStart"/>
      <w:r w:rsidRPr="00B93EE1">
        <w:t>IPONZ</w:t>
      </w:r>
      <w:proofErr w:type="spellEnd"/>
      <w:r w:rsidRPr="00B93EE1">
        <w:t xml:space="preserve"> may refer an application for a trademark, geographical indication (GI), design, or patent to a Māori Advisory Committee for advice, which the Commissioner has discretion to follow. In 2014, the Māori tribe </w:t>
      </w:r>
      <w:proofErr w:type="spellStart"/>
      <w:r w:rsidRPr="00B93EE1">
        <w:rPr>
          <w:rFonts w:cs="Arial"/>
          <w:szCs w:val="18"/>
        </w:rPr>
        <w:t>Ngāti</w:t>
      </w:r>
      <w:proofErr w:type="spellEnd"/>
      <w:r w:rsidRPr="00B93EE1">
        <w:rPr>
          <w:rFonts w:cs="Arial"/>
          <w:szCs w:val="18"/>
        </w:rPr>
        <w:t xml:space="preserve"> Toa Rangatira obtained, through legislation, an attribution right in relation to the haka </w:t>
      </w:r>
      <w:r w:rsidRPr="00B93EE1">
        <w:rPr>
          <w:rFonts w:cs="Arial"/>
          <w:i/>
          <w:szCs w:val="18"/>
        </w:rPr>
        <w:t>Ka Mate</w:t>
      </w:r>
      <w:r w:rsidRPr="00B93EE1">
        <w:rPr>
          <w:rFonts w:cs="Arial"/>
          <w:szCs w:val="18"/>
        </w:rPr>
        <w:t>, a traditional war dance.</w:t>
      </w:r>
      <w:r w:rsidRPr="00B93EE1">
        <w:rPr>
          <w:rFonts w:cs="Arial"/>
          <w:szCs w:val="18"/>
          <w:vertAlign w:val="superscript"/>
        </w:rPr>
        <w:footnoteReference w:id="271"/>
      </w:r>
    </w:p>
    <w:p w14:paraId="71070054" w14:textId="77777777" w:rsidR="00120717" w:rsidRPr="00F64A35" w:rsidRDefault="00120717" w:rsidP="00472364">
      <w:pPr>
        <w:pStyle w:val="BodyText"/>
      </w:pPr>
      <w:r w:rsidRPr="00B93EE1">
        <w:t xml:space="preserve">During the review period, the Government pursued a "whole of government", </w:t>
      </w:r>
      <w:proofErr w:type="spellStart"/>
      <w:r w:rsidRPr="00B93EE1">
        <w:t>Te</w:t>
      </w:r>
      <w:proofErr w:type="spellEnd"/>
      <w:r w:rsidRPr="00B93EE1">
        <w:t xml:space="preserve"> </w:t>
      </w:r>
      <w:proofErr w:type="spellStart"/>
      <w:r w:rsidRPr="00B93EE1">
        <w:t>Pae</w:t>
      </w:r>
      <w:proofErr w:type="spellEnd"/>
      <w:r w:rsidRPr="00B93EE1">
        <w:t xml:space="preserve"> </w:t>
      </w:r>
      <w:proofErr w:type="spellStart"/>
      <w:r w:rsidRPr="00B93EE1">
        <w:t>Tawhiti</w:t>
      </w:r>
      <w:proofErr w:type="spellEnd"/>
      <w:r w:rsidRPr="00B93EE1">
        <w:t>, approach to addressing issues raised and recommendations made in the 2011 Waitangi Tribunal</w:t>
      </w:r>
      <w:r w:rsidRPr="00B93EE1">
        <w:rPr>
          <w:vertAlign w:val="superscript"/>
        </w:rPr>
        <w:footnoteReference w:id="272"/>
      </w:r>
      <w:r w:rsidRPr="00B93EE1">
        <w:t xml:space="preserve"> Wai 262 report </w:t>
      </w:r>
      <w:r w:rsidRPr="00B93EE1">
        <w:rPr>
          <w:i/>
        </w:rPr>
        <w:t xml:space="preserve">Ko Aotearoa </w:t>
      </w:r>
      <w:proofErr w:type="spellStart"/>
      <w:r w:rsidRPr="00B93EE1">
        <w:rPr>
          <w:i/>
        </w:rPr>
        <w:t>Tenei</w:t>
      </w:r>
      <w:proofErr w:type="spellEnd"/>
      <w:r w:rsidRPr="00B93EE1">
        <w:rPr>
          <w:rStyle w:val="FootnoteReference"/>
          <w:iCs/>
        </w:rPr>
        <w:footnoteReference w:id="273"/>
      </w:r>
      <w:r w:rsidRPr="00B93EE1">
        <w:t xml:space="preserve"> on claims that the Government had failed to adequately protect </w:t>
      </w:r>
      <w:proofErr w:type="spellStart"/>
      <w:r w:rsidRPr="00B93EE1">
        <w:t>mātauranga</w:t>
      </w:r>
      <w:proofErr w:type="spellEnd"/>
      <w:r w:rsidRPr="00B93EE1">
        <w:t xml:space="preserve"> Māori and other </w:t>
      </w:r>
      <w:proofErr w:type="spellStart"/>
      <w:r w:rsidRPr="00B93EE1">
        <w:rPr>
          <w:iCs/>
        </w:rPr>
        <w:t>tāonga</w:t>
      </w:r>
      <w:proofErr w:type="spellEnd"/>
      <w:r w:rsidRPr="00B93EE1">
        <w:t xml:space="preserve">. The Government and Māori are working together to address the protection, use, and development of </w:t>
      </w:r>
      <w:proofErr w:type="spellStart"/>
      <w:r w:rsidRPr="00B93EE1">
        <w:t>mātauranga</w:t>
      </w:r>
      <w:proofErr w:type="spellEnd"/>
      <w:r w:rsidRPr="00B93EE1">
        <w:t xml:space="preserve"> Māori and other </w:t>
      </w:r>
      <w:proofErr w:type="spellStart"/>
      <w:r w:rsidRPr="00B93EE1">
        <w:rPr>
          <w:iCs/>
        </w:rPr>
        <w:t>tāonga</w:t>
      </w:r>
      <w:proofErr w:type="spellEnd"/>
      <w:r w:rsidRPr="00B93EE1">
        <w:t>, and in doing so, delivering enduring economic, social, environmental, and cultural benefits for Aotearoa New Zealand.</w:t>
      </w:r>
      <w:r w:rsidRPr="00B93EE1">
        <w:rPr>
          <w:vertAlign w:val="superscript"/>
        </w:rPr>
        <w:footnoteReference w:id="274"/>
      </w:r>
    </w:p>
    <w:p w14:paraId="34A482F0" w14:textId="77777777" w:rsidR="00120717" w:rsidRPr="00F64A35" w:rsidRDefault="00120717" w:rsidP="00472364">
      <w:pPr>
        <w:pStyle w:val="BodyText"/>
      </w:pPr>
      <w:r w:rsidRPr="00B93EE1">
        <w:lastRenderedPageBreak/>
        <w:t>The Plant Variety Rights Bill</w:t>
      </w:r>
      <w:r w:rsidRPr="00B93EE1">
        <w:rPr>
          <w:vertAlign w:val="superscript"/>
        </w:rPr>
        <w:footnoteReference w:id="275"/>
      </w:r>
      <w:r w:rsidRPr="00B93EE1">
        <w:t xml:space="preserve"> pending in Parliament, in line with the Waitangi Tribunal's recommendations</w:t>
      </w:r>
      <w:r w:rsidRPr="00B93EE1">
        <w:rPr>
          <w:rStyle w:val="FootnoteReference"/>
        </w:rPr>
        <w:footnoteReference w:id="276"/>
      </w:r>
      <w:r w:rsidRPr="00B93EE1">
        <w:t>, proposes establishing a Māori Advisory Committee. The Committee would be empowered to, among other things, assess and determine whether a PVR, if granted, could have an adverse effect on the kaitiaki (guardian) relationship with the indigenous plant variety or a non</w:t>
      </w:r>
      <w:r w:rsidRPr="00B93EE1">
        <w:noBreakHyphen/>
        <w:t xml:space="preserve">indigenous plant variety of significance that is the subject of a PVR application, and, if so, decline registration of the PVR. As part of its review of the Copyright Act 1994, the Government is considering the Waitangi Tribunal's recommendation that the tangible and intangible expressions of Māori artistic and cultural traditions should be addressed through a new </w:t>
      </w:r>
      <w:r w:rsidRPr="00B93EE1">
        <w:rPr>
          <w:i/>
        </w:rPr>
        <w:t xml:space="preserve">sui generis </w:t>
      </w:r>
      <w:r w:rsidRPr="00B93EE1">
        <w:t>legal regime. The Government is also pursuing, in the context of a comprehensive bioprospecting policy, the Waitangi Tribunal's recommendation that patent applicants be required to disclose the origin of genetic resources and traditional knowledge.</w:t>
      </w:r>
      <w:r w:rsidRPr="00B93EE1">
        <w:rPr>
          <w:vertAlign w:val="superscript"/>
        </w:rPr>
        <w:footnoteReference w:id="277"/>
      </w:r>
    </w:p>
    <w:p w14:paraId="264004BC" w14:textId="77777777" w:rsidR="00120717" w:rsidRPr="00F64A35" w:rsidRDefault="00120717" w:rsidP="00472364">
      <w:pPr>
        <w:pStyle w:val="Heading4"/>
      </w:pPr>
      <w:bookmarkStart w:id="197" w:name="_Toc97800179"/>
      <w:r w:rsidRPr="00B93EE1">
        <w:rPr>
          <w:rFonts w:eastAsia="Times New Roman"/>
        </w:rPr>
        <w:t>Patents</w:t>
      </w:r>
      <w:bookmarkEnd w:id="197"/>
    </w:p>
    <w:p w14:paraId="01026815" w14:textId="77777777" w:rsidR="00120717" w:rsidRPr="00F64A35" w:rsidRDefault="00120717" w:rsidP="00472364">
      <w:pPr>
        <w:pStyle w:val="BodyText"/>
      </w:pPr>
      <w:r w:rsidRPr="00B93EE1">
        <w:t>The Patents Act 2013 and Patents Regulations 2014 continue to provide the primary legal and regulatory basis for patent registration, protection, and enforcement in New Zealand. Both were amended during the review period.</w:t>
      </w:r>
    </w:p>
    <w:p w14:paraId="545FA18E" w14:textId="77777777" w:rsidR="00120717" w:rsidRPr="00F64A35" w:rsidRDefault="00120717" w:rsidP="00472364">
      <w:pPr>
        <w:pStyle w:val="BodyText"/>
      </w:pPr>
      <w:r w:rsidRPr="00B93EE1">
        <w:t>In 2017, amendments to the Patents Act 2013 came into force to implement a new single patent attorney regulatory regime between Australia and New Zealand. All those providing patent attorney services in either country must be registered in the new trans-Tasman register. Attorneys registered under prior schemes were automatically entered on the new register.</w:t>
      </w:r>
      <w:r w:rsidRPr="00B93EE1">
        <w:rPr>
          <w:rFonts w:eastAsia="Times New Roman"/>
          <w:vertAlign w:val="superscript"/>
        </w:rPr>
        <w:footnoteReference w:id="278"/>
      </w:r>
    </w:p>
    <w:p w14:paraId="73C599B4" w14:textId="77777777" w:rsidR="00120717" w:rsidRPr="00F64A35" w:rsidRDefault="00120717" w:rsidP="00472364">
      <w:pPr>
        <w:pStyle w:val="BodyText"/>
      </w:pPr>
      <w:r w:rsidRPr="00B93EE1">
        <w:t xml:space="preserve">The </w:t>
      </w:r>
      <w:proofErr w:type="spellStart"/>
      <w:r w:rsidRPr="00B93EE1">
        <w:t>CPTPP</w:t>
      </w:r>
      <w:proofErr w:type="spellEnd"/>
      <w:r w:rsidRPr="00B93EE1">
        <w:t xml:space="preserve"> Amendment Act 2018 introduced a grace period into the Patent Act for prior disclosure. Disclosure of the invention by or with the consent of the applicant, or any person from whom they derive title (i.e. the inventor), during the 12 months preceding the filing of a complete specification, no longer constitutes prior art for the purpose of a New Zealand patent application.</w:t>
      </w:r>
      <w:r w:rsidRPr="00B93EE1">
        <w:rPr>
          <w:rFonts w:eastAsia="Times New Roman"/>
          <w:vertAlign w:val="superscript"/>
        </w:rPr>
        <w:footnoteReference w:id="279"/>
      </w:r>
    </w:p>
    <w:p w14:paraId="7EA680E1" w14:textId="77777777" w:rsidR="00120717" w:rsidRPr="00F64A35" w:rsidRDefault="00120717" w:rsidP="00472364">
      <w:pPr>
        <w:pStyle w:val="BodyText"/>
      </w:pPr>
      <w:r w:rsidRPr="00B93EE1">
        <w:t>In 2020, the Patents Regulations 2014 were amended to increase fees generally and add certain new fees. Examination fees were increased by 50% and new fees created for "excess" claims (30 or more).</w:t>
      </w:r>
      <w:r w:rsidRPr="00B93EE1">
        <w:rPr>
          <w:rFonts w:eastAsia="Times New Roman"/>
          <w:vertAlign w:val="superscript"/>
        </w:rPr>
        <w:footnoteReference w:id="280"/>
      </w:r>
      <w:r w:rsidRPr="00B93EE1">
        <w:t xml:space="preserve"> Renewal and maintenance fees were generally doubled (in some cases more). </w:t>
      </w:r>
      <w:proofErr w:type="spellStart"/>
      <w:r w:rsidRPr="00B93EE1">
        <w:t>IPONZ</w:t>
      </w:r>
      <w:proofErr w:type="spellEnd"/>
      <w:r w:rsidRPr="00B93EE1">
        <w:t xml:space="preserve"> explained that the increases were necessary to reduce its memorandum account, rebalance revenue as compared with trademark revenue, and improve regime efficiency, equity, and effectiveness.</w:t>
      </w:r>
      <w:r w:rsidRPr="00B93EE1">
        <w:rPr>
          <w:rFonts w:eastAsia="Times New Roman"/>
          <w:vertAlign w:val="superscript"/>
        </w:rPr>
        <w:footnoteReference w:id="281"/>
      </w:r>
    </w:p>
    <w:p w14:paraId="54AB268E" w14:textId="76CD7AF0" w:rsidR="00120717" w:rsidRPr="00F64A35" w:rsidRDefault="00120717" w:rsidP="00472364">
      <w:pPr>
        <w:pStyle w:val="BodyText"/>
      </w:pPr>
      <w:r w:rsidRPr="00B93EE1">
        <w:t xml:space="preserve">Patenting activity declined in New Zealand during the review period. Annual applications declined 25% while annual grants declined 61% between 2014 and 2020. During the same period, non-residents comprised a growing proportion of both applicants and grantees, reaching 94% and 96%, respectively, in 2020 </w:t>
      </w:r>
      <w:r w:rsidRPr="0035083E">
        <w:t>(</w:t>
      </w:r>
      <w:r w:rsidRPr="00150FE8">
        <w:t>Table A3.</w:t>
      </w:r>
      <w:r w:rsidR="006A26C7">
        <w:t>3</w:t>
      </w:r>
      <w:r w:rsidRPr="00150FE8">
        <w:t>).</w:t>
      </w:r>
      <w:r w:rsidRPr="00150FE8">
        <w:rPr>
          <w:bCs/>
        </w:rPr>
        <w:t xml:space="preserve"> </w:t>
      </w:r>
      <w:r w:rsidRPr="00B93EE1">
        <w:t xml:space="preserve">A study commissioned by </w:t>
      </w:r>
      <w:proofErr w:type="spellStart"/>
      <w:r w:rsidRPr="00B93EE1">
        <w:t>IPONZ</w:t>
      </w:r>
      <w:proofErr w:type="spellEnd"/>
      <w:r w:rsidRPr="00B93EE1">
        <w:t xml:space="preserve"> links these trends to the higher patentability requirements of the Patents Act 2013</w:t>
      </w:r>
      <w:r w:rsidRPr="00B93EE1">
        <w:rPr>
          <w:rStyle w:val="FootnoteReference"/>
        </w:rPr>
        <w:footnoteReference w:id="282"/>
      </w:r>
      <w:r w:rsidRPr="00B93EE1">
        <w:t xml:space="preserve">, which have created examination delays. The study hypothesizes that foreign applicants filing in New Zealand are typically sophisticated entities pursuing strategic protection globally, since they have usually filed in more than 11 jurisdictions (with 96% also having filed in Australia). The highest numbers of foreign </w:t>
      </w:r>
      <w:r w:rsidRPr="00B93EE1">
        <w:lastRenderedPageBreak/>
        <w:t>applications originate from the United States, Australia, Europe, and the United Kingdom. Pharmaceutical technology inventions</w:t>
      </w:r>
      <w:r w:rsidRPr="00B93EE1">
        <w:rPr>
          <w:rFonts w:eastAsia="Times New Roman"/>
          <w:vertAlign w:val="superscript"/>
        </w:rPr>
        <w:footnoteReference w:id="283"/>
      </w:r>
      <w:r w:rsidRPr="00B93EE1">
        <w:t xml:space="preserve"> dominate foreign filings, followed by materials science and biotechnology products or processes. In contrast, the most common fields for domestic applicants are agriculture and food, civil engineering (specifically building materials), and industrial engineering. The contrasting fields of focus for foreign and domestic applicants is likely influenced by the ease with which the goods that embody the invention can be shipped.</w:t>
      </w:r>
      <w:r w:rsidRPr="00B93EE1">
        <w:rPr>
          <w:rFonts w:eastAsia="Times New Roman"/>
          <w:vertAlign w:val="superscript"/>
        </w:rPr>
        <w:footnoteReference w:id="284"/>
      </w:r>
    </w:p>
    <w:p w14:paraId="44F3084D" w14:textId="3D7E1B1D" w:rsidR="00120717" w:rsidRPr="00F64A35" w:rsidRDefault="00120717" w:rsidP="00472364">
      <w:pPr>
        <w:pStyle w:val="BodyText"/>
      </w:pPr>
      <w:r w:rsidRPr="00B93EE1">
        <w:t xml:space="preserve">The annual rate at which New Zealand-based entities obtained patent protection abroad increased over 50% from 2014 to 2020, outpacing the 13% increase in annual applications made abroad during the same period </w:t>
      </w:r>
      <w:r w:rsidRPr="0035083E">
        <w:t>(</w:t>
      </w:r>
      <w:r w:rsidRPr="00150FE8">
        <w:t>Table A3.</w:t>
      </w:r>
      <w:r w:rsidR="006A26C7">
        <w:t>3</w:t>
      </w:r>
      <w:r w:rsidRPr="00150FE8">
        <w:t>).</w:t>
      </w:r>
      <w:r w:rsidRPr="0035083E">
        <w:t xml:space="preserve"> </w:t>
      </w:r>
      <w:r w:rsidRPr="00B93EE1">
        <w:t>In 2017, international patent applications originating from New Zealand most frequently involved the following technologies: medical technology; electrical machinery, apparatus, energy; biotechnology; civil engineering; and pharmaceuticals.</w:t>
      </w:r>
      <w:r w:rsidRPr="00B93EE1">
        <w:rPr>
          <w:rFonts w:eastAsia="Times New Roman"/>
          <w:vertAlign w:val="superscript"/>
        </w:rPr>
        <w:footnoteReference w:id="285"/>
      </w:r>
      <w:r w:rsidRPr="00B93EE1">
        <w:t xml:space="preserve"> Nearly half of all New Zealand patent filings are also filed in Australia; one third are also filed in the United States; and one quarter are also filed with the European Patent Office.</w:t>
      </w:r>
      <w:r w:rsidRPr="00B93EE1">
        <w:rPr>
          <w:rStyle w:val="FootnoteReference"/>
        </w:rPr>
        <w:footnoteReference w:id="286"/>
      </w:r>
    </w:p>
    <w:p w14:paraId="3A924F55" w14:textId="77777777" w:rsidR="00120717" w:rsidRPr="00F64A35" w:rsidRDefault="00120717" w:rsidP="00472364">
      <w:pPr>
        <w:pStyle w:val="Heading4"/>
      </w:pPr>
      <w:bookmarkStart w:id="198" w:name="_Toc97800180"/>
      <w:r w:rsidRPr="00B93EE1">
        <w:rPr>
          <w:rFonts w:eastAsia="Times New Roman"/>
        </w:rPr>
        <w:t>Undisclosed information</w:t>
      </w:r>
      <w:bookmarkEnd w:id="198"/>
    </w:p>
    <w:p w14:paraId="19FA5629" w14:textId="77777777" w:rsidR="00120717" w:rsidRPr="00F64A35" w:rsidRDefault="00120717" w:rsidP="00472364">
      <w:pPr>
        <w:pStyle w:val="BodyText"/>
      </w:pPr>
      <w:r w:rsidRPr="00B93EE1">
        <w:t>Trade secrets are not statutorily protected under New Zealand civil law, but they may be protected by contract and through a common law breach of confidence action. Under New Zealand's criminal law, misappropriation of a trade secret, with the intent to obtain a financial or economic advantage or to cause loss to another, is a crime punishable by up to five years in prison.</w:t>
      </w:r>
      <w:r w:rsidRPr="00B93EE1">
        <w:rPr>
          <w:rFonts w:eastAsia="Times New Roman"/>
          <w:vertAlign w:val="superscript"/>
        </w:rPr>
        <w:footnoteReference w:id="287"/>
      </w:r>
      <w:r w:rsidRPr="00B93EE1">
        <w:t xml:space="preserve"> In addition, the crime of accessing a computer system for a dishonest purpose to obtain property may apply to digital files, which is punishable by up to seven years in prison.</w:t>
      </w:r>
      <w:r w:rsidRPr="00B93EE1">
        <w:rPr>
          <w:rStyle w:val="FootnoteReference"/>
        </w:rPr>
        <w:footnoteReference w:id="288"/>
      </w:r>
    </w:p>
    <w:p w14:paraId="33C8140C" w14:textId="29E2EFEB" w:rsidR="00120717" w:rsidRPr="00F64A35" w:rsidRDefault="00120717" w:rsidP="00472364">
      <w:pPr>
        <w:pStyle w:val="BodyText"/>
      </w:pPr>
      <w:r w:rsidRPr="00B93EE1">
        <w:t xml:space="preserve">Unless otherwise exempt, agricultural and veterinary compounds must be registered by the </w:t>
      </w:r>
      <w:proofErr w:type="spellStart"/>
      <w:r w:rsidRPr="00B93EE1">
        <w:t>MPI</w:t>
      </w:r>
      <w:proofErr w:type="spellEnd"/>
      <w:r w:rsidRPr="00B93EE1">
        <w:t xml:space="preserve"> prior to their sale, manufacture, import, or use in New Zealand, </w:t>
      </w:r>
      <w:r w:rsidRPr="00B93EE1">
        <w:rPr>
          <w:bCs/>
        </w:rPr>
        <w:t>as set out in the Agricultural Compounds and Veterinary Medicines Act 1997 (</w:t>
      </w:r>
      <w:proofErr w:type="spellStart"/>
      <w:r w:rsidRPr="00B93EE1">
        <w:rPr>
          <w:bCs/>
        </w:rPr>
        <w:t>ACVM</w:t>
      </w:r>
      <w:proofErr w:type="spellEnd"/>
      <w:r w:rsidRPr="00B93EE1">
        <w:rPr>
          <w:bCs/>
        </w:rPr>
        <w:t xml:space="preserve"> Act)</w:t>
      </w:r>
      <w:r w:rsidRPr="00B93EE1">
        <w:t>. Applications for registration must be supported by data on the product's features, plant or animal safety, efficacy, and the likelihood of residues remaining when used on crops or animals for human consumption.</w:t>
      </w:r>
      <w:r w:rsidRPr="00B93EE1">
        <w:rPr>
          <w:rFonts w:eastAsia="Times New Roman"/>
          <w:vertAlign w:val="superscript"/>
        </w:rPr>
        <w:footnoteReference w:id="289"/>
      </w:r>
      <w:r w:rsidRPr="00B93EE1">
        <w:t xml:space="preserve"> In 2016, New Zealand extended the data protection term for confidential information supporting an application for an innovative agricultural or veterinary compound from 5 years to 10 years from the grant or refusal of the application. Confidential information supporting an application for a non</w:t>
      </w:r>
      <w:r w:rsidRPr="00B93EE1">
        <w:noBreakHyphen/>
        <w:t>innovative compound or a new use or method of use for either an innovative or non-innovative compound were newly granted five-year periods of protection.</w:t>
      </w:r>
      <w:r w:rsidRPr="00B93EE1">
        <w:rPr>
          <w:bCs/>
          <w:color w:val="FF0000"/>
        </w:rPr>
        <w:t xml:space="preserve"> </w:t>
      </w:r>
      <w:r w:rsidRPr="00B93EE1">
        <w:rPr>
          <w:bCs/>
        </w:rPr>
        <w:t xml:space="preserve">Under the amended </w:t>
      </w:r>
      <w:proofErr w:type="spellStart"/>
      <w:r w:rsidRPr="00B93EE1">
        <w:rPr>
          <w:bCs/>
        </w:rPr>
        <w:t>ACVM</w:t>
      </w:r>
      <w:proofErr w:type="spellEnd"/>
      <w:r w:rsidRPr="00B93EE1">
        <w:rPr>
          <w:bCs/>
        </w:rPr>
        <w:t xml:space="preserve"> Act, the Director-General may use </w:t>
      </w:r>
      <w:r w:rsidRPr="00B93EE1">
        <w:t>confidential information during the protected period in determining whether to grant an application other than the application to which the information relates or related, or disclose it to third parties, if the opinion of the Director-General is that the disclosure or use is necessary to protect the health or safety of members of the public.</w:t>
      </w:r>
      <w:r w:rsidRPr="00B93EE1">
        <w:rPr>
          <w:rFonts w:eastAsia="Times New Roman"/>
          <w:vertAlign w:val="superscript"/>
        </w:rPr>
        <w:footnoteReference w:id="290"/>
      </w:r>
    </w:p>
    <w:p w14:paraId="1DB5F032" w14:textId="77777777" w:rsidR="00120717" w:rsidRPr="00F64A35" w:rsidRDefault="00120717" w:rsidP="00472364">
      <w:pPr>
        <w:pStyle w:val="BodyText"/>
      </w:pPr>
      <w:r w:rsidRPr="00B93EE1">
        <w:t>The protection of confidential information submitted to the New Zealand Medicines and Medical Devices Safety Authority (</w:t>
      </w:r>
      <w:proofErr w:type="spellStart"/>
      <w:r w:rsidRPr="00B93EE1">
        <w:t>MedSafe</w:t>
      </w:r>
      <w:proofErr w:type="spellEnd"/>
      <w:r w:rsidRPr="00B93EE1">
        <w:t>) is discussed in Section 3.3.8.13.</w:t>
      </w:r>
    </w:p>
    <w:p w14:paraId="67CC6DDA" w14:textId="77777777" w:rsidR="00120717" w:rsidRPr="00F64A35" w:rsidRDefault="00120717" w:rsidP="00472364">
      <w:pPr>
        <w:pStyle w:val="Heading4"/>
      </w:pPr>
      <w:bookmarkStart w:id="199" w:name="_Toc97800181"/>
      <w:r w:rsidRPr="00B93EE1">
        <w:rPr>
          <w:rFonts w:eastAsia="Times New Roman"/>
        </w:rPr>
        <w:t>Plant variety rights</w:t>
      </w:r>
      <w:bookmarkEnd w:id="199"/>
    </w:p>
    <w:p w14:paraId="289F2D2C" w14:textId="77777777" w:rsidR="00120717" w:rsidRPr="00F64A35" w:rsidRDefault="00120717" w:rsidP="00472364">
      <w:pPr>
        <w:pStyle w:val="BodyText"/>
      </w:pPr>
      <w:r w:rsidRPr="00B93EE1">
        <w:t xml:space="preserve">The Plant Variety Rights Act 1987 (PVR Act) and Plant Variety Rights Regulations 1988 continue to provide the legal and regulatory basis for the protection of new cultivated plant varieties. </w:t>
      </w:r>
      <w:r w:rsidRPr="00B93EE1">
        <w:lastRenderedPageBreak/>
        <w:t>No significant amendments were made during the review period. The PVR Act requires a variety to be sufficiently "distinct, uniform and stable" (</w:t>
      </w:r>
      <w:proofErr w:type="spellStart"/>
      <w:r w:rsidRPr="00B93EE1">
        <w:t>DUS</w:t>
      </w:r>
      <w:proofErr w:type="spellEnd"/>
      <w:r w:rsidRPr="00B93EE1">
        <w:t xml:space="preserve">) to be eligible for protection. </w:t>
      </w:r>
      <w:proofErr w:type="spellStart"/>
      <w:r w:rsidRPr="00B93EE1">
        <w:t>IPONZ's</w:t>
      </w:r>
      <w:proofErr w:type="spellEnd"/>
      <w:r w:rsidRPr="00B93EE1">
        <w:t xml:space="preserve"> PVR Office developed a quality management system for </w:t>
      </w:r>
      <w:proofErr w:type="spellStart"/>
      <w:r w:rsidRPr="00B93EE1">
        <w:t>DUS</w:t>
      </w:r>
      <w:proofErr w:type="spellEnd"/>
      <w:r w:rsidRPr="00B93EE1">
        <w:t xml:space="preserve"> testing, which was implemented in 2019. As of 2020, 1,295 plant variety rights were on New Zealand's registry.</w:t>
      </w:r>
      <w:r w:rsidRPr="00B93EE1">
        <w:rPr>
          <w:vertAlign w:val="superscript"/>
        </w:rPr>
        <w:footnoteReference w:id="291"/>
      </w:r>
      <w:r w:rsidRPr="00B93EE1">
        <w:t xml:space="preserve"> </w:t>
      </w:r>
      <w:proofErr w:type="spellStart"/>
      <w:r w:rsidRPr="00B93EE1">
        <w:t>IPONZ</w:t>
      </w:r>
      <w:proofErr w:type="spellEnd"/>
      <w:r w:rsidRPr="00B93EE1">
        <w:t xml:space="preserve"> has noted a slow decline in applications in recent years.</w:t>
      </w:r>
      <w:r w:rsidRPr="00B93EE1">
        <w:rPr>
          <w:vertAlign w:val="superscript"/>
        </w:rPr>
        <w:footnoteReference w:id="292"/>
      </w:r>
    </w:p>
    <w:p w14:paraId="7D94B6D0" w14:textId="77777777" w:rsidR="00120717" w:rsidRPr="00F64A35" w:rsidRDefault="00120717" w:rsidP="00472364">
      <w:pPr>
        <w:pStyle w:val="BodyText"/>
      </w:pPr>
      <w:r w:rsidRPr="00B93EE1">
        <w:t xml:space="preserve">The </w:t>
      </w:r>
      <w:proofErr w:type="spellStart"/>
      <w:r w:rsidRPr="00B93EE1">
        <w:t>MBIE</w:t>
      </w:r>
      <w:proofErr w:type="spellEnd"/>
      <w:r w:rsidRPr="00B93EE1">
        <w:t xml:space="preserve"> initiated a review of New Zealand's regime for plant variety rights in 2017, with a view to implementing obligations under the Treaty of Waitangi and meeting its </w:t>
      </w:r>
      <w:proofErr w:type="spellStart"/>
      <w:r w:rsidRPr="00B93EE1">
        <w:t>CPTPP</w:t>
      </w:r>
      <w:proofErr w:type="spellEnd"/>
      <w:r w:rsidRPr="00B93EE1">
        <w:t xml:space="preserve"> commitment to align with the 1991 version of the </w:t>
      </w:r>
      <w:proofErr w:type="spellStart"/>
      <w:r w:rsidRPr="00B93EE1">
        <w:t>UPOV</w:t>
      </w:r>
      <w:proofErr w:type="spellEnd"/>
      <w:r w:rsidRPr="00B93EE1">
        <w:t xml:space="preserve"> Convention by 30 December 2021. A new Plant Variety Rights Bill</w:t>
      </w:r>
      <w:r w:rsidRPr="00B93EE1">
        <w:rPr>
          <w:vertAlign w:val="superscript"/>
        </w:rPr>
        <w:footnoteReference w:id="293"/>
      </w:r>
      <w:r w:rsidRPr="00B93EE1">
        <w:t xml:space="preserve"> was introduced to Parliament in May 2021. The Bill has been considered by the Parliamentary Select Committee, which issued its report proposing some changes to the Bill in November 2021. It is expected that the majority of the Bill and new regulations will take effect in mid-2022, following the second and third readings of the Bill before Parliament and Royal Assent.</w:t>
      </w:r>
      <w:r w:rsidRPr="00B93EE1">
        <w:rPr>
          <w:vertAlign w:val="superscript"/>
        </w:rPr>
        <w:footnoteReference w:id="294"/>
      </w:r>
    </w:p>
    <w:p w14:paraId="4D3654DB" w14:textId="77777777" w:rsidR="00120717" w:rsidRPr="00F64A35" w:rsidRDefault="00120717" w:rsidP="00472364">
      <w:pPr>
        <w:pStyle w:val="BodyText"/>
      </w:pPr>
      <w:r w:rsidRPr="00B93EE1">
        <w:t>The Bill would update the existing regime in several ways. It would qualify the scope of protectable subject matter to new distinct varieties that are clearly distinguishable from any other variety whose existence is common knowledge as of the application date. It would recognize essentially derived varieties and provide some recognition for an initial variety from which a new variety is predominantly derived. It would also expand exclusive rights to include importing and exporting</w:t>
      </w:r>
      <w:r w:rsidRPr="00B93EE1">
        <w:rPr>
          <w:vertAlign w:val="superscript"/>
        </w:rPr>
        <w:footnoteReference w:id="295"/>
      </w:r>
      <w:r w:rsidRPr="00B93EE1">
        <w:t xml:space="preserve"> propagating material of the protected variety, conditioning for the purpose of propagation, and stocking for the purpose of any restricted activity. It would also extend rights to harvested material in certain circumstances where the material was obtained through unauthorized use of propagating material. The term of protection would also be increased from 20 to 25 years for woody plants. A public interest test would be introduced for the issuance of compulsory licences. A Māori Plant Varieties Committee would be created to make decisions on applications concerning indigenous plant species and non</w:t>
      </w:r>
      <w:r w:rsidRPr="00B93EE1">
        <w:noBreakHyphen/>
        <w:t>indigenous plant species of significance, among other responsibilities.</w:t>
      </w:r>
      <w:r w:rsidRPr="00B93EE1">
        <w:rPr>
          <w:vertAlign w:val="superscript"/>
        </w:rPr>
        <w:footnoteReference w:id="296"/>
      </w:r>
    </w:p>
    <w:p w14:paraId="386222CF" w14:textId="77777777" w:rsidR="00120717" w:rsidRPr="00F64A35" w:rsidRDefault="00120717" w:rsidP="00472364">
      <w:pPr>
        <w:pStyle w:val="Heading4"/>
      </w:pPr>
      <w:bookmarkStart w:id="200" w:name="_Toc97800182"/>
      <w:r w:rsidRPr="00B93EE1">
        <w:rPr>
          <w:rFonts w:eastAsia="Times New Roman"/>
        </w:rPr>
        <w:t>Industrial designs</w:t>
      </w:r>
      <w:bookmarkEnd w:id="200"/>
    </w:p>
    <w:p w14:paraId="27DE4374" w14:textId="77777777" w:rsidR="00120717" w:rsidRPr="00F64A35" w:rsidRDefault="00120717" w:rsidP="00472364">
      <w:pPr>
        <w:pStyle w:val="BodyText"/>
      </w:pPr>
      <w:r w:rsidRPr="00B93EE1">
        <w:t xml:space="preserve">No significant amendments were made to the Designs Act 1953 or the Designs Regulations 1954 during the review period. In 2016, the </w:t>
      </w:r>
      <w:proofErr w:type="spellStart"/>
      <w:r w:rsidRPr="00B93EE1">
        <w:t>MBIE</w:t>
      </w:r>
      <w:proofErr w:type="spellEnd"/>
      <w:r w:rsidRPr="00B93EE1">
        <w:t xml:space="preserve"> issued a report studying the role of copyright and registered designs in the creative sector.</w:t>
      </w:r>
      <w:r w:rsidRPr="00B93EE1">
        <w:rPr>
          <w:rFonts w:eastAsia="Times New Roman"/>
          <w:vertAlign w:val="superscript"/>
        </w:rPr>
        <w:footnoteReference w:id="297"/>
      </w:r>
      <w:r w:rsidRPr="00B93EE1">
        <w:t xml:space="preserve"> As industrially applied designs also receive automatic protection under the Copyright Act 1994, the ongoing review of that Act may impact the </w:t>
      </w:r>
      <w:r w:rsidRPr="009327F6">
        <w:t>scope and legal basis for industrial design protection in the coming years.</w:t>
      </w:r>
    </w:p>
    <w:p w14:paraId="14CE9455" w14:textId="599E20B9" w:rsidR="00120717" w:rsidRPr="00F64A35" w:rsidRDefault="00120717" w:rsidP="00472364">
      <w:pPr>
        <w:pStyle w:val="BodyText"/>
      </w:pPr>
      <w:r w:rsidRPr="009327F6">
        <w:t xml:space="preserve">Industrial design rights were increasingly sought in New Zealand and by New Zealand designers abroad during the review period. The annual number of industrial designs registered by </w:t>
      </w:r>
      <w:proofErr w:type="spellStart"/>
      <w:r w:rsidRPr="009327F6">
        <w:t>IPONZ</w:t>
      </w:r>
      <w:proofErr w:type="spellEnd"/>
      <w:r w:rsidRPr="009327F6">
        <w:t xml:space="preserve"> increased 27% during the review period, with non-residents owning 73%</w:t>
      </w:r>
      <w:r w:rsidRPr="009327F6">
        <w:noBreakHyphen/>
        <w:t>80% of newly registered rights in any given year. The annual number of designs registered abroad by New Zealanders tripled during the review period, from 2,163 in 2014 to 6,601 in 2020 (Table A3.</w:t>
      </w:r>
      <w:r w:rsidR="006A26C7" w:rsidRPr="009327F6">
        <w:t>3</w:t>
      </w:r>
      <w:r w:rsidRPr="009327F6">
        <w:t>).</w:t>
      </w:r>
    </w:p>
    <w:p w14:paraId="541D3687" w14:textId="77777777" w:rsidR="00120717" w:rsidRPr="00F64A35" w:rsidRDefault="00120717" w:rsidP="00472364">
      <w:pPr>
        <w:pStyle w:val="Heading4"/>
      </w:pPr>
      <w:bookmarkStart w:id="201" w:name="_Toc97800183"/>
      <w:r w:rsidRPr="00B93EE1">
        <w:rPr>
          <w:rFonts w:eastAsia="Times New Roman"/>
        </w:rPr>
        <w:lastRenderedPageBreak/>
        <w:t>Trademarks</w:t>
      </w:r>
      <w:bookmarkEnd w:id="201"/>
    </w:p>
    <w:p w14:paraId="7FC1B4FA" w14:textId="77777777" w:rsidR="00120717" w:rsidRPr="00F64A35" w:rsidRDefault="00120717" w:rsidP="00472364">
      <w:pPr>
        <w:pStyle w:val="BodyText"/>
      </w:pPr>
      <w:r w:rsidRPr="00B93EE1">
        <w:t>Trademarks remain protectable and enforceable in New Zealand under the common law tort of passing off, the Fair Trading Act 1986, the Trade Marks Act 2002, and the Trade Marks Regulations 2003. Several amendments came into force during the review period.</w:t>
      </w:r>
    </w:p>
    <w:p w14:paraId="4548D627" w14:textId="77777777" w:rsidR="00120717" w:rsidRPr="00F64A35" w:rsidRDefault="00120717" w:rsidP="00472364">
      <w:pPr>
        <w:pStyle w:val="BodyText"/>
      </w:pPr>
      <w:r w:rsidRPr="00B93EE1">
        <w:t>The Regulatory Systems (Economic Development) Amendment Act 2019</w:t>
      </w:r>
      <w:r w:rsidRPr="00B93EE1">
        <w:rPr>
          <w:rFonts w:eastAsia="Times New Roman"/>
          <w:vertAlign w:val="superscript"/>
        </w:rPr>
        <w:footnoteReference w:id="298"/>
      </w:r>
      <w:r w:rsidRPr="00B93EE1">
        <w:t xml:space="preserve"> amended several provisions of the Trade Marks Act. The grace period for restoring an expired registration was reduced from 12 to 6 months. Amendments also affirmed that a person who owns a certification trademark cannot register a trademark for goods or services of the kind certified – or vice-versa. Clarifications were also made regarding the absence of discretion on the part of the Trade Marks Commissioner to not revoke a trademark registration when grounds for non-use had been established and no special circumstances outside of the trademark owner's control existed. These non-use amendments followed a 2017 Supreme Court decision, which also clarified that use of a registered mark in a different form does not constitute "genuine use" of the mark for revocation purposes.</w:t>
      </w:r>
      <w:r w:rsidRPr="00B93EE1">
        <w:rPr>
          <w:rFonts w:eastAsia="Times New Roman"/>
          <w:vertAlign w:val="superscript"/>
        </w:rPr>
        <w:footnoteReference w:id="299"/>
      </w:r>
    </w:p>
    <w:p w14:paraId="164C6F69" w14:textId="77777777" w:rsidR="00120717" w:rsidRPr="00F64A35" w:rsidRDefault="00120717" w:rsidP="00472364">
      <w:pPr>
        <w:pStyle w:val="BodyText"/>
      </w:pPr>
      <w:r w:rsidRPr="00B93EE1">
        <w:t>In 2020, the Trade Marks Regulations 2003 were amended to reduce application and renewal fees. The amendments also established a flat NZD 50 fee for pre-application trademark advice.</w:t>
      </w:r>
      <w:r w:rsidRPr="00B93EE1">
        <w:rPr>
          <w:rFonts w:eastAsia="Times New Roman"/>
          <w:vertAlign w:val="superscript"/>
        </w:rPr>
        <w:footnoteReference w:id="300"/>
      </w:r>
    </w:p>
    <w:p w14:paraId="0D5ACF70" w14:textId="47264DFA" w:rsidR="00120717" w:rsidRPr="00F64A35" w:rsidRDefault="00120717" w:rsidP="00472364">
      <w:pPr>
        <w:pStyle w:val="BodyText"/>
      </w:pPr>
      <w:r w:rsidRPr="00B93EE1">
        <w:t xml:space="preserve">Trademark activities at </w:t>
      </w:r>
      <w:proofErr w:type="spellStart"/>
      <w:r w:rsidRPr="00B93EE1">
        <w:t>IPONZ</w:t>
      </w:r>
      <w:proofErr w:type="spellEnd"/>
      <w:r w:rsidRPr="00B93EE1">
        <w:t xml:space="preserve"> and by New Zealanders seeking protection abroad steadily increased during the review period. The annual number of applications </w:t>
      </w:r>
      <w:r w:rsidRPr="00B93EE1">
        <w:rPr>
          <w:bCs/>
        </w:rPr>
        <w:t xml:space="preserve">received </w:t>
      </w:r>
      <w:r w:rsidRPr="00B93EE1">
        <w:t xml:space="preserve">and trademarks registered </w:t>
      </w:r>
      <w:r w:rsidRPr="00B93EE1">
        <w:rPr>
          <w:bCs/>
        </w:rPr>
        <w:t xml:space="preserve">by </w:t>
      </w:r>
      <w:proofErr w:type="spellStart"/>
      <w:r w:rsidRPr="00B93EE1">
        <w:rPr>
          <w:bCs/>
        </w:rPr>
        <w:t>IPONZ</w:t>
      </w:r>
      <w:proofErr w:type="spellEnd"/>
      <w:r w:rsidRPr="00B93EE1">
        <w:rPr>
          <w:bCs/>
        </w:rPr>
        <w:t xml:space="preserve"> increased 40% and </w:t>
      </w:r>
      <w:r w:rsidRPr="00B93EE1">
        <w:t>31</w:t>
      </w:r>
      <w:r w:rsidRPr="00B93EE1">
        <w:rPr>
          <w:bCs/>
        </w:rPr>
        <w:t>%, respectively, from 2014 to 2020</w:t>
      </w:r>
      <w:r w:rsidRPr="00B93EE1">
        <w:t>.</w:t>
      </w:r>
      <w:r w:rsidRPr="00B93EE1">
        <w:rPr>
          <w:bCs/>
        </w:rPr>
        <w:t xml:space="preserve"> 2020 saw a possibly pandemic-related surge in resident applications and registrations. </w:t>
      </w:r>
      <w:r w:rsidRPr="00B93EE1">
        <w:t xml:space="preserve">In any given year, </w:t>
      </w:r>
      <w:r w:rsidRPr="00B93EE1">
        <w:rPr>
          <w:bCs/>
        </w:rPr>
        <w:t>59%</w:t>
      </w:r>
      <w:r w:rsidRPr="00B93EE1">
        <w:rPr>
          <w:bCs/>
        </w:rPr>
        <w:noBreakHyphen/>
        <w:t xml:space="preserve">70% of applications to, and registrations by, </w:t>
      </w:r>
      <w:proofErr w:type="spellStart"/>
      <w:r w:rsidRPr="00B93EE1">
        <w:rPr>
          <w:bCs/>
        </w:rPr>
        <w:t>IPONZ</w:t>
      </w:r>
      <w:proofErr w:type="spellEnd"/>
      <w:r w:rsidRPr="00B93EE1">
        <w:rPr>
          <w:bCs/>
        </w:rPr>
        <w:t xml:space="preserve"> came from foreign applicants. The annual number of trademark applications sought </w:t>
      </w:r>
      <w:r w:rsidRPr="00B93EE1">
        <w:t xml:space="preserve">by, </w:t>
      </w:r>
      <w:r w:rsidRPr="00B93EE1">
        <w:rPr>
          <w:bCs/>
        </w:rPr>
        <w:t>and registrations granted abroad to</w:t>
      </w:r>
      <w:r w:rsidRPr="00B93EE1">
        <w:t>,</w:t>
      </w:r>
      <w:r w:rsidRPr="00B93EE1">
        <w:rPr>
          <w:bCs/>
        </w:rPr>
        <w:t xml:space="preserve"> New Zealanders increased 50% from 2014 to 2019, before declining in 2020 during the COVID</w:t>
      </w:r>
      <w:r w:rsidRPr="00B93EE1">
        <w:rPr>
          <w:bCs/>
        </w:rPr>
        <w:noBreakHyphen/>
        <w:t xml:space="preserve">19 pandemic </w:t>
      </w:r>
      <w:r w:rsidRPr="0035083E">
        <w:rPr>
          <w:bCs/>
        </w:rPr>
        <w:t>(</w:t>
      </w:r>
      <w:r w:rsidRPr="00150FE8">
        <w:rPr>
          <w:bCs/>
        </w:rPr>
        <w:t>Table</w:t>
      </w:r>
      <w:r w:rsidR="00264C7C" w:rsidRPr="00150FE8">
        <w:rPr>
          <w:bCs/>
        </w:rPr>
        <w:t> </w:t>
      </w:r>
      <w:r w:rsidRPr="00150FE8">
        <w:rPr>
          <w:bCs/>
        </w:rPr>
        <w:t>A3.</w:t>
      </w:r>
      <w:r w:rsidR="006A26C7">
        <w:rPr>
          <w:bCs/>
        </w:rPr>
        <w:t>3</w:t>
      </w:r>
      <w:r w:rsidRPr="0035083E">
        <w:rPr>
          <w:bCs/>
        </w:rPr>
        <w:t>).</w:t>
      </w:r>
      <w:r w:rsidRPr="00B93EE1">
        <w:rPr>
          <w:bCs/>
        </w:rPr>
        <w:t xml:space="preserve"> In 2019, the top five industries for which New Zealand businesses filed trademark applications through the WIPO Madrid System for protection abroad were: (</w:t>
      </w:r>
      <w:proofErr w:type="spellStart"/>
      <w:r w:rsidRPr="00B93EE1">
        <w:rPr>
          <w:bCs/>
        </w:rPr>
        <w:t>i</w:t>
      </w:r>
      <w:proofErr w:type="spellEnd"/>
      <w:r w:rsidRPr="00B93EE1">
        <w:rPr>
          <w:bCs/>
        </w:rPr>
        <w:t>) services for business and retail services; (ii) electronics and computers; (iii) pharmaceuticals, supplements and baby foods; (iv)</w:t>
      </w:r>
      <w:r w:rsidRPr="00B93EE1">
        <w:t> </w:t>
      </w:r>
      <w:r w:rsidRPr="00B93EE1">
        <w:rPr>
          <w:bCs/>
        </w:rPr>
        <w:t>scientific and engineering services and software design; and (v) honey, confectionery and ice cream.</w:t>
      </w:r>
      <w:r w:rsidRPr="00B93EE1">
        <w:rPr>
          <w:rFonts w:eastAsia="Times New Roman"/>
          <w:bCs/>
          <w:vertAlign w:val="superscript"/>
        </w:rPr>
        <w:footnoteReference w:id="301"/>
      </w:r>
    </w:p>
    <w:p w14:paraId="6FD4A951" w14:textId="77777777" w:rsidR="00120717" w:rsidRPr="00F64A35" w:rsidRDefault="00120717" w:rsidP="00472364">
      <w:pPr>
        <w:pStyle w:val="Heading4"/>
      </w:pPr>
      <w:bookmarkStart w:id="202" w:name="_Toc97800184"/>
      <w:r w:rsidRPr="00B93EE1">
        <w:rPr>
          <w:rFonts w:eastAsia="Times New Roman"/>
        </w:rPr>
        <w:t>Geographical indications</w:t>
      </w:r>
      <w:bookmarkEnd w:id="202"/>
    </w:p>
    <w:p w14:paraId="4C707A04" w14:textId="77777777" w:rsidR="00120717" w:rsidRPr="00F64A35" w:rsidRDefault="00120717" w:rsidP="00472364">
      <w:pPr>
        <w:pStyle w:val="BodyText"/>
      </w:pPr>
      <w:r w:rsidRPr="00B93EE1">
        <w:t>In 2017, the Geographical Indications (Wine and Spirits) Registration Act 2006 (GI Act)</w:t>
      </w:r>
      <w:r w:rsidRPr="00B93EE1">
        <w:rPr>
          <w:rFonts w:eastAsia="Times New Roman"/>
          <w:vertAlign w:val="superscript"/>
        </w:rPr>
        <w:footnoteReference w:id="302"/>
      </w:r>
      <w:r w:rsidRPr="00B93EE1">
        <w:t>, as amended by the Geographical Indications (Wine and Spirits) Registration Amendment Act 2016</w:t>
      </w:r>
      <w:r w:rsidRPr="00B93EE1">
        <w:rPr>
          <w:rFonts w:eastAsia="Times New Roman"/>
          <w:vertAlign w:val="superscript"/>
        </w:rPr>
        <w:footnoteReference w:id="303"/>
      </w:r>
      <w:r w:rsidRPr="00B93EE1">
        <w:t>, entered into force and established a registration system for wine and spirit GIs. To be registered, a GI must indicate that the wine or spirit originates from a defined area from which its quality, reputation, or other characteristic is essentially attributable. Misuse of a registered GI for wines and spirits that do not originate from the area indicated is prohibited, even where the true place of origin is provided, when the GI is used in translation, or when it is accompanied by words such as "kind", "type", "style", or "imitation". Common or generic terms are not protectable, and an exception is available for prior continuous use of a registered GI.</w:t>
      </w:r>
      <w:r w:rsidRPr="00B93EE1">
        <w:rPr>
          <w:rFonts w:eastAsia="Times New Roman"/>
          <w:vertAlign w:val="superscript"/>
        </w:rPr>
        <w:footnoteReference w:id="304"/>
      </w:r>
    </w:p>
    <w:p w14:paraId="1205D362" w14:textId="77777777" w:rsidR="00120717" w:rsidRPr="00F64A35" w:rsidRDefault="00120717" w:rsidP="00472364">
      <w:pPr>
        <w:pStyle w:val="BodyText"/>
      </w:pPr>
      <w:r w:rsidRPr="00B93EE1">
        <w:t xml:space="preserve">In general, conflicts between trademarks and GIs in New Zealand are governed by a "first in time, first in right" approach. A GI that is identical to a trademark for identical goods or services must not be registered. A GI that is similar, as opposed to identical, and/or used on similar, as opposed to identical, goods or services, must be denied registration if its use is likely to deceive or confuse. A GI that conflicts with an earlier registered trademark may be registered, however, if the GI can coexist with the registered trademark, taking into consideration the GI's history of good </w:t>
      </w:r>
      <w:r w:rsidRPr="00B93EE1">
        <w:lastRenderedPageBreak/>
        <w:t>faith use in New Zealand, its recognition as a GI in New Zealand, and the legitimate interests of the trademark owner and third parties, among other factors.</w:t>
      </w:r>
      <w:r w:rsidRPr="00B93EE1">
        <w:rPr>
          <w:rStyle w:val="FootnoteReference"/>
        </w:rPr>
        <w:footnoteReference w:id="305"/>
      </w:r>
    </w:p>
    <w:p w14:paraId="048B079C" w14:textId="77777777" w:rsidR="00120717" w:rsidRPr="00F64A35" w:rsidRDefault="00120717" w:rsidP="00472364">
      <w:pPr>
        <w:pStyle w:val="BodyText"/>
      </w:pPr>
      <w:r w:rsidRPr="00B93EE1">
        <w:t>The Geographical Indications (Wine and Spirits) Registration Regulations 2017</w:t>
      </w:r>
      <w:r w:rsidRPr="00B93EE1">
        <w:rPr>
          <w:rFonts w:eastAsia="Times New Roman"/>
          <w:vertAlign w:val="superscript"/>
        </w:rPr>
        <w:footnoteReference w:id="306"/>
      </w:r>
      <w:r w:rsidRPr="00B93EE1">
        <w:t xml:space="preserve"> set forth examination and registration procedures and the process for establishing the GI register. Applications are submitted to </w:t>
      </w:r>
      <w:proofErr w:type="spellStart"/>
      <w:r w:rsidRPr="00B93EE1">
        <w:t>IPONZ</w:t>
      </w:r>
      <w:proofErr w:type="spellEnd"/>
      <w:r w:rsidRPr="00B93EE1">
        <w:t xml:space="preserve">, which undertakes an examination of the GI. If the application is accepted, </w:t>
      </w:r>
      <w:proofErr w:type="spellStart"/>
      <w:r w:rsidRPr="00B93EE1">
        <w:t>IPONZ</w:t>
      </w:r>
      <w:proofErr w:type="spellEnd"/>
      <w:r w:rsidRPr="00B93EE1">
        <w:t xml:space="preserve"> advertises the acceptance in its journal, thus triggering a three</w:t>
      </w:r>
      <w:r w:rsidRPr="00B93EE1">
        <w:noBreakHyphen/>
        <w:t>month opposition period. In the absence of opposition, the GI is registered. Registration is initially effective for 5 years, after which it may be renewed at 10-year intervals. In 2020, amendments to the GI Act introduced a six-month grace period for expired GI registrations.</w:t>
      </w:r>
      <w:r w:rsidRPr="00B93EE1">
        <w:rPr>
          <w:rFonts w:eastAsia="Times New Roman"/>
          <w:vertAlign w:val="superscript"/>
        </w:rPr>
        <w:footnoteReference w:id="307"/>
      </w:r>
    </w:p>
    <w:p w14:paraId="64AF9734" w14:textId="77777777" w:rsidR="00120717" w:rsidRPr="00F64A35" w:rsidRDefault="00120717" w:rsidP="00472364">
      <w:pPr>
        <w:pStyle w:val="BodyText"/>
      </w:pPr>
      <w:r w:rsidRPr="00B93EE1">
        <w:t>As of December 2021, New Zealand had registered 20 GIs for wine: 18 from New Zealand, 1 from France (Champagne), and 1 from the United States (Napa Valley). Three GIs have been registered for spirits (Cognac, Pisco (from Peru), and Scotch Whisky).</w:t>
      </w:r>
      <w:r w:rsidRPr="00B93EE1">
        <w:rPr>
          <w:rFonts w:eastAsia="Times New Roman"/>
          <w:vertAlign w:val="superscript"/>
        </w:rPr>
        <w:footnoteReference w:id="308"/>
      </w:r>
      <w:r w:rsidRPr="00B93EE1">
        <w:t xml:space="preserve"> The register also includes three "enduring" permanent GIs, as required by the Act: New Zealand, North Island, and South Island.</w:t>
      </w:r>
      <w:r w:rsidRPr="00B93EE1">
        <w:rPr>
          <w:rFonts w:eastAsia="Times New Roman"/>
          <w:vertAlign w:val="superscript"/>
        </w:rPr>
        <w:footnoteReference w:id="309"/>
      </w:r>
    </w:p>
    <w:p w14:paraId="3F48942F" w14:textId="77777777" w:rsidR="00120717" w:rsidRPr="00F64A35" w:rsidRDefault="00120717" w:rsidP="00472364">
      <w:pPr>
        <w:pStyle w:val="Heading4"/>
      </w:pPr>
      <w:bookmarkStart w:id="203" w:name="_Toc97800185"/>
      <w:r w:rsidRPr="00B93EE1">
        <w:rPr>
          <w:rFonts w:eastAsia="Times New Roman"/>
        </w:rPr>
        <w:t>Copyright and related rights</w:t>
      </w:r>
      <w:bookmarkEnd w:id="203"/>
    </w:p>
    <w:p w14:paraId="5E69B74C" w14:textId="77777777" w:rsidR="00120717" w:rsidRPr="00F64A35" w:rsidRDefault="00120717" w:rsidP="00472364">
      <w:pPr>
        <w:pStyle w:val="BodyText"/>
      </w:pPr>
      <w:r w:rsidRPr="00B93EE1">
        <w:t>The Copyright Act 1994, Copyright (General Matters) Regulations 1995, Copyright (Border Protection) Regulations 1994, and Copyright (Infringing File Sharing) Regulations 2011 continue to provide the legal and regulatory basis for copyright protection and enforcement in New Zealand. The Copyright Act and associated regulations were amended on several occasions during the review period.</w:t>
      </w:r>
    </w:p>
    <w:p w14:paraId="18A9D1DA" w14:textId="77777777" w:rsidR="00120717" w:rsidRPr="00F64A35" w:rsidRDefault="00120717" w:rsidP="00472364">
      <w:pPr>
        <w:pStyle w:val="BodyText"/>
      </w:pPr>
      <w:r w:rsidRPr="00B93EE1">
        <w:t xml:space="preserve">The portions of the </w:t>
      </w:r>
      <w:proofErr w:type="spellStart"/>
      <w:r w:rsidRPr="00B93EE1">
        <w:t>CPTPP</w:t>
      </w:r>
      <w:proofErr w:type="spellEnd"/>
      <w:r w:rsidRPr="00B93EE1">
        <w:t xml:space="preserve"> Amendment Act 2018 that have entered into force strengthened the related rights of performers by extending economic and moral rights, similar to those of copyright owners, to performers. Such moral rights include the right to be identified as a performer, and the right to object to derogatory treatment of live and recorded performances. For sound recordings (or phonograms), performers also now have rights to prevent the commercial exploitation of recordings through copying, issuing to the public, and communicating to the public (e.g. broadcasting).</w:t>
      </w:r>
      <w:r w:rsidRPr="00B93EE1">
        <w:rPr>
          <w:rFonts w:eastAsia="Times New Roman"/>
          <w:vertAlign w:val="superscript"/>
        </w:rPr>
        <w:footnoteReference w:id="310"/>
      </w:r>
      <w:r w:rsidRPr="00B93EE1">
        <w:t xml:space="preserve"> Provisions of the Copyright Act related to copyright management information and technological protection measures (</w:t>
      </w:r>
      <w:proofErr w:type="spellStart"/>
      <w:r w:rsidRPr="00B93EE1">
        <w:t>TPMs</w:t>
      </w:r>
      <w:proofErr w:type="spellEnd"/>
      <w:r w:rsidRPr="00B93EE1">
        <w:t xml:space="preserve">) were also strengthened. However, amendments that would make circumventing a </w:t>
      </w:r>
      <w:proofErr w:type="spellStart"/>
      <w:r w:rsidRPr="00B93EE1">
        <w:t>TPM</w:t>
      </w:r>
      <w:proofErr w:type="spellEnd"/>
      <w:r w:rsidRPr="00B93EE1">
        <w:t xml:space="preserve"> or providing </w:t>
      </w:r>
      <w:proofErr w:type="spellStart"/>
      <w:r w:rsidRPr="00B93EE1">
        <w:t>TPM</w:t>
      </w:r>
      <w:proofErr w:type="spellEnd"/>
      <w:r w:rsidRPr="00B93EE1">
        <w:t xml:space="preserve"> circumvention devices or services copyright infringement have not entered into force. These and other more extensive amendments in the </w:t>
      </w:r>
      <w:proofErr w:type="spellStart"/>
      <w:r w:rsidRPr="00B93EE1">
        <w:t>CPTPP</w:t>
      </w:r>
      <w:proofErr w:type="spellEnd"/>
      <w:r w:rsidRPr="00B93EE1">
        <w:t xml:space="preserve"> Amendment Act, including longer terms of protection, have been postponed in light of the departure of the United States from the Trans</w:t>
      </w:r>
      <w:r w:rsidRPr="00B93EE1">
        <w:noBreakHyphen/>
        <w:t>Pacific Partnership Agreement and an ongoing review of New Zealand's copyright regime.</w:t>
      </w:r>
      <w:r w:rsidRPr="00B93EE1">
        <w:rPr>
          <w:rFonts w:eastAsia="Times New Roman"/>
          <w:vertAlign w:val="superscript"/>
        </w:rPr>
        <w:footnoteReference w:id="311"/>
      </w:r>
    </w:p>
    <w:p w14:paraId="45E4599C" w14:textId="77777777" w:rsidR="00120717" w:rsidRPr="00F64A35" w:rsidRDefault="00120717" w:rsidP="00472364">
      <w:pPr>
        <w:pStyle w:val="BodyText"/>
      </w:pPr>
      <w:r w:rsidRPr="00B93EE1">
        <w:t xml:space="preserve">The Copyright (Marrakesh Treaty Implementation) Amendment Act 2019 implemented New Zealand's obligations under the WIPO Marrakesh Treaty. The Copyright Act was amended to permit authorized entities, namely schools, libraries, and certain charitable entities, to make and provide accessible format copies of works to persons who have a print disability. Authorized entitles may also reproduce, distribute, import, and export accessible format copies of copyright works without the copyright owner's permission. The Act also permits a person who has a print disability, or is acting on behalf of such a person, to make or import an accessible format copy of a copyrighted </w:t>
      </w:r>
      <w:r w:rsidRPr="00B93EE1">
        <w:lastRenderedPageBreak/>
        <w:t>work for the exclusive use of the person who has the print disability.</w:t>
      </w:r>
      <w:r w:rsidRPr="00B93EE1">
        <w:rPr>
          <w:rStyle w:val="FootnoteReference"/>
        </w:rPr>
        <w:footnoteReference w:id="312"/>
      </w:r>
      <w:r w:rsidRPr="00B93EE1">
        <w:t xml:space="preserve"> Related amendments were made to the Copyright (General Matters) Regulations 1995.</w:t>
      </w:r>
    </w:p>
    <w:p w14:paraId="644E7F1A" w14:textId="77777777" w:rsidR="00120717" w:rsidRPr="00F64A35" w:rsidRDefault="00120717" w:rsidP="00472364">
      <w:pPr>
        <w:pStyle w:val="BodyText"/>
      </w:pPr>
      <w:r w:rsidRPr="00B93EE1">
        <w:t xml:space="preserve">In 2016, the </w:t>
      </w:r>
      <w:proofErr w:type="spellStart"/>
      <w:r w:rsidRPr="00B93EE1">
        <w:t>MBIE</w:t>
      </w:r>
      <w:proofErr w:type="spellEnd"/>
      <w:r w:rsidRPr="00B93EE1">
        <w:t xml:space="preserve"> reported on a study it conducted on the role of copyright and registered designs in the creative sector.</w:t>
      </w:r>
      <w:r w:rsidRPr="00B93EE1">
        <w:rPr>
          <w:rFonts w:eastAsia="Times New Roman"/>
          <w:vertAlign w:val="superscript"/>
        </w:rPr>
        <w:footnoteReference w:id="313"/>
      </w:r>
      <w:r w:rsidRPr="00B93EE1">
        <w:t xml:space="preserve"> The following year, the Government launched a review of New Zealand's copyright regime in light of the technological changes that have occurred since the last significant review was undertaken in 2004. From November 2018 to April 2019, the </w:t>
      </w:r>
      <w:proofErr w:type="spellStart"/>
      <w:r w:rsidRPr="00B93EE1">
        <w:t>MBIE</w:t>
      </w:r>
      <w:proofErr w:type="spellEnd"/>
      <w:r w:rsidRPr="00B93EE1">
        <w:t xml:space="preserve"> conducted public consultations.</w:t>
      </w:r>
      <w:r w:rsidRPr="00B93EE1">
        <w:rPr>
          <w:rFonts w:eastAsia="Times New Roman"/>
          <w:vertAlign w:val="superscript"/>
        </w:rPr>
        <w:footnoteReference w:id="314"/>
      </w:r>
      <w:r w:rsidRPr="00B93EE1">
        <w:t xml:space="preserve"> The review may be impacted by a new United Kingdom-New Zealand FTA, which was signed in early 2022 and would oblige New Zealand to make certain changes to its copyright system.</w:t>
      </w:r>
      <w:r w:rsidRPr="00B93EE1">
        <w:rPr>
          <w:rStyle w:val="FootnoteReference"/>
        </w:rPr>
        <w:footnoteReference w:id="315"/>
      </w:r>
    </w:p>
    <w:p w14:paraId="326EE296" w14:textId="77777777" w:rsidR="00120717" w:rsidRPr="00F64A35" w:rsidRDefault="00120717" w:rsidP="00472364">
      <w:pPr>
        <w:pStyle w:val="Heading4"/>
      </w:pPr>
      <w:bookmarkStart w:id="204" w:name="_Toc97800186"/>
      <w:r w:rsidRPr="00B93EE1">
        <w:rPr>
          <w:rFonts w:eastAsia="Times New Roman"/>
        </w:rPr>
        <w:t>Enforcement</w:t>
      </w:r>
      <w:bookmarkEnd w:id="204"/>
    </w:p>
    <w:p w14:paraId="62F75BAC" w14:textId="77777777" w:rsidR="00120717" w:rsidRPr="00F64A35" w:rsidRDefault="00120717" w:rsidP="00472364">
      <w:pPr>
        <w:pStyle w:val="BodyText"/>
      </w:pPr>
      <w:bookmarkStart w:id="205" w:name="_Hlk94280234"/>
      <w:r w:rsidRPr="00B93EE1">
        <w:t>New Zealand notified responses to the Checklist of Issues on Enforcement to the TRIPS Council in 1997.</w:t>
      </w:r>
      <w:r w:rsidRPr="00B93EE1">
        <w:rPr>
          <w:rStyle w:val="FootnoteReference"/>
        </w:rPr>
        <w:footnoteReference w:id="316"/>
      </w:r>
      <w:r w:rsidRPr="00B93EE1">
        <w:t xml:space="preserve"> It has not submitted any updates since.</w:t>
      </w:r>
    </w:p>
    <w:bookmarkEnd w:id="205"/>
    <w:p w14:paraId="4684C4C1" w14:textId="77777777" w:rsidR="00120717" w:rsidRPr="00F64A35" w:rsidRDefault="00120717" w:rsidP="00472364">
      <w:pPr>
        <w:pStyle w:val="BodyText"/>
      </w:pPr>
      <w:r w:rsidRPr="00B93EE1">
        <w:t xml:space="preserve">Judicial action against IP infringement may be initiated by persons with a direct interest, such as the registered proprietor in the case of patents, trademarks, and designs, or the </w:t>
      </w:r>
      <w:proofErr w:type="spellStart"/>
      <w:r w:rsidRPr="00B93EE1">
        <w:t>IPR</w:t>
      </w:r>
      <w:proofErr w:type="spellEnd"/>
      <w:r w:rsidRPr="00B93EE1">
        <w:t xml:space="preserve"> owner in the case of copyright. Those who registered a GI or benefit from it may take action against its misuse.</w:t>
      </w:r>
      <w:r w:rsidRPr="00B93EE1">
        <w:rPr>
          <w:rFonts w:eastAsia="Times New Roman"/>
          <w:vertAlign w:val="superscript"/>
        </w:rPr>
        <w:footnoteReference w:id="317"/>
      </w:r>
    </w:p>
    <w:p w14:paraId="6E7CEFD6" w14:textId="77777777" w:rsidR="00120717" w:rsidRPr="00F64A35" w:rsidRDefault="00120717" w:rsidP="00472364">
      <w:pPr>
        <w:pStyle w:val="BodyText"/>
      </w:pPr>
      <w:r w:rsidRPr="00B93EE1">
        <w:t xml:space="preserve">Various agencies and courts have jurisdiction over </w:t>
      </w:r>
      <w:proofErr w:type="spellStart"/>
      <w:r w:rsidRPr="00B93EE1">
        <w:t>IPR</w:t>
      </w:r>
      <w:proofErr w:type="spellEnd"/>
      <w:r w:rsidRPr="00B93EE1">
        <w:t xml:space="preserve"> disputes. The </w:t>
      </w:r>
      <w:proofErr w:type="spellStart"/>
      <w:r w:rsidRPr="00B93EE1">
        <w:t>IPONZ</w:t>
      </w:r>
      <w:proofErr w:type="spellEnd"/>
      <w:r w:rsidRPr="00B93EE1">
        <w:t xml:space="preserve"> Hearings Office is a specialist tribunal that handles patent, trademark, and industrial design oppositions and applications for revocation, cancellation, and declarations of invalidity. The Copyright Tribunal hears disputes involving licensing schemes offered by copyright management organizations. It also determines claims of copyright infringement arising from illegal file sharing.</w:t>
      </w:r>
      <w:r w:rsidRPr="00B93EE1">
        <w:rPr>
          <w:rFonts w:eastAsia="Times New Roman"/>
          <w:vertAlign w:val="superscript"/>
        </w:rPr>
        <w:footnoteReference w:id="318"/>
      </w:r>
      <w:r w:rsidRPr="00B93EE1">
        <w:t xml:space="preserve"> Its operations were modernized during the review period by the Tribunals Powers and Procedures Legislation Act 2018.</w:t>
      </w:r>
      <w:r w:rsidRPr="00B93EE1">
        <w:rPr>
          <w:rFonts w:eastAsia="Times New Roman"/>
          <w:vertAlign w:val="superscript"/>
        </w:rPr>
        <w:footnoteReference w:id="319"/>
      </w:r>
      <w:r w:rsidRPr="00B93EE1">
        <w:t xml:space="preserve"> District Courts, the High Court, the Court of Appeal, and the Supreme Court have jurisdiction in civil IP infringement cases.</w:t>
      </w:r>
    </w:p>
    <w:p w14:paraId="4A09C8C5" w14:textId="77777777" w:rsidR="00120717" w:rsidRPr="00F64A35" w:rsidRDefault="00120717" w:rsidP="00472364">
      <w:pPr>
        <w:pStyle w:val="BodyText"/>
      </w:pPr>
      <w:r w:rsidRPr="00B93EE1">
        <w:t xml:space="preserve">As part of an omnibus bill to enable digital interactions, minor revisions to the Patents Act 2013, Trade Marks Act 2002, Copyright Act 1994, Designs Act 1953, and Fair Trading Act 1986 took effect in 2018 to facilitate the service of notices and other communications by </w:t>
      </w:r>
      <w:proofErr w:type="spellStart"/>
      <w:r w:rsidRPr="00B93EE1">
        <w:t>IPONZ</w:t>
      </w:r>
      <w:proofErr w:type="spellEnd"/>
      <w:r w:rsidRPr="00B93EE1">
        <w:t xml:space="preserve"> and the </w:t>
      </w:r>
      <w:proofErr w:type="spellStart"/>
      <w:r w:rsidRPr="00B93EE1">
        <w:t>NZCS</w:t>
      </w:r>
      <w:proofErr w:type="spellEnd"/>
      <w:r w:rsidRPr="00B93EE1">
        <w:t xml:space="preserve"> via email.</w:t>
      </w:r>
      <w:r w:rsidRPr="00B93EE1">
        <w:rPr>
          <w:rFonts w:eastAsia="Times New Roman"/>
          <w:vertAlign w:val="superscript"/>
        </w:rPr>
        <w:footnoteReference w:id="320"/>
      </w:r>
      <w:r w:rsidRPr="00B93EE1">
        <w:t xml:space="preserve"> Amendments to the Patents Regulations 2014, Trade Marks Regulations 2003, and Designs Regulations 1954, permitting an address for service in Australia, came into effect the </w:t>
      </w:r>
      <w:r w:rsidRPr="00B93EE1">
        <w:lastRenderedPageBreak/>
        <w:t>same year.</w:t>
      </w:r>
      <w:r w:rsidRPr="00B93EE1">
        <w:rPr>
          <w:rStyle w:val="FootnoteReference"/>
        </w:rPr>
        <w:footnoteReference w:id="321"/>
      </w:r>
      <w:r w:rsidRPr="00B93EE1">
        <w:t xml:space="preserve"> Similar changes were made separately in 2019 to permit service to Australian addresses under the PVR Act 1987.</w:t>
      </w:r>
      <w:r w:rsidRPr="00B93EE1">
        <w:rPr>
          <w:rStyle w:val="FootnoteReference"/>
        </w:rPr>
        <w:footnoteReference w:id="322"/>
      </w:r>
    </w:p>
    <w:p w14:paraId="74681A49" w14:textId="77777777" w:rsidR="00120717" w:rsidRPr="00F64A35" w:rsidRDefault="00120717" w:rsidP="00472364">
      <w:pPr>
        <w:pStyle w:val="BodyText"/>
      </w:pPr>
      <w:r w:rsidRPr="00B93EE1">
        <w:t>New Zealand is about as likely to export counterfeit products as comparable developed economies</w:t>
      </w:r>
      <w:r w:rsidRPr="00B93EE1">
        <w:rPr>
          <w:rFonts w:eastAsia="Times New Roman"/>
          <w:vertAlign w:val="superscript"/>
        </w:rPr>
        <w:footnoteReference w:id="323"/>
      </w:r>
      <w:r w:rsidRPr="00B93EE1">
        <w:t>, and was ranked fourth in The Economist's Global Illicit Trade Environment Index.</w:t>
      </w:r>
      <w:r w:rsidRPr="00B93EE1">
        <w:rPr>
          <w:rFonts w:eastAsia="Times New Roman"/>
          <w:vertAlign w:val="superscript"/>
        </w:rPr>
        <w:footnoteReference w:id="324"/>
      </w:r>
      <w:r w:rsidRPr="00B93EE1">
        <w:t xml:space="preserve"> Aggrieved IP right holders may lodge notices with the </w:t>
      </w:r>
      <w:proofErr w:type="spellStart"/>
      <w:r w:rsidRPr="00B93EE1">
        <w:t>NZCS</w:t>
      </w:r>
      <w:proofErr w:type="spellEnd"/>
      <w:r w:rsidRPr="00B93EE1">
        <w:t xml:space="preserve"> under the Trade Marks Act 2002 and the Copyright Act 1994 requesting the </w:t>
      </w:r>
      <w:proofErr w:type="spellStart"/>
      <w:r w:rsidRPr="00B93EE1">
        <w:t>NZCS</w:t>
      </w:r>
      <w:proofErr w:type="spellEnd"/>
      <w:r w:rsidRPr="00B93EE1">
        <w:t xml:space="preserve"> to intercept pirated copies and counterfeit goods. As of 2020, right holders no longer need to provide a security of NZD 5,000 when they file a notice. As of 2018, the </w:t>
      </w:r>
      <w:proofErr w:type="spellStart"/>
      <w:r w:rsidRPr="00B93EE1">
        <w:t>NZCS</w:t>
      </w:r>
      <w:proofErr w:type="spellEnd"/>
      <w:r w:rsidRPr="00B93EE1">
        <w:t xml:space="preserve"> may also temporarily detain suspected counterfeit goods and pirated copies destined for either import or export </w:t>
      </w:r>
      <w:r w:rsidRPr="00B93EE1">
        <w:rPr>
          <w:i/>
        </w:rPr>
        <w:t>ex officio</w:t>
      </w:r>
      <w:r w:rsidRPr="00B93EE1">
        <w:t>, with reasonable cause.</w:t>
      </w:r>
      <w:r w:rsidRPr="00B93EE1">
        <w:rPr>
          <w:rFonts w:eastAsia="Times New Roman"/>
          <w:vertAlign w:val="superscript"/>
        </w:rPr>
        <w:footnoteReference w:id="325"/>
      </w:r>
    </w:p>
    <w:p w14:paraId="58C551DD" w14:textId="117C2210" w:rsidR="00120717" w:rsidRPr="00F64A35" w:rsidRDefault="00120717" w:rsidP="00472364">
      <w:pPr>
        <w:pStyle w:val="BodyText"/>
      </w:pPr>
      <w:r w:rsidRPr="00B93EE1">
        <w:t xml:space="preserve">Both the number of trademark and copyright-related goods intercepted by the </w:t>
      </w:r>
      <w:proofErr w:type="spellStart"/>
      <w:r w:rsidRPr="00B93EE1">
        <w:t>NZCS</w:t>
      </w:r>
      <w:proofErr w:type="spellEnd"/>
      <w:r w:rsidRPr="00B93EE1">
        <w:t xml:space="preserve"> and the number of interception incidents declined steeply from 2014 to 2019. In 2014, 44,735 items were intercepted during 359 separate incidents, compared to 6,954 items intercepted during 34 incidents in 2019. The number of incidents occurring at mail centres declined particularly sharply during the same period, from 245 in 2014 to 4 in 2019 </w:t>
      </w:r>
      <w:r w:rsidRPr="00264C7C">
        <w:t>(</w:t>
      </w:r>
      <w:r w:rsidRPr="00150FE8">
        <w:t>Table 3.</w:t>
      </w:r>
      <w:r w:rsidR="00264C7C" w:rsidRPr="00150FE8">
        <w:t>18</w:t>
      </w:r>
      <w:r w:rsidRPr="00150FE8">
        <w:t>)</w:t>
      </w:r>
      <w:r w:rsidRPr="00264C7C">
        <w:t>.</w:t>
      </w:r>
      <w:r w:rsidRPr="00B93EE1">
        <w:t xml:space="preserve"> The reason for these declines is unknown, but may be due to a change in behaviour by a small number of traders. New Zealand has not traditionally been a top destination market for IP infringing goods, as it is a small market that is geographically isolated from</w:t>
      </w:r>
      <w:r w:rsidRPr="00B93EE1">
        <w:rPr>
          <w:b/>
        </w:rPr>
        <w:t xml:space="preserve"> </w:t>
      </w:r>
      <w:r w:rsidRPr="00B93EE1">
        <w:t>other countries with relatively high transport and logistic costs.</w:t>
      </w:r>
    </w:p>
    <w:p w14:paraId="24E26221" w14:textId="26001C1E" w:rsidR="00120717" w:rsidRPr="00B93EE1" w:rsidRDefault="00D37A97" w:rsidP="00D37A97">
      <w:pPr>
        <w:pStyle w:val="Caption"/>
      </w:pPr>
      <w:bookmarkStart w:id="208" w:name="_Toc97793404"/>
      <w:r>
        <w:t xml:space="preserve">Table </w:t>
      </w:r>
      <w:r w:rsidR="0012793B">
        <w:fldChar w:fldCharType="begin"/>
      </w:r>
      <w:r w:rsidR="0012793B">
        <w:instrText xml:space="preserve"> STYLEREF 1 \s </w:instrText>
      </w:r>
      <w:r w:rsidR="0012793B">
        <w:fldChar w:fldCharType="separate"/>
      </w:r>
      <w:r>
        <w:rPr>
          <w:noProof/>
        </w:rPr>
        <w:t>3</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18</w:t>
      </w:r>
      <w:r w:rsidR="0012793B">
        <w:rPr>
          <w:noProof/>
        </w:rPr>
        <w:fldChar w:fldCharType="end"/>
      </w:r>
      <w:r>
        <w:t xml:space="preserve"> </w:t>
      </w:r>
      <w:r w:rsidR="00120717" w:rsidRPr="00B93EE1">
        <w:t>Number of IP items intercepted and IP interception incidents, 2014-19</w:t>
      </w:r>
      <w:bookmarkEnd w:id="208"/>
    </w:p>
    <w:tbl>
      <w:tblPr>
        <w:tblStyle w:val="WTOTable11"/>
        <w:tblW w:w="5000" w:type="pct"/>
        <w:tblInd w:w="0" w:type="dxa"/>
        <w:tblLook w:val="04A0" w:firstRow="1" w:lastRow="0" w:firstColumn="1" w:lastColumn="0" w:noHBand="0" w:noVBand="1"/>
      </w:tblPr>
      <w:tblGrid>
        <w:gridCol w:w="2264"/>
        <w:gridCol w:w="1126"/>
        <w:gridCol w:w="1126"/>
        <w:gridCol w:w="1125"/>
        <w:gridCol w:w="1125"/>
        <w:gridCol w:w="1125"/>
        <w:gridCol w:w="1125"/>
      </w:tblGrid>
      <w:tr w:rsidR="00120717" w:rsidRPr="00B93EE1" w14:paraId="3BE8496B" w14:textId="77777777" w:rsidTr="00AA6D0A">
        <w:trPr>
          <w:cnfStyle w:val="100000000000" w:firstRow="1" w:lastRow="0" w:firstColumn="0" w:lastColumn="0" w:oddVBand="0" w:evenVBand="0" w:oddHBand="0" w:evenHBand="0" w:firstRowFirstColumn="0" w:firstRowLastColumn="0" w:lastRowFirstColumn="0" w:lastRowLastColumn="0"/>
          <w:tblHeader/>
        </w:trPr>
        <w:tc>
          <w:tcPr>
            <w:tcW w:w="1255" w:type="pct"/>
            <w:tcBorders>
              <w:top w:val="single" w:sz="4" w:space="0" w:color="auto"/>
              <w:left w:val="single" w:sz="4" w:space="0" w:color="auto"/>
              <w:bottom w:val="nil"/>
              <w:right w:val="single" w:sz="4" w:space="0" w:color="auto"/>
            </w:tcBorders>
            <w:noWrap/>
            <w:hideMark/>
          </w:tcPr>
          <w:p w14:paraId="1BDB5379" w14:textId="77777777" w:rsidR="00120717" w:rsidRPr="00B93EE1" w:rsidRDefault="00120717" w:rsidP="00AA6D0A"/>
        </w:tc>
        <w:tc>
          <w:tcPr>
            <w:tcW w:w="624" w:type="pct"/>
            <w:tcBorders>
              <w:top w:val="single" w:sz="4" w:space="0" w:color="auto"/>
              <w:left w:val="single" w:sz="4" w:space="0" w:color="auto"/>
              <w:bottom w:val="nil"/>
              <w:right w:val="single" w:sz="4" w:space="0" w:color="auto"/>
            </w:tcBorders>
            <w:noWrap/>
            <w:hideMark/>
          </w:tcPr>
          <w:p w14:paraId="481E075F" w14:textId="77777777" w:rsidR="00120717" w:rsidRPr="00B93EE1" w:rsidRDefault="00120717" w:rsidP="00AA6D0A">
            <w:pPr>
              <w:jc w:val="center"/>
              <w:rPr>
                <w:rFonts w:cs="Calibri"/>
                <w:color w:val="FFFFFF" w:themeColor="background1"/>
                <w:sz w:val="16"/>
                <w:szCs w:val="16"/>
                <w:lang w:eastAsia="en-GB"/>
              </w:rPr>
            </w:pPr>
            <w:r w:rsidRPr="00B93EE1">
              <w:rPr>
                <w:rFonts w:cs="Calibri"/>
                <w:color w:val="FFFFFF" w:themeColor="background1"/>
                <w:sz w:val="16"/>
                <w:szCs w:val="16"/>
                <w:lang w:eastAsia="en-GB"/>
              </w:rPr>
              <w:t>2014</w:t>
            </w:r>
          </w:p>
        </w:tc>
        <w:tc>
          <w:tcPr>
            <w:tcW w:w="624" w:type="pct"/>
            <w:tcBorders>
              <w:top w:val="single" w:sz="4" w:space="0" w:color="auto"/>
              <w:left w:val="single" w:sz="4" w:space="0" w:color="auto"/>
              <w:bottom w:val="nil"/>
              <w:right w:val="single" w:sz="4" w:space="0" w:color="auto"/>
            </w:tcBorders>
            <w:noWrap/>
            <w:hideMark/>
          </w:tcPr>
          <w:p w14:paraId="430DAD1D" w14:textId="77777777" w:rsidR="00120717" w:rsidRPr="00B93EE1" w:rsidRDefault="00120717" w:rsidP="00AA6D0A">
            <w:pPr>
              <w:jc w:val="center"/>
              <w:rPr>
                <w:rFonts w:cs="Calibri"/>
                <w:color w:val="FFFFFF" w:themeColor="background1"/>
                <w:sz w:val="16"/>
                <w:szCs w:val="16"/>
                <w:lang w:eastAsia="en-GB"/>
              </w:rPr>
            </w:pPr>
            <w:r w:rsidRPr="00B93EE1">
              <w:rPr>
                <w:rFonts w:cs="Calibri"/>
                <w:color w:val="FFFFFF" w:themeColor="background1"/>
                <w:sz w:val="16"/>
                <w:szCs w:val="16"/>
                <w:lang w:eastAsia="en-GB"/>
              </w:rPr>
              <w:t>2015</w:t>
            </w:r>
          </w:p>
        </w:tc>
        <w:tc>
          <w:tcPr>
            <w:tcW w:w="624" w:type="pct"/>
            <w:tcBorders>
              <w:top w:val="single" w:sz="4" w:space="0" w:color="auto"/>
              <w:left w:val="single" w:sz="4" w:space="0" w:color="auto"/>
              <w:bottom w:val="nil"/>
              <w:right w:val="single" w:sz="4" w:space="0" w:color="auto"/>
            </w:tcBorders>
            <w:noWrap/>
            <w:hideMark/>
          </w:tcPr>
          <w:p w14:paraId="7EB7170F" w14:textId="77777777" w:rsidR="00120717" w:rsidRPr="00B93EE1" w:rsidRDefault="00120717" w:rsidP="00AA6D0A">
            <w:pPr>
              <w:jc w:val="center"/>
              <w:rPr>
                <w:rFonts w:cs="Calibri"/>
                <w:color w:val="FFFFFF" w:themeColor="background1"/>
                <w:sz w:val="16"/>
                <w:szCs w:val="16"/>
                <w:lang w:eastAsia="en-GB"/>
              </w:rPr>
            </w:pPr>
            <w:r w:rsidRPr="00B93EE1">
              <w:rPr>
                <w:rFonts w:cs="Calibri"/>
                <w:color w:val="FFFFFF" w:themeColor="background1"/>
                <w:sz w:val="16"/>
                <w:szCs w:val="16"/>
                <w:lang w:eastAsia="en-GB"/>
              </w:rPr>
              <w:t>2016</w:t>
            </w:r>
          </w:p>
        </w:tc>
        <w:tc>
          <w:tcPr>
            <w:tcW w:w="624" w:type="pct"/>
            <w:tcBorders>
              <w:top w:val="single" w:sz="4" w:space="0" w:color="auto"/>
              <w:left w:val="single" w:sz="4" w:space="0" w:color="auto"/>
              <w:bottom w:val="nil"/>
              <w:right w:val="single" w:sz="4" w:space="0" w:color="auto"/>
            </w:tcBorders>
            <w:noWrap/>
            <w:hideMark/>
          </w:tcPr>
          <w:p w14:paraId="50FC9F5F" w14:textId="77777777" w:rsidR="00120717" w:rsidRPr="00B93EE1" w:rsidRDefault="00120717" w:rsidP="00AA6D0A">
            <w:pPr>
              <w:jc w:val="center"/>
              <w:rPr>
                <w:rFonts w:cs="Calibri"/>
                <w:color w:val="FFFFFF" w:themeColor="background1"/>
                <w:sz w:val="16"/>
                <w:szCs w:val="16"/>
                <w:lang w:eastAsia="en-GB"/>
              </w:rPr>
            </w:pPr>
            <w:r w:rsidRPr="00B93EE1">
              <w:rPr>
                <w:rFonts w:cs="Calibri"/>
                <w:color w:val="FFFFFF" w:themeColor="background1"/>
                <w:sz w:val="16"/>
                <w:szCs w:val="16"/>
                <w:lang w:eastAsia="en-GB"/>
              </w:rPr>
              <w:t>2017</w:t>
            </w:r>
          </w:p>
        </w:tc>
        <w:tc>
          <w:tcPr>
            <w:tcW w:w="624" w:type="pct"/>
            <w:tcBorders>
              <w:top w:val="single" w:sz="4" w:space="0" w:color="auto"/>
              <w:left w:val="single" w:sz="4" w:space="0" w:color="auto"/>
              <w:bottom w:val="nil"/>
              <w:right w:val="single" w:sz="4" w:space="0" w:color="auto"/>
            </w:tcBorders>
            <w:noWrap/>
            <w:hideMark/>
          </w:tcPr>
          <w:p w14:paraId="067AE259" w14:textId="77777777" w:rsidR="00120717" w:rsidRPr="00B93EE1" w:rsidRDefault="00120717" w:rsidP="00AA6D0A">
            <w:pPr>
              <w:jc w:val="center"/>
              <w:rPr>
                <w:rFonts w:cs="Calibri"/>
                <w:color w:val="FFFFFF" w:themeColor="background1"/>
                <w:sz w:val="16"/>
                <w:szCs w:val="16"/>
                <w:lang w:eastAsia="en-GB"/>
              </w:rPr>
            </w:pPr>
            <w:r w:rsidRPr="00B93EE1">
              <w:rPr>
                <w:rFonts w:cs="Calibri"/>
                <w:color w:val="FFFFFF" w:themeColor="background1"/>
                <w:sz w:val="16"/>
                <w:szCs w:val="16"/>
                <w:lang w:eastAsia="en-GB"/>
              </w:rPr>
              <w:t>2018</w:t>
            </w:r>
          </w:p>
        </w:tc>
        <w:tc>
          <w:tcPr>
            <w:tcW w:w="624" w:type="pct"/>
            <w:tcBorders>
              <w:top w:val="single" w:sz="4" w:space="0" w:color="auto"/>
              <w:left w:val="single" w:sz="4" w:space="0" w:color="auto"/>
              <w:bottom w:val="nil"/>
              <w:right w:val="single" w:sz="4" w:space="0" w:color="auto"/>
            </w:tcBorders>
            <w:noWrap/>
            <w:hideMark/>
          </w:tcPr>
          <w:p w14:paraId="334A13D9" w14:textId="77777777" w:rsidR="00120717" w:rsidRPr="00B93EE1" w:rsidRDefault="00120717" w:rsidP="00AA6D0A">
            <w:pPr>
              <w:jc w:val="center"/>
              <w:rPr>
                <w:rFonts w:cs="Calibri"/>
                <w:color w:val="FFFFFF" w:themeColor="background1"/>
                <w:sz w:val="16"/>
                <w:szCs w:val="16"/>
                <w:lang w:eastAsia="en-GB"/>
              </w:rPr>
            </w:pPr>
            <w:r w:rsidRPr="00B93EE1">
              <w:rPr>
                <w:rFonts w:cs="Calibri"/>
                <w:color w:val="FFFFFF" w:themeColor="background1"/>
                <w:sz w:val="16"/>
                <w:szCs w:val="16"/>
                <w:lang w:eastAsia="en-GB"/>
              </w:rPr>
              <w:t>2019</w:t>
            </w:r>
          </w:p>
        </w:tc>
      </w:tr>
      <w:tr w:rsidR="00120717" w:rsidRPr="00B93EE1" w14:paraId="64D8977C" w14:textId="77777777" w:rsidTr="00AA6D0A">
        <w:tc>
          <w:tcPr>
            <w:tcW w:w="1255" w:type="pct"/>
            <w:tcBorders>
              <w:top w:val="nil"/>
              <w:left w:val="single" w:sz="4" w:space="0" w:color="auto"/>
              <w:bottom w:val="nil"/>
              <w:right w:val="single" w:sz="4" w:space="0" w:color="auto"/>
            </w:tcBorders>
            <w:noWrap/>
            <w:hideMark/>
          </w:tcPr>
          <w:p w14:paraId="595562B0" w14:textId="77777777" w:rsidR="00120717" w:rsidRPr="00B93EE1" w:rsidRDefault="00120717" w:rsidP="00AA6D0A">
            <w:pPr>
              <w:rPr>
                <w:rFonts w:cs="Calibri"/>
                <w:color w:val="000000"/>
                <w:sz w:val="16"/>
                <w:szCs w:val="16"/>
                <w:lang w:eastAsia="en-GB"/>
              </w:rPr>
            </w:pPr>
            <w:r w:rsidRPr="00B93EE1">
              <w:rPr>
                <w:rFonts w:cs="Calibri"/>
                <w:color w:val="000000"/>
                <w:sz w:val="16"/>
                <w:szCs w:val="16"/>
                <w:lang w:eastAsia="en-GB"/>
              </w:rPr>
              <w:t>Items</w:t>
            </w:r>
          </w:p>
        </w:tc>
        <w:tc>
          <w:tcPr>
            <w:tcW w:w="624" w:type="pct"/>
            <w:tcBorders>
              <w:top w:val="nil"/>
              <w:left w:val="single" w:sz="4" w:space="0" w:color="auto"/>
              <w:bottom w:val="nil"/>
              <w:right w:val="single" w:sz="4" w:space="0" w:color="auto"/>
            </w:tcBorders>
            <w:noWrap/>
            <w:hideMark/>
          </w:tcPr>
          <w:p w14:paraId="3BB7EB74"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44,735</w:t>
            </w:r>
          </w:p>
        </w:tc>
        <w:tc>
          <w:tcPr>
            <w:tcW w:w="624" w:type="pct"/>
            <w:tcBorders>
              <w:top w:val="nil"/>
              <w:left w:val="single" w:sz="4" w:space="0" w:color="auto"/>
              <w:bottom w:val="nil"/>
              <w:right w:val="single" w:sz="4" w:space="0" w:color="auto"/>
            </w:tcBorders>
            <w:noWrap/>
            <w:hideMark/>
          </w:tcPr>
          <w:p w14:paraId="19D0A21A"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29,725</w:t>
            </w:r>
          </w:p>
        </w:tc>
        <w:tc>
          <w:tcPr>
            <w:tcW w:w="624" w:type="pct"/>
            <w:tcBorders>
              <w:top w:val="nil"/>
              <w:left w:val="single" w:sz="4" w:space="0" w:color="auto"/>
              <w:bottom w:val="nil"/>
              <w:right w:val="single" w:sz="4" w:space="0" w:color="auto"/>
            </w:tcBorders>
            <w:noWrap/>
            <w:hideMark/>
          </w:tcPr>
          <w:p w14:paraId="73E77491"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68,055</w:t>
            </w:r>
          </w:p>
        </w:tc>
        <w:tc>
          <w:tcPr>
            <w:tcW w:w="624" w:type="pct"/>
            <w:tcBorders>
              <w:top w:val="nil"/>
              <w:left w:val="single" w:sz="4" w:space="0" w:color="auto"/>
              <w:bottom w:val="nil"/>
              <w:right w:val="single" w:sz="4" w:space="0" w:color="auto"/>
            </w:tcBorders>
            <w:noWrap/>
            <w:hideMark/>
          </w:tcPr>
          <w:p w14:paraId="116FD690"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20,637</w:t>
            </w:r>
          </w:p>
        </w:tc>
        <w:tc>
          <w:tcPr>
            <w:tcW w:w="624" w:type="pct"/>
            <w:tcBorders>
              <w:top w:val="nil"/>
              <w:left w:val="single" w:sz="4" w:space="0" w:color="auto"/>
              <w:bottom w:val="nil"/>
              <w:right w:val="single" w:sz="4" w:space="0" w:color="auto"/>
            </w:tcBorders>
            <w:noWrap/>
            <w:hideMark/>
          </w:tcPr>
          <w:p w14:paraId="0A871DC5"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22,072</w:t>
            </w:r>
          </w:p>
        </w:tc>
        <w:tc>
          <w:tcPr>
            <w:tcW w:w="624" w:type="pct"/>
            <w:tcBorders>
              <w:top w:val="nil"/>
              <w:left w:val="single" w:sz="4" w:space="0" w:color="auto"/>
              <w:bottom w:val="nil"/>
              <w:right w:val="single" w:sz="4" w:space="0" w:color="auto"/>
            </w:tcBorders>
            <w:noWrap/>
            <w:hideMark/>
          </w:tcPr>
          <w:p w14:paraId="7C8DBEAB"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6,954</w:t>
            </w:r>
          </w:p>
        </w:tc>
      </w:tr>
      <w:tr w:rsidR="00120717" w:rsidRPr="00B93EE1" w14:paraId="0050B7BA" w14:textId="77777777" w:rsidTr="00AA6D0A">
        <w:trPr>
          <w:cnfStyle w:val="000000010000" w:firstRow="0" w:lastRow="0" w:firstColumn="0" w:lastColumn="0" w:oddVBand="0" w:evenVBand="0" w:oddHBand="0" w:evenHBand="1" w:firstRowFirstColumn="0" w:firstRowLastColumn="0" w:lastRowFirstColumn="0" w:lastRowLastColumn="0"/>
        </w:trPr>
        <w:tc>
          <w:tcPr>
            <w:tcW w:w="1255" w:type="pct"/>
            <w:tcBorders>
              <w:top w:val="nil"/>
              <w:left w:val="single" w:sz="4" w:space="0" w:color="auto"/>
              <w:bottom w:val="nil"/>
              <w:right w:val="single" w:sz="4" w:space="0" w:color="auto"/>
            </w:tcBorders>
            <w:noWrap/>
            <w:hideMark/>
          </w:tcPr>
          <w:p w14:paraId="64386981" w14:textId="77777777" w:rsidR="00120717" w:rsidRPr="00B93EE1" w:rsidRDefault="00120717" w:rsidP="00AA6D0A">
            <w:pPr>
              <w:rPr>
                <w:rFonts w:cs="Calibri"/>
                <w:color w:val="000000"/>
                <w:sz w:val="16"/>
                <w:szCs w:val="16"/>
                <w:lang w:eastAsia="en-GB"/>
              </w:rPr>
            </w:pPr>
            <w:r w:rsidRPr="00B93EE1">
              <w:rPr>
                <w:rFonts w:cs="Calibri"/>
                <w:color w:val="000000"/>
                <w:sz w:val="16"/>
                <w:szCs w:val="16"/>
                <w:lang w:eastAsia="en-GB"/>
              </w:rPr>
              <w:t>Incidents</w:t>
            </w:r>
          </w:p>
        </w:tc>
        <w:tc>
          <w:tcPr>
            <w:tcW w:w="624" w:type="pct"/>
            <w:tcBorders>
              <w:top w:val="nil"/>
              <w:left w:val="single" w:sz="4" w:space="0" w:color="auto"/>
              <w:bottom w:val="nil"/>
              <w:right w:val="single" w:sz="4" w:space="0" w:color="auto"/>
            </w:tcBorders>
            <w:noWrap/>
            <w:hideMark/>
          </w:tcPr>
          <w:p w14:paraId="6334648F"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359</w:t>
            </w:r>
          </w:p>
        </w:tc>
        <w:tc>
          <w:tcPr>
            <w:tcW w:w="624" w:type="pct"/>
            <w:tcBorders>
              <w:top w:val="nil"/>
              <w:left w:val="single" w:sz="4" w:space="0" w:color="auto"/>
              <w:bottom w:val="nil"/>
              <w:right w:val="single" w:sz="4" w:space="0" w:color="auto"/>
            </w:tcBorders>
            <w:noWrap/>
            <w:hideMark/>
          </w:tcPr>
          <w:p w14:paraId="6C02B4F6"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223</w:t>
            </w:r>
          </w:p>
        </w:tc>
        <w:tc>
          <w:tcPr>
            <w:tcW w:w="624" w:type="pct"/>
            <w:tcBorders>
              <w:top w:val="nil"/>
              <w:left w:val="single" w:sz="4" w:space="0" w:color="auto"/>
              <w:bottom w:val="nil"/>
              <w:right w:val="single" w:sz="4" w:space="0" w:color="auto"/>
            </w:tcBorders>
            <w:noWrap/>
            <w:hideMark/>
          </w:tcPr>
          <w:p w14:paraId="3EE53A9A"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60</w:t>
            </w:r>
          </w:p>
        </w:tc>
        <w:tc>
          <w:tcPr>
            <w:tcW w:w="624" w:type="pct"/>
            <w:tcBorders>
              <w:top w:val="nil"/>
              <w:left w:val="single" w:sz="4" w:space="0" w:color="auto"/>
              <w:bottom w:val="nil"/>
              <w:right w:val="single" w:sz="4" w:space="0" w:color="auto"/>
            </w:tcBorders>
            <w:noWrap/>
            <w:hideMark/>
          </w:tcPr>
          <w:p w14:paraId="7B05FBE3"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113</w:t>
            </w:r>
          </w:p>
        </w:tc>
        <w:tc>
          <w:tcPr>
            <w:tcW w:w="624" w:type="pct"/>
            <w:tcBorders>
              <w:top w:val="nil"/>
              <w:left w:val="single" w:sz="4" w:space="0" w:color="auto"/>
              <w:bottom w:val="nil"/>
              <w:right w:val="single" w:sz="4" w:space="0" w:color="auto"/>
            </w:tcBorders>
            <w:noWrap/>
            <w:hideMark/>
          </w:tcPr>
          <w:p w14:paraId="2F9D1A6B"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80</w:t>
            </w:r>
          </w:p>
        </w:tc>
        <w:tc>
          <w:tcPr>
            <w:tcW w:w="624" w:type="pct"/>
            <w:tcBorders>
              <w:top w:val="nil"/>
              <w:left w:val="single" w:sz="4" w:space="0" w:color="auto"/>
              <w:bottom w:val="nil"/>
              <w:right w:val="single" w:sz="4" w:space="0" w:color="auto"/>
            </w:tcBorders>
            <w:noWrap/>
            <w:hideMark/>
          </w:tcPr>
          <w:p w14:paraId="390B4487"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34</w:t>
            </w:r>
          </w:p>
        </w:tc>
      </w:tr>
      <w:tr w:rsidR="00120717" w:rsidRPr="00B93EE1" w14:paraId="008268E5" w14:textId="77777777" w:rsidTr="00AA6D0A">
        <w:tc>
          <w:tcPr>
            <w:tcW w:w="1255" w:type="pct"/>
            <w:tcBorders>
              <w:top w:val="nil"/>
              <w:left w:val="single" w:sz="4" w:space="0" w:color="auto"/>
              <w:bottom w:val="nil"/>
              <w:right w:val="single" w:sz="4" w:space="0" w:color="auto"/>
            </w:tcBorders>
            <w:noWrap/>
            <w:hideMark/>
          </w:tcPr>
          <w:p w14:paraId="33A51564" w14:textId="77777777" w:rsidR="00120717" w:rsidRPr="00B93EE1" w:rsidRDefault="00120717" w:rsidP="00AA6D0A">
            <w:pPr>
              <w:rPr>
                <w:rFonts w:cs="Calibri"/>
                <w:color w:val="000000"/>
                <w:sz w:val="16"/>
                <w:szCs w:val="16"/>
                <w:lang w:eastAsia="en-GB"/>
              </w:rPr>
            </w:pPr>
            <w:r w:rsidRPr="00B93EE1">
              <w:rPr>
                <w:rFonts w:cs="Calibri"/>
                <w:color w:val="000000"/>
                <w:sz w:val="16"/>
                <w:szCs w:val="16"/>
                <w:lang w:eastAsia="en-GB"/>
              </w:rPr>
              <w:t>- mail centre</w:t>
            </w:r>
          </w:p>
        </w:tc>
        <w:tc>
          <w:tcPr>
            <w:tcW w:w="624" w:type="pct"/>
            <w:tcBorders>
              <w:top w:val="nil"/>
              <w:left w:val="single" w:sz="4" w:space="0" w:color="auto"/>
              <w:bottom w:val="nil"/>
              <w:right w:val="single" w:sz="4" w:space="0" w:color="auto"/>
            </w:tcBorders>
            <w:noWrap/>
            <w:hideMark/>
          </w:tcPr>
          <w:p w14:paraId="5F32675B"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245</w:t>
            </w:r>
          </w:p>
        </w:tc>
        <w:tc>
          <w:tcPr>
            <w:tcW w:w="624" w:type="pct"/>
            <w:tcBorders>
              <w:top w:val="nil"/>
              <w:left w:val="single" w:sz="4" w:space="0" w:color="auto"/>
              <w:bottom w:val="nil"/>
              <w:right w:val="single" w:sz="4" w:space="0" w:color="auto"/>
            </w:tcBorders>
            <w:noWrap/>
            <w:hideMark/>
          </w:tcPr>
          <w:p w14:paraId="2BB407F8"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160</w:t>
            </w:r>
          </w:p>
        </w:tc>
        <w:tc>
          <w:tcPr>
            <w:tcW w:w="624" w:type="pct"/>
            <w:tcBorders>
              <w:top w:val="nil"/>
              <w:left w:val="single" w:sz="4" w:space="0" w:color="auto"/>
              <w:bottom w:val="nil"/>
              <w:right w:val="single" w:sz="4" w:space="0" w:color="auto"/>
            </w:tcBorders>
            <w:noWrap/>
            <w:hideMark/>
          </w:tcPr>
          <w:p w14:paraId="34A27CE0"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24</w:t>
            </w:r>
          </w:p>
        </w:tc>
        <w:tc>
          <w:tcPr>
            <w:tcW w:w="624" w:type="pct"/>
            <w:tcBorders>
              <w:top w:val="nil"/>
              <w:left w:val="single" w:sz="4" w:space="0" w:color="auto"/>
              <w:bottom w:val="nil"/>
              <w:right w:val="single" w:sz="4" w:space="0" w:color="auto"/>
            </w:tcBorders>
            <w:noWrap/>
            <w:hideMark/>
          </w:tcPr>
          <w:p w14:paraId="589D77AA"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54</w:t>
            </w:r>
          </w:p>
        </w:tc>
        <w:tc>
          <w:tcPr>
            <w:tcW w:w="624" w:type="pct"/>
            <w:tcBorders>
              <w:top w:val="nil"/>
              <w:left w:val="single" w:sz="4" w:space="0" w:color="auto"/>
              <w:bottom w:val="nil"/>
              <w:right w:val="single" w:sz="4" w:space="0" w:color="auto"/>
            </w:tcBorders>
            <w:noWrap/>
            <w:hideMark/>
          </w:tcPr>
          <w:p w14:paraId="2C0489E1"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21</w:t>
            </w:r>
          </w:p>
        </w:tc>
        <w:tc>
          <w:tcPr>
            <w:tcW w:w="624" w:type="pct"/>
            <w:tcBorders>
              <w:top w:val="nil"/>
              <w:left w:val="single" w:sz="4" w:space="0" w:color="auto"/>
              <w:bottom w:val="nil"/>
              <w:right w:val="single" w:sz="4" w:space="0" w:color="auto"/>
            </w:tcBorders>
            <w:noWrap/>
            <w:hideMark/>
          </w:tcPr>
          <w:p w14:paraId="452A3D67"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4</w:t>
            </w:r>
          </w:p>
        </w:tc>
      </w:tr>
      <w:tr w:rsidR="00120717" w:rsidRPr="00B93EE1" w14:paraId="0EB3A508" w14:textId="77777777" w:rsidTr="00AA6D0A">
        <w:trPr>
          <w:cnfStyle w:val="000000010000" w:firstRow="0" w:lastRow="0" w:firstColumn="0" w:lastColumn="0" w:oddVBand="0" w:evenVBand="0" w:oddHBand="0" w:evenHBand="1" w:firstRowFirstColumn="0" w:firstRowLastColumn="0" w:lastRowFirstColumn="0" w:lastRowLastColumn="0"/>
        </w:trPr>
        <w:tc>
          <w:tcPr>
            <w:tcW w:w="1255" w:type="pct"/>
            <w:tcBorders>
              <w:top w:val="nil"/>
              <w:left w:val="single" w:sz="4" w:space="0" w:color="auto"/>
              <w:bottom w:val="nil"/>
              <w:right w:val="single" w:sz="4" w:space="0" w:color="auto"/>
            </w:tcBorders>
            <w:noWrap/>
            <w:hideMark/>
          </w:tcPr>
          <w:p w14:paraId="25FECFD1" w14:textId="77777777" w:rsidR="00120717" w:rsidRPr="00B93EE1" w:rsidRDefault="00120717" w:rsidP="00AA6D0A">
            <w:pPr>
              <w:rPr>
                <w:rFonts w:cs="Calibri"/>
                <w:color w:val="000000"/>
                <w:sz w:val="16"/>
                <w:szCs w:val="16"/>
                <w:lang w:eastAsia="en-GB"/>
              </w:rPr>
            </w:pPr>
            <w:r w:rsidRPr="00B93EE1">
              <w:rPr>
                <w:rFonts w:cs="Calibri"/>
                <w:color w:val="000000"/>
                <w:sz w:val="16"/>
                <w:szCs w:val="16"/>
                <w:lang w:eastAsia="en-GB"/>
              </w:rPr>
              <w:t xml:space="preserve">- </w:t>
            </w:r>
            <w:proofErr w:type="spellStart"/>
            <w:r w:rsidRPr="00B93EE1">
              <w:rPr>
                <w:rFonts w:cs="Calibri"/>
                <w:color w:val="000000"/>
                <w:sz w:val="16"/>
                <w:szCs w:val="16"/>
                <w:lang w:eastAsia="en-GB"/>
              </w:rPr>
              <w:t>CCA</w:t>
            </w:r>
            <w:r w:rsidRPr="00B93EE1">
              <w:rPr>
                <w:rFonts w:cs="Calibri"/>
                <w:color w:val="000000"/>
                <w:sz w:val="16"/>
                <w:szCs w:val="16"/>
                <w:vertAlign w:val="superscript"/>
                <w:lang w:eastAsia="en-GB"/>
              </w:rPr>
              <w:t>a</w:t>
            </w:r>
            <w:proofErr w:type="spellEnd"/>
          </w:p>
        </w:tc>
        <w:tc>
          <w:tcPr>
            <w:tcW w:w="624" w:type="pct"/>
            <w:tcBorders>
              <w:top w:val="nil"/>
              <w:left w:val="single" w:sz="4" w:space="0" w:color="auto"/>
              <w:bottom w:val="nil"/>
              <w:right w:val="single" w:sz="4" w:space="0" w:color="auto"/>
            </w:tcBorders>
            <w:noWrap/>
            <w:hideMark/>
          </w:tcPr>
          <w:p w14:paraId="3B77485D"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98</w:t>
            </w:r>
          </w:p>
        </w:tc>
        <w:tc>
          <w:tcPr>
            <w:tcW w:w="624" w:type="pct"/>
            <w:tcBorders>
              <w:top w:val="nil"/>
              <w:left w:val="single" w:sz="4" w:space="0" w:color="auto"/>
              <w:bottom w:val="nil"/>
              <w:right w:val="single" w:sz="4" w:space="0" w:color="auto"/>
            </w:tcBorders>
            <w:noWrap/>
            <w:hideMark/>
          </w:tcPr>
          <w:p w14:paraId="6A1FE90B"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54</w:t>
            </w:r>
          </w:p>
        </w:tc>
        <w:tc>
          <w:tcPr>
            <w:tcW w:w="624" w:type="pct"/>
            <w:tcBorders>
              <w:top w:val="nil"/>
              <w:left w:val="single" w:sz="4" w:space="0" w:color="auto"/>
              <w:bottom w:val="nil"/>
              <w:right w:val="single" w:sz="4" w:space="0" w:color="auto"/>
            </w:tcBorders>
            <w:noWrap/>
            <w:hideMark/>
          </w:tcPr>
          <w:p w14:paraId="653C37A4"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28</w:t>
            </w:r>
          </w:p>
        </w:tc>
        <w:tc>
          <w:tcPr>
            <w:tcW w:w="624" w:type="pct"/>
            <w:tcBorders>
              <w:top w:val="nil"/>
              <w:left w:val="single" w:sz="4" w:space="0" w:color="auto"/>
              <w:bottom w:val="nil"/>
              <w:right w:val="single" w:sz="4" w:space="0" w:color="auto"/>
            </w:tcBorders>
            <w:noWrap/>
            <w:hideMark/>
          </w:tcPr>
          <w:p w14:paraId="522F76F4"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48</w:t>
            </w:r>
          </w:p>
        </w:tc>
        <w:tc>
          <w:tcPr>
            <w:tcW w:w="624" w:type="pct"/>
            <w:tcBorders>
              <w:top w:val="nil"/>
              <w:left w:val="single" w:sz="4" w:space="0" w:color="auto"/>
              <w:bottom w:val="nil"/>
              <w:right w:val="single" w:sz="4" w:space="0" w:color="auto"/>
            </w:tcBorders>
            <w:noWrap/>
            <w:hideMark/>
          </w:tcPr>
          <w:p w14:paraId="01F34975"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52</w:t>
            </w:r>
          </w:p>
        </w:tc>
        <w:tc>
          <w:tcPr>
            <w:tcW w:w="624" w:type="pct"/>
            <w:tcBorders>
              <w:top w:val="nil"/>
              <w:left w:val="single" w:sz="4" w:space="0" w:color="auto"/>
              <w:bottom w:val="nil"/>
              <w:right w:val="single" w:sz="4" w:space="0" w:color="auto"/>
            </w:tcBorders>
            <w:noWrap/>
            <w:hideMark/>
          </w:tcPr>
          <w:p w14:paraId="6D55C6AC"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24</w:t>
            </w:r>
          </w:p>
        </w:tc>
      </w:tr>
      <w:tr w:rsidR="00120717" w:rsidRPr="00B93EE1" w14:paraId="47FEC192" w14:textId="77777777" w:rsidTr="00AA6D0A">
        <w:tc>
          <w:tcPr>
            <w:tcW w:w="1255" w:type="pct"/>
            <w:tcBorders>
              <w:top w:val="nil"/>
              <w:left w:val="single" w:sz="4" w:space="0" w:color="auto"/>
              <w:bottom w:val="nil"/>
              <w:right w:val="single" w:sz="4" w:space="0" w:color="auto"/>
            </w:tcBorders>
            <w:noWrap/>
            <w:hideMark/>
          </w:tcPr>
          <w:p w14:paraId="1CCEE7B8" w14:textId="77777777" w:rsidR="00120717" w:rsidRPr="00B93EE1" w:rsidRDefault="00120717" w:rsidP="00AA6D0A">
            <w:pPr>
              <w:rPr>
                <w:rFonts w:cs="Calibri"/>
                <w:color w:val="000000"/>
                <w:sz w:val="16"/>
                <w:szCs w:val="16"/>
                <w:lang w:eastAsia="en-GB"/>
              </w:rPr>
            </w:pPr>
            <w:r w:rsidRPr="00B93EE1">
              <w:rPr>
                <w:rFonts w:cs="Calibri"/>
                <w:color w:val="000000"/>
                <w:sz w:val="16"/>
                <w:szCs w:val="16"/>
                <w:lang w:eastAsia="en-GB"/>
              </w:rPr>
              <w:t>- airport</w:t>
            </w:r>
          </w:p>
        </w:tc>
        <w:tc>
          <w:tcPr>
            <w:tcW w:w="624" w:type="pct"/>
            <w:tcBorders>
              <w:top w:val="nil"/>
              <w:left w:val="single" w:sz="4" w:space="0" w:color="auto"/>
              <w:bottom w:val="nil"/>
              <w:right w:val="single" w:sz="4" w:space="0" w:color="auto"/>
            </w:tcBorders>
            <w:noWrap/>
            <w:hideMark/>
          </w:tcPr>
          <w:p w14:paraId="489C4015"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7</w:t>
            </w:r>
          </w:p>
        </w:tc>
        <w:tc>
          <w:tcPr>
            <w:tcW w:w="624" w:type="pct"/>
            <w:tcBorders>
              <w:top w:val="nil"/>
              <w:left w:val="single" w:sz="4" w:space="0" w:color="auto"/>
              <w:bottom w:val="nil"/>
              <w:right w:val="single" w:sz="4" w:space="0" w:color="auto"/>
            </w:tcBorders>
            <w:noWrap/>
            <w:hideMark/>
          </w:tcPr>
          <w:p w14:paraId="2D532EFC"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8</w:t>
            </w:r>
          </w:p>
        </w:tc>
        <w:tc>
          <w:tcPr>
            <w:tcW w:w="624" w:type="pct"/>
            <w:tcBorders>
              <w:top w:val="nil"/>
              <w:left w:val="single" w:sz="4" w:space="0" w:color="auto"/>
              <w:bottom w:val="nil"/>
              <w:right w:val="single" w:sz="4" w:space="0" w:color="auto"/>
            </w:tcBorders>
            <w:noWrap/>
            <w:hideMark/>
          </w:tcPr>
          <w:p w14:paraId="6B3E4CB7"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6</w:t>
            </w:r>
          </w:p>
        </w:tc>
        <w:tc>
          <w:tcPr>
            <w:tcW w:w="624" w:type="pct"/>
            <w:tcBorders>
              <w:top w:val="nil"/>
              <w:left w:val="single" w:sz="4" w:space="0" w:color="auto"/>
              <w:bottom w:val="nil"/>
              <w:right w:val="single" w:sz="4" w:space="0" w:color="auto"/>
            </w:tcBorders>
            <w:noWrap/>
            <w:hideMark/>
          </w:tcPr>
          <w:p w14:paraId="5011FA25"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9</w:t>
            </w:r>
          </w:p>
        </w:tc>
        <w:tc>
          <w:tcPr>
            <w:tcW w:w="624" w:type="pct"/>
            <w:tcBorders>
              <w:top w:val="nil"/>
              <w:left w:val="single" w:sz="4" w:space="0" w:color="auto"/>
              <w:bottom w:val="nil"/>
              <w:right w:val="single" w:sz="4" w:space="0" w:color="auto"/>
            </w:tcBorders>
            <w:noWrap/>
            <w:hideMark/>
          </w:tcPr>
          <w:p w14:paraId="5CB64C69"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4</w:t>
            </w:r>
          </w:p>
        </w:tc>
        <w:tc>
          <w:tcPr>
            <w:tcW w:w="624" w:type="pct"/>
            <w:tcBorders>
              <w:top w:val="nil"/>
              <w:left w:val="single" w:sz="4" w:space="0" w:color="auto"/>
              <w:bottom w:val="nil"/>
              <w:right w:val="single" w:sz="4" w:space="0" w:color="auto"/>
            </w:tcBorders>
            <w:noWrap/>
            <w:hideMark/>
          </w:tcPr>
          <w:p w14:paraId="589E325B"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5</w:t>
            </w:r>
          </w:p>
        </w:tc>
      </w:tr>
      <w:tr w:rsidR="00120717" w:rsidRPr="00B93EE1" w14:paraId="2FB62EE2" w14:textId="77777777" w:rsidTr="00AA6D0A">
        <w:trPr>
          <w:cnfStyle w:val="000000010000" w:firstRow="0" w:lastRow="0" w:firstColumn="0" w:lastColumn="0" w:oddVBand="0" w:evenVBand="0" w:oddHBand="0" w:evenHBand="1" w:firstRowFirstColumn="0" w:firstRowLastColumn="0" w:lastRowFirstColumn="0" w:lastRowLastColumn="0"/>
        </w:trPr>
        <w:tc>
          <w:tcPr>
            <w:tcW w:w="1255" w:type="pct"/>
            <w:tcBorders>
              <w:top w:val="nil"/>
              <w:left w:val="single" w:sz="4" w:space="0" w:color="auto"/>
              <w:bottom w:val="single" w:sz="4" w:space="0" w:color="auto"/>
              <w:right w:val="single" w:sz="4" w:space="0" w:color="auto"/>
            </w:tcBorders>
            <w:noWrap/>
            <w:hideMark/>
          </w:tcPr>
          <w:p w14:paraId="1354E931" w14:textId="77777777" w:rsidR="00120717" w:rsidRPr="00B93EE1" w:rsidRDefault="00120717" w:rsidP="00AA6D0A">
            <w:pPr>
              <w:rPr>
                <w:rFonts w:cs="Calibri"/>
                <w:color w:val="000000"/>
                <w:sz w:val="16"/>
                <w:szCs w:val="16"/>
                <w:lang w:eastAsia="en-GB"/>
              </w:rPr>
            </w:pPr>
            <w:r w:rsidRPr="00B93EE1">
              <w:rPr>
                <w:rFonts w:cs="Calibri"/>
                <w:color w:val="000000"/>
                <w:sz w:val="16"/>
                <w:szCs w:val="16"/>
                <w:lang w:eastAsia="en-GB"/>
              </w:rPr>
              <w:t>- other</w:t>
            </w:r>
          </w:p>
        </w:tc>
        <w:tc>
          <w:tcPr>
            <w:tcW w:w="624" w:type="pct"/>
            <w:tcBorders>
              <w:top w:val="nil"/>
              <w:left w:val="single" w:sz="4" w:space="0" w:color="auto"/>
              <w:bottom w:val="single" w:sz="4" w:space="0" w:color="auto"/>
              <w:right w:val="single" w:sz="4" w:space="0" w:color="auto"/>
            </w:tcBorders>
            <w:noWrap/>
            <w:hideMark/>
          </w:tcPr>
          <w:p w14:paraId="3B82A689"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9</w:t>
            </w:r>
          </w:p>
        </w:tc>
        <w:tc>
          <w:tcPr>
            <w:tcW w:w="624" w:type="pct"/>
            <w:tcBorders>
              <w:top w:val="nil"/>
              <w:left w:val="single" w:sz="4" w:space="0" w:color="auto"/>
              <w:bottom w:val="single" w:sz="4" w:space="0" w:color="auto"/>
              <w:right w:val="single" w:sz="4" w:space="0" w:color="auto"/>
            </w:tcBorders>
            <w:noWrap/>
            <w:hideMark/>
          </w:tcPr>
          <w:p w14:paraId="1E3BB648"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1</w:t>
            </w:r>
          </w:p>
        </w:tc>
        <w:tc>
          <w:tcPr>
            <w:tcW w:w="624" w:type="pct"/>
            <w:tcBorders>
              <w:top w:val="nil"/>
              <w:left w:val="single" w:sz="4" w:space="0" w:color="auto"/>
              <w:bottom w:val="single" w:sz="4" w:space="0" w:color="auto"/>
              <w:right w:val="single" w:sz="4" w:space="0" w:color="auto"/>
            </w:tcBorders>
            <w:noWrap/>
            <w:hideMark/>
          </w:tcPr>
          <w:p w14:paraId="73CC99D5"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2</w:t>
            </w:r>
          </w:p>
        </w:tc>
        <w:tc>
          <w:tcPr>
            <w:tcW w:w="624" w:type="pct"/>
            <w:tcBorders>
              <w:top w:val="nil"/>
              <w:left w:val="single" w:sz="4" w:space="0" w:color="auto"/>
              <w:bottom w:val="single" w:sz="4" w:space="0" w:color="auto"/>
              <w:right w:val="single" w:sz="4" w:space="0" w:color="auto"/>
            </w:tcBorders>
            <w:noWrap/>
            <w:hideMark/>
          </w:tcPr>
          <w:p w14:paraId="0B366AA1"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2</w:t>
            </w:r>
          </w:p>
        </w:tc>
        <w:tc>
          <w:tcPr>
            <w:tcW w:w="624" w:type="pct"/>
            <w:tcBorders>
              <w:top w:val="nil"/>
              <w:left w:val="single" w:sz="4" w:space="0" w:color="auto"/>
              <w:bottom w:val="single" w:sz="4" w:space="0" w:color="auto"/>
              <w:right w:val="single" w:sz="4" w:space="0" w:color="auto"/>
            </w:tcBorders>
            <w:noWrap/>
            <w:hideMark/>
          </w:tcPr>
          <w:p w14:paraId="41A56BD8"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3</w:t>
            </w:r>
          </w:p>
        </w:tc>
        <w:tc>
          <w:tcPr>
            <w:tcW w:w="624" w:type="pct"/>
            <w:tcBorders>
              <w:top w:val="nil"/>
              <w:left w:val="single" w:sz="4" w:space="0" w:color="auto"/>
              <w:bottom w:val="single" w:sz="4" w:space="0" w:color="auto"/>
              <w:right w:val="single" w:sz="4" w:space="0" w:color="auto"/>
            </w:tcBorders>
            <w:noWrap/>
            <w:hideMark/>
          </w:tcPr>
          <w:p w14:paraId="022710A5" w14:textId="77777777" w:rsidR="00120717" w:rsidRPr="00B93EE1" w:rsidRDefault="00120717" w:rsidP="00AA6D0A">
            <w:pPr>
              <w:ind w:right="227"/>
              <w:jc w:val="right"/>
              <w:rPr>
                <w:rFonts w:cs="Calibri"/>
                <w:color w:val="000000"/>
                <w:sz w:val="16"/>
                <w:szCs w:val="16"/>
                <w:lang w:eastAsia="en-GB"/>
              </w:rPr>
            </w:pPr>
            <w:r w:rsidRPr="00B93EE1">
              <w:rPr>
                <w:rFonts w:cs="Calibri"/>
                <w:color w:val="000000"/>
                <w:sz w:val="16"/>
                <w:szCs w:val="16"/>
                <w:lang w:eastAsia="en-GB"/>
              </w:rPr>
              <w:t>1</w:t>
            </w:r>
          </w:p>
        </w:tc>
      </w:tr>
    </w:tbl>
    <w:p w14:paraId="7B315CA2" w14:textId="77777777" w:rsidR="00120717" w:rsidRPr="00B93EE1" w:rsidRDefault="00120717" w:rsidP="00FD7477">
      <w:pPr>
        <w:pStyle w:val="NoteText"/>
        <w:spacing w:before="120"/>
        <w:rPr>
          <w:lang w:eastAsia="en-GB"/>
        </w:rPr>
      </w:pPr>
      <w:r w:rsidRPr="00B93EE1">
        <w:t>a</w:t>
      </w:r>
      <w:r w:rsidRPr="00B93EE1">
        <w:rPr>
          <w:vertAlign w:val="superscript"/>
        </w:rPr>
        <w:tab/>
      </w:r>
      <w:r w:rsidRPr="00B93EE1">
        <w:rPr>
          <w:lang w:eastAsia="en-GB"/>
        </w:rPr>
        <w:t xml:space="preserve">Customs Controlled Area: a secure and controlled environment in which the activities that take place are monitored or conducted by the </w:t>
      </w:r>
      <w:proofErr w:type="spellStart"/>
      <w:r w:rsidRPr="00B93EE1">
        <w:rPr>
          <w:lang w:eastAsia="en-GB"/>
        </w:rPr>
        <w:t>NZCS</w:t>
      </w:r>
      <w:proofErr w:type="spellEnd"/>
      <w:r w:rsidRPr="00B93EE1">
        <w:rPr>
          <w:lang w:eastAsia="en-GB"/>
        </w:rPr>
        <w:t>.</w:t>
      </w:r>
    </w:p>
    <w:p w14:paraId="2FBB9D1A" w14:textId="77777777" w:rsidR="00120717" w:rsidRPr="00B93EE1" w:rsidRDefault="00120717" w:rsidP="00FD7477">
      <w:pPr>
        <w:pStyle w:val="NoteText"/>
        <w:spacing w:before="120" w:after="240"/>
      </w:pPr>
      <w:r w:rsidRPr="00B93EE1">
        <w:t>Source:</w:t>
      </w:r>
      <w:r w:rsidRPr="00B93EE1">
        <w:tab/>
      </w:r>
      <w:proofErr w:type="spellStart"/>
      <w:r w:rsidRPr="00B93EE1">
        <w:t>NZCS</w:t>
      </w:r>
      <w:proofErr w:type="spellEnd"/>
      <w:r w:rsidRPr="00B93EE1">
        <w:t xml:space="preserve">, </w:t>
      </w:r>
      <w:r w:rsidRPr="00B93EE1">
        <w:rPr>
          <w:i/>
          <w:iCs/>
        </w:rPr>
        <w:t>Good Intercepted</w:t>
      </w:r>
      <w:r w:rsidRPr="00B93EE1">
        <w:t xml:space="preserve">. Viewed at: </w:t>
      </w:r>
      <w:hyperlink r:id="rId40" w:history="1">
        <w:r w:rsidRPr="00B93EE1">
          <w:rPr>
            <w:color w:val="0000FF" w:themeColor="hyperlink"/>
            <w:u w:val="single"/>
          </w:rPr>
          <w:t>https://www.customs.govt.nz/about-us/statistics/non-drug-interceptions/goods-intercepted/</w:t>
        </w:r>
      </w:hyperlink>
      <w:r w:rsidRPr="00B93EE1">
        <w:t>.</w:t>
      </w:r>
    </w:p>
    <w:p w14:paraId="4B86B7CD" w14:textId="77777777" w:rsidR="00120717" w:rsidRPr="00F64A35" w:rsidRDefault="00120717" w:rsidP="00472364">
      <w:pPr>
        <w:pStyle w:val="BodyText"/>
      </w:pPr>
      <w:r w:rsidRPr="00B93EE1">
        <w:t>New Zealand's creative and broadcasting industries have been impacted by digital piracy. Two industry-commissioned 2018 reports found that 10%-11% of New Zealanders "normally" stream pirated content, although there is some evidence that these numbers may be declining due to improved access to free and paid material on-demand. Another study found that nearly 25% of New Zealand Internet users download infringing copies of music, with 20% having used stream ripping in the preceding three months. The industries have encouraged the Government to pursue site-blocking legislation that would be effective against both local and off-shore websites and to ban the import and sale of illicit streaming devices. They have also suggested narrowing the existing Internet service provider liability safe harbour provisions, which they claim have been abused by online intermediaries, including search engines and social media platforms, to commercially exploit unlicensed copyrighted works.</w:t>
      </w:r>
      <w:r w:rsidRPr="00B93EE1">
        <w:rPr>
          <w:rFonts w:eastAsia="Times New Roman"/>
          <w:vertAlign w:val="superscript"/>
        </w:rPr>
        <w:footnoteReference w:id="326"/>
      </w:r>
    </w:p>
    <w:p w14:paraId="0A4606A6" w14:textId="77777777" w:rsidR="00120717" w:rsidRPr="00F64A35" w:rsidRDefault="00120717" w:rsidP="00472364">
      <w:pPr>
        <w:pStyle w:val="BodyText"/>
      </w:pPr>
      <w:r w:rsidRPr="00B93EE1">
        <w:lastRenderedPageBreak/>
        <w:t xml:space="preserve">Once civil infringement has been established, available remedies include injunctions and compensatory damages or an accounting of profits. The </w:t>
      </w:r>
      <w:proofErr w:type="spellStart"/>
      <w:r w:rsidRPr="00B93EE1">
        <w:t>CPTPP</w:t>
      </w:r>
      <w:proofErr w:type="spellEnd"/>
      <w:r w:rsidRPr="00B93EE1">
        <w:t xml:space="preserve"> Amendment Act 2018 expanded and strengthened the available remedies for trademark and copyright infringement. Courts may now grant additional damages for not only copyright infringement, but also trademark infringement, as justice requires, taking into account all of the circumstances, including the flagrancy of the infringement and any benefits accruing to the defendant.</w:t>
      </w:r>
      <w:r w:rsidRPr="00B93EE1">
        <w:rPr>
          <w:rFonts w:eastAsia="Times New Roman"/>
          <w:vertAlign w:val="superscript"/>
        </w:rPr>
        <w:footnoteReference w:id="327"/>
      </w:r>
      <w:r w:rsidRPr="00B93EE1">
        <w:t xml:space="preserve"> Barring exceptional circumstances, courts must also now order the destruction of counterfeit</w:t>
      </w:r>
      <w:r w:rsidRPr="00B93EE1">
        <w:rPr>
          <w:rFonts w:eastAsia="Times New Roman"/>
          <w:vertAlign w:val="superscript"/>
        </w:rPr>
        <w:footnoteReference w:id="328"/>
      </w:r>
      <w:r w:rsidRPr="00B93EE1">
        <w:t xml:space="preserve"> goods, rather than simply the removal of the infringing trademark from the goods.</w:t>
      </w:r>
      <w:r w:rsidRPr="00B93EE1">
        <w:rPr>
          <w:rFonts w:eastAsia="Times New Roman"/>
          <w:vertAlign w:val="superscript"/>
        </w:rPr>
        <w:footnoteReference w:id="329"/>
      </w:r>
      <w:r w:rsidRPr="00B93EE1">
        <w:t xml:space="preserve"> As of 2018, monetary awards ordered by the Copyright Tribunal may include interest, as compensation for the delay in payment.</w:t>
      </w:r>
      <w:r w:rsidRPr="00B93EE1">
        <w:rPr>
          <w:rFonts w:eastAsia="Times New Roman"/>
          <w:vertAlign w:val="superscript"/>
        </w:rPr>
        <w:footnoteReference w:id="330"/>
      </w:r>
    </w:p>
    <w:p w14:paraId="3B79B33F" w14:textId="77777777" w:rsidR="00120717" w:rsidRPr="00F64A35" w:rsidRDefault="00120717" w:rsidP="00472364">
      <w:pPr>
        <w:pStyle w:val="BodyText"/>
      </w:pPr>
      <w:r w:rsidRPr="00B93EE1">
        <w:t xml:space="preserve">The New Zealand Police, the </w:t>
      </w:r>
      <w:proofErr w:type="spellStart"/>
      <w:r w:rsidRPr="00B93EE1">
        <w:t>MBIE</w:t>
      </w:r>
      <w:proofErr w:type="spellEnd"/>
      <w:r w:rsidRPr="00B93EE1">
        <w:t xml:space="preserve">, and the </w:t>
      </w:r>
      <w:proofErr w:type="spellStart"/>
      <w:r w:rsidRPr="00B93EE1">
        <w:t>NZCS</w:t>
      </w:r>
      <w:proofErr w:type="spellEnd"/>
      <w:r w:rsidRPr="00B93EE1">
        <w:t xml:space="preserve"> may investigate copyright piracy and trademark counterfeiting offences. Within the review period, no prosecutions of these offences were initiated. The </w:t>
      </w:r>
      <w:proofErr w:type="spellStart"/>
      <w:r w:rsidRPr="00B93EE1">
        <w:t>CPTPP</w:t>
      </w:r>
      <w:proofErr w:type="spellEnd"/>
      <w:r w:rsidRPr="00B93EE1">
        <w:t xml:space="preserve"> Amendments Act 2018 expanded the scope of criminal prosecution for copyright infringement to include certain violations of performers' rights and increased the maximum penalties for making, dealing with, using, or copying illicit recordings to a fine of NZD 150,000 or five years' imprisonment.</w:t>
      </w:r>
      <w:r w:rsidRPr="00B93EE1">
        <w:rPr>
          <w:rFonts w:eastAsia="Times New Roman"/>
          <w:vertAlign w:val="superscript"/>
        </w:rPr>
        <w:footnoteReference w:id="331"/>
      </w:r>
      <w:r w:rsidRPr="00B93EE1">
        <w:t xml:space="preserve"> These maximum penalties now match those available for criminal violations of the Trade Marks Act 2002. In 2020, the New Zealand Supreme Court interpreted the criminal provisions of the Copyright Act 1994 to be technologically neutral, and to encompass infringing digital files.</w:t>
      </w:r>
      <w:r w:rsidRPr="00B93EE1">
        <w:rPr>
          <w:rFonts w:eastAsia="Times New Roman"/>
          <w:vertAlign w:val="superscript"/>
        </w:rPr>
        <w:footnoteReference w:id="332"/>
      </w:r>
    </w:p>
    <w:p w14:paraId="46DE406B" w14:textId="77777777" w:rsidR="00120717" w:rsidRPr="00F64A35" w:rsidRDefault="00120717" w:rsidP="00472364">
      <w:pPr>
        <w:pStyle w:val="Heading4"/>
      </w:pPr>
      <w:bookmarkStart w:id="209" w:name="_Ref86486838"/>
      <w:bookmarkStart w:id="210" w:name="_Toc97800187"/>
      <w:r w:rsidRPr="00B93EE1">
        <w:rPr>
          <w:rFonts w:eastAsia="Times New Roman"/>
        </w:rPr>
        <w:t>IP matters relating to COVID</w:t>
      </w:r>
      <w:r w:rsidRPr="00B93EE1">
        <w:rPr>
          <w:rFonts w:eastAsia="Times New Roman"/>
        </w:rPr>
        <w:noBreakHyphen/>
        <w:t>19</w:t>
      </w:r>
      <w:bookmarkEnd w:id="209"/>
      <w:bookmarkEnd w:id="210"/>
    </w:p>
    <w:p w14:paraId="575A1C1E" w14:textId="77777777" w:rsidR="00120717" w:rsidRPr="00F64A35" w:rsidRDefault="00120717" w:rsidP="00472364">
      <w:pPr>
        <w:pStyle w:val="BodyText"/>
      </w:pPr>
      <w:r w:rsidRPr="00B93EE1">
        <w:t>New Zealand has not amended any of its IP laws or regulations specifically in response to the COVID</w:t>
      </w:r>
      <w:r w:rsidRPr="00B93EE1">
        <w:noBreakHyphen/>
        <w:t>19 pandemic.</w:t>
      </w:r>
    </w:p>
    <w:p w14:paraId="36F57D2C" w14:textId="77777777" w:rsidR="00120717" w:rsidRPr="00F64A35" w:rsidRDefault="00120717" w:rsidP="00472364">
      <w:pPr>
        <w:pStyle w:val="BodyText"/>
      </w:pPr>
      <w:r w:rsidRPr="00B93EE1">
        <w:t>New Zealand permits compulsory licensing and Crown use of patented inventions in specified circumstances. T</w:t>
      </w:r>
      <w:r w:rsidRPr="00B93EE1">
        <w:rPr>
          <w:lang w:eastAsia="en-GB"/>
        </w:rPr>
        <w:t xml:space="preserve">hree years from the date of patent grant, or four years from the filing date, whichever is later, any interested person may submit an application to the High Court for a compulsory licence predominantly to supply the domestic market if the patented invention is not being supplied or is not being supplied on reasonable terms in New Zealand. </w:t>
      </w:r>
      <w:r w:rsidRPr="00B93EE1">
        <w:t>New Zealand has implemented the special compulsory licensing system for the export of medicines set forth in Article 31</w:t>
      </w:r>
      <w:r w:rsidRPr="00B93EE1">
        <w:rPr>
          <w:i/>
        </w:rPr>
        <w:t>bis</w:t>
      </w:r>
      <w:r w:rsidRPr="00B93EE1">
        <w:t xml:space="preserve"> and the Annex to the TRIPS Agreement. The High Court may order the grant of a compulsory licence for the production and export of a patented pharmaceutical product or process to an eligible importing country to address a serious public health problem.</w:t>
      </w:r>
      <w:r w:rsidRPr="00B93EE1">
        <w:rPr>
          <w:rFonts w:eastAsia="Times New Roman"/>
          <w:vertAlign w:val="superscript"/>
        </w:rPr>
        <w:footnoteReference w:id="333"/>
      </w:r>
      <w:r w:rsidRPr="00B93EE1">
        <w:t xml:space="preserve"> New Zealand has opted out of using the regime as an importer.</w:t>
      </w:r>
      <w:r w:rsidRPr="00B93EE1">
        <w:rPr>
          <w:rFonts w:eastAsia="Times New Roman"/>
          <w:vertAlign w:val="superscript"/>
        </w:rPr>
        <w:footnoteReference w:id="334"/>
      </w:r>
      <w:r w:rsidRPr="00B93EE1">
        <w:t xml:space="preserve"> Remuneration to the patent holder and previous efforts to obtain a licence from the patentee on reasonable commercial terms and conditions are among the general requirements for the issuance of a compulsory licence.</w:t>
      </w:r>
      <w:r w:rsidRPr="00B93EE1">
        <w:rPr>
          <w:rFonts w:eastAsia="Times New Roman"/>
          <w:vertAlign w:val="superscript"/>
        </w:rPr>
        <w:footnoteReference w:id="335"/>
      </w:r>
      <w:r w:rsidRPr="00B93EE1">
        <w:t xml:space="preserve"> </w:t>
      </w:r>
      <w:r w:rsidRPr="00B93EE1">
        <w:rPr>
          <w:lang w:eastAsia="en-GB"/>
        </w:rPr>
        <w:t>No compulsory licences have been granted for patents since 2009.</w:t>
      </w:r>
    </w:p>
    <w:p w14:paraId="02CFC566" w14:textId="77777777" w:rsidR="00120717" w:rsidRPr="00F64A35" w:rsidRDefault="00120717" w:rsidP="00FD7477">
      <w:pPr>
        <w:pStyle w:val="BodyText"/>
        <w:keepNext/>
        <w:keepLines/>
      </w:pPr>
      <w:r w:rsidRPr="00B93EE1">
        <w:lastRenderedPageBreak/>
        <w:t>Any government department or third party authorized by the Government may exploit an invention for which a patent has been either granted or applied for, for the services of the Crown, after the complete specification relating to a patent application has been opened to public inspection (18 months from the earliest priority date). Such use must be non-exclusive and may be for any purpose that appears necessary or desirable to: (</w:t>
      </w:r>
      <w:proofErr w:type="spellStart"/>
      <w:r w:rsidRPr="00B93EE1">
        <w:t>i</w:t>
      </w:r>
      <w:proofErr w:type="spellEnd"/>
      <w:r w:rsidRPr="00B93EE1">
        <w:t>) avoid prejudice to the security or defence of New Zealand; or (ii) assist in emergency management during a declared state of emergency.</w:t>
      </w:r>
      <w:r w:rsidRPr="00B93EE1">
        <w:rPr>
          <w:rFonts w:eastAsia="Times New Roman"/>
          <w:vertAlign w:val="superscript"/>
        </w:rPr>
        <w:footnoteReference w:id="336"/>
      </w:r>
    </w:p>
    <w:p w14:paraId="77D4874F" w14:textId="77777777" w:rsidR="00120717" w:rsidRPr="00F64A35" w:rsidRDefault="00120717" w:rsidP="00472364">
      <w:pPr>
        <w:pStyle w:val="BodyText"/>
      </w:pPr>
      <w:bookmarkStart w:id="212" w:name="_Ref86486798"/>
      <w:r w:rsidRPr="00B93EE1">
        <w:t xml:space="preserve">All new and changed medicines must be approved by </w:t>
      </w:r>
      <w:proofErr w:type="spellStart"/>
      <w:r w:rsidRPr="00B93EE1">
        <w:t>MedSafe</w:t>
      </w:r>
      <w:proofErr w:type="spellEnd"/>
      <w:r w:rsidRPr="00B93EE1">
        <w:t xml:space="preserve"> before they may be distributed, sold, or advertised in New Zealand. </w:t>
      </w:r>
      <w:proofErr w:type="spellStart"/>
      <w:r w:rsidRPr="00B93EE1">
        <w:t>MedSafe</w:t>
      </w:r>
      <w:proofErr w:type="spellEnd"/>
      <w:r w:rsidRPr="00B93EE1">
        <w:t xml:space="preserve"> bases its decisions upon information and data regarding safety, quality, and efficacy submitted by the applicant. </w:t>
      </w:r>
      <w:proofErr w:type="spellStart"/>
      <w:r w:rsidRPr="00B93EE1">
        <w:t>MedSafe</w:t>
      </w:r>
      <w:proofErr w:type="spellEnd"/>
      <w:r w:rsidRPr="00B93EE1">
        <w:t xml:space="preserve"> must take reasonable steps to protect the confidentiality of confidential information submitted for an innovative (new active ingredient) medicine application and may not use it to assess other applications (e.g. a generic version of a previously approved drug) for five years following the date of approval or refusal. An exception is available that permits use or disclosure of the data when necessary to protect the health or safety of the public. Data exclusivity is not available for information submitted in connection with applications for new uses of a known drug.</w:t>
      </w:r>
      <w:bookmarkEnd w:id="212"/>
      <w:r w:rsidRPr="00B93EE1">
        <w:rPr>
          <w:rStyle w:val="FootnoteReference"/>
        </w:rPr>
        <w:footnoteReference w:id="337"/>
      </w:r>
    </w:p>
    <w:p w14:paraId="2F57D6D1" w14:textId="77777777" w:rsidR="00120717" w:rsidRPr="00F64A35" w:rsidRDefault="00120717" w:rsidP="00472364">
      <w:pPr>
        <w:pStyle w:val="BodyText"/>
      </w:pPr>
      <w:r w:rsidRPr="00B93EE1">
        <w:t>Parallel imports of genuine IP-protected goods are generally permitted in New Zealand.</w:t>
      </w:r>
      <w:r w:rsidRPr="00B93EE1">
        <w:rPr>
          <w:vertAlign w:val="superscript"/>
        </w:rPr>
        <w:footnoteReference w:id="338"/>
      </w:r>
      <w:r w:rsidRPr="00B93EE1">
        <w:t xml:space="preserve"> </w:t>
      </w:r>
      <w:r w:rsidRPr="00B93EE1">
        <w:rPr>
          <w:bCs/>
        </w:rPr>
        <w:t>There are no explicit limitations on the parallel import of pharmaceuticals or other health technologies. However, there are a number of practical limitations that make the parallel import of such goods unlikely. For example, a licence is needed to import pharmaceuticals as well as for handling and wholesaling medicines and medical devices. Additionally, importers are required to produce specifications and test data for each batch of medicines.</w:t>
      </w:r>
      <w:r w:rsidRPr="00B93EE1">
        <w:rPr>
          <w:rStyle w:val="FootnoteReference"/>
          <w:bCs/>
        </w:rPr>
        <w:footnoteReference w:id="339"/>
      </w:r>
      <w:r w:rsidRPr="00B93EE1">
        <w:rPr>
          <w:bCs/>
        </w:rPr>
        <w:t xml:space="preserve"> Access to such information may be limited where the importer is not authorized by the manufacturer.</w:t>
      </w:r>
    </w:p>
    <w:p w14:paraId="57D8D6BB" w14:textId="77777777" w:rsidR="00120717" w:rsidRPr="00F64A35" w:rsidRDefault="00120717" w:rsidP="00472364">
      <w:pPr>
        <w:pStyle w:val="BodyText"/>
      </w:pPr>
      <w:r w:rsidRPr="00B93EE1">
        <w:t xml:space="preserve">Amidst pandemic-related economic challenges, New Zealand has endeavoured to protect its R&amp;D base by making additional investments in </w:t>
      </w:r>
      <w:proofErr w:type="spellStart"/>
      <w:r w:rsidRPr="00B93EE1">
        <w:t>CRIs</w:t>
      </w:r>
      <w:proofErr w:type="spellEnd"/>
      <w:r w:rsidRPr="00B93EE1">
        <w:t xml:space="preserve"> and CI, in order enable them to maintain R&amp;D capability despite falling commercial revenue. It also established a temporary R&amp;D loan scheme for R&amp;D</w:t>
      </w:r>
      <w:r w:rsidRPr="00B93EE1">
        <w:noBreakHyphen/>
        <w:t>performing businesses affected by COVID</w:t>
      </w:r>
      <w:r w:rsidRPr="00B93EE1">
        <w:noBreakHyphen/>
        <w:t>19, enhanced the refundability of the R&amp;D tax incentive, and funded dedicated COVID</w:t>
      </w:r>
      <w:r w:rsidRPr="00B93EE1">
        <w:noBreakHyphen/>
        <w:t>19-related R&amp;D projects through the COVID</w:t>
      </w:r>
      <w:r w:rsidRPr="00B93EE1">
        <w:noBreakHyphen/>
        <w:t>19 Innovation Acceleration Fund and the Health Research Council.</w:t>
      </w:r>
      <w:r w:rsidRPr="00B93EE1">
        <w:rPr>
          <w:vertAlign w:val="superscript"/>
        </w:rPr>
        <w:footnoteReference w:id="340"/>
      </w:r>
    </w:p>
    <w:p w14:paraId="34B2B6BA" w14:textId="77777777" w:rsidR="00120717" w:rsidRPr="00F64A35" w:rsidRDefault="00120717" w:rsidP="00472364">
      <w:pPr>
        <w:pStyle w:val="BodyText"/>
      </w:pPr>
      <w:r w:rsidRPr="00B93EE1">
        <w:t xml:space="preserve">Prior to the pandemic, </w:t>
      </w:r>
      <w:proofErr w:type="spellStart"/>
      <w:r w:rsidRPr="00B93EE1">
        <w:t>IPONZ</w:t>
      </w:r>
      <w:proofErr w:type="spellEnd"/>
      <w:r w:rsidRPr="00B93EE1">
        <w:t xml:space="preserve"> had already adopted and implemented a 100% online business model and issued guidelines to encourage the use of video conferencing at hearings.</w:t>
      </w:r>
      <w:r w:rsidRPr="00B93EE1">
        <w:rPr>
          <w:vertAlign w:val="superscript"/>
        </w:rPr>
        <w:footnoteReference w:id="341"/>
      </w:r>
      <w:r w:rsidRPr="00B93EE1">
        <w:t xml:space="preserve"> Although its online services continued to operate normally during the pandemic, its operations were impacted, particularly during lockdown, adding to pre-existing patent and trademark backlogs and delays in scheduling hearing dates. </w:t>
      </w:r>
      <w:proofErr w:type="spellStart"/>
      <w:r w:rsidRPr="00B93EE1">
        <w:t>IPONZ</w:t>
      </w:r>
      <w:proofErr w:type="spellEnd"/>
      <w:r w:rsidRPr="00B93EE1">
        <w:t xml:space="preserve"> has recruited additional staff and is trialling a new scheduling initiative to address these issues.</w:t>
      </w:r>
      <w:r w:rsidRPr="00B93EE1">
        <w:rPr>
          <w:bCs/>
          <w:vertAlign w:val="superscript"/>
        </w:rPr>
        <w:footnoteReference w:id="342"/>
      </w:r>
    </w:p>
    <w:p w14:paraId="4718BB89" w14:textId="5AD55A5C" w:rsidR="00120717" w:rsidRPr="00F64A35" w:rsidRDefault="00120717" w:rsidP="00FD7477">
      <w:pPr>
        <w:pStyle w:val="BodyText"/>
        <w:keepNext/>
        <w:keepLines/>
      </w:pPr>
      <w:proofErr w:type="spellStart"/>
      <w:r w:rsidRPr="00B93EE1">
        <w:lastRenderedPageBreak/>
        <w:t>IPONZ</w:t>
      </w:r>
      <w:proofErr w:type="spellEnd"/>
      <w:r w:rsidRPr="00B93EE1">
        <w:t xml:space="preserve"> has adapted its policies and procedures in light of pandemic-associated business disruptions. Three-month extensions were automatically applied to various deadlines falling from 15 April to 31 July 2020, including deadlines for requesting examination for patent applications, responses to patent or design examination or trademark compliance reports, and evidence filing. Since then, deadline extensions have been available by request and on a case-by-case basis. The Hearings Office has also temporarily permitted provisional filing of unsworn evidence and has suspended the requirement to submit hard copy bundles of authorities and documents.</w:t>
      </w:r>
      <w:r w:rsidRPr="00B93EE1">
        <w:rPr>
          <w:vertAlign w:val="superscript"/>
        </w:rPr>
        <w:footnoteReference w:id="343"/>
      </w:r>
    </w:p>
    <w:p w14:paraId="6B58A1FD" w14:textId="77777777" w:rsidR="00150FE8" w:rsidRDefault="00150FE8" w:rsidP="00FD7477">
      <w:pPr>
        <w:keepNext/>
        <w:keepLines/>
        <w:sectPr w:rsidR="00150FE8" w:rsidSect="003D7746">
          <w:footnotePr>
            <w:numRestart w:val="eachSect"/>
          </w:footnotePr>
          <w:pgSz w:w="11906" w:h="16838" w:code="9"/>
          <w:pgMar w:top="1701" w:right="1440" w:bottom="1440" w:left="1440" w:header="720" w:footer="720" w:gutter="0"/>
          <w:cols w:space="720"/>
          <w:docGrid w:linePitch="360"/>
        </w:sectPr>
      </w:pPr>
    </w:p>
    <w:p w14:paraId="4B514404" w14:textId="77777777" w:rsidR="00120717" w:rsidRPr="00F64A35" w:rsidRDefault="00120717" w:rsidP="00745CEA">
      <w:pPr>
        <w:pStyle w:val="Heading1"/>
      </w:pPr>
      <w:bookmarkStart w:id="213" w:name="_Toc97800188"/>
      <w:bookmarkEnd w:id="178"/>
      <w:bookmarkEnd w:id="187"/>
      <w:r w:rsidRPr="00B93EE1">
        <w:lastRenderedPageBreak/>
        <w:t>TRADE POLICIES BY SECTOR</w:t>
      </w:r>
      <w:bookmarkEnd w:id="213"/>
    </w:p>
    <w:p w14:paraId="07AB280C" w14:textId="77777777" w:rsidR="00120717" w:rsidRPr="00F64A35" w:rsidRDefault="00120717" w:rsidP="00E962FF">
      <w:pPr>
        <w:pStyle w:val="Heading2"/>
        <w:numPr>
          <w:ilvl w:val="1"/>
          <w:numId w:val="37"/>
        </w:numPr>
      </w:pPr>
      <w:bookmarkStart w:id="214" w:name="_Toc97800189"/>
      <w:r w:rsidRPr="00B93EE1">
        <w:t>Agriculture, Forestry, and Fisheries</w:t>
      </w:r>
      <w:bookmarkEnd w:id="214"/>
    </w:p>
    <w:p w14:paraId="4C2C0FA1" w14:textId="77777777" w:rsidR="00120717" w:rsidRPr="00F64A35" w:rsidRDefault="00120717" w:rsidP="00E962FF">
      <w:pPr>
        <w:pStyle w:val="Heading3"/>
        <w:numPr>
          <w:ilvl w:val="2"/>
          <w:numId w:val="38"/>
        </w:numPr>
      </w:pPr>
      <w:bookmarkStart w:id="215" w:name="_Toc97800190"/>
      <w:r w:rsidRPr="00B93EE1">
        <w:t>Overview</w:t>
      </w:r>
      <w:bookmarkEnd w:id="215"/>
    </w:p>
    <w:p w14:paraId="6E835F57" w14:textId="743AFB17" w:rsidR="00F3533F" w:rsidRPr="00F64A35" w:rsidRDefault="00F3533F" w:rsidP="00F3533F">
      <w:pPr>
        <w:pStyle w:val="BodyText"/>
      </w:pPr>
      <w:r w:rsidRPr="00B93EE1">
        <w:t xml:space="preserve">New Zealand is a net exporter of </w:t>
      </w:r>
      <w:proofErr w:type="spellStart"/>
      <w:r w:rsidRPr="00B93EE1">
        <w:t>agro</w:t>
      </w:r>
      <w:proofErr w:type="spellEnd"/>
      <w:r w:rsidRPr="00B93EE1">
        <w:t>-food products, notably dairy, meat, and wool, for which it is among the top global exporters. Agriculture products (WTO definition) accounted for 65.7% of total merchandise exports in 2021 (compared with 61.1% in 2015), and11.5% of merchandise imports in 2021 (11.6% in 2015) (</w:t>
      </w:r>
      <w:r w:rsidRPr="001A2CCA">
        <w:t>Tables A1.1 and A1.2</w:t>
      </w:r>
      <w:r w:rsidRPr="00B93EE1">
        <w:t>). Agricultural production dropped in 2015 and 2016 but has picked up since 2017, supported by good performance in sheep, beef, and dairy cattle farming (Table 4.1). The authorities note that this has been driven by strong consumer demand coupled with the global protein shortage. Its contribution to the GDP stood at 6.2% in</w:t>
      </w:r>
      <w:r w:rsidR="00150FE8">
        <w:t> </w:t>
      </w:r>
      <w:r w:rsidRPr="00B93EE1">
        <w:t>2019/20 (</w:t>
      </w:r>
      <w:r w:rsidRPr="001A2CCA">
        <w:t>Chart 1.1</w:t>
      </w:r>
      <w:r w:rsidRPr="00B93EE1">
        <w:t>). Sectoral employment, which is on a downward trend, accounted for 5.84% of total employment in 2019.</w:t>
      </w:r>
      <w:r w:rsidRPr="00B93EE1">
        <w:rPr>
          <w:rStyle w:val="FootnoteReference"/>
        </w:rPr>
        <w:footnoteReference w:id="344"/>
      </w:r>
    </w:p>
    <w:p w14:paraId="7974B686" w14:textId="73A75DB7" w:rsidR="00120717" w:rsidRPr="00B93EE1" w:rsidRDefault="00D37A97" w:rsidP="00D37A97">
      <w:pPr>
        <w:pStyle w:val="Caption"/>
      </w:pPr>
      <w:bookmarkStart w:id="216" w:name="_Toc97793405"/>
      <w:r>
        <w:t xml:space="preserve">Table </w:t>
      </w:r>
      <w:r w:rsidR="0012793B">
        <w:fldChar w:fldCharType="begin"/>
      </w:r>
      <w:r w:rsidR="0012793B">
        <w:instrText xml:space="preserve"> STYLEREF 1 \s </w:instrText>
      </w:r>
      <w:r w:rsidR="0012793B">
        <w:fldChar w:fldCharType="separate"/>
      </w:r>
      <w:r>
        <w:rPr>
          <w:noProof/>
        </w:rPr>
        <w:t>4</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1</w:t>
      </w:r>
      <w:r w:rsidR="0012793B">
        <w:rPr>
          <w:noProof/>
        </w:rPr>
        <w:fldChar w:fldCharType="end"/>
      </w:r>
      <w:r>
        <w:t xml:space="preserve"> </w:t>
      </w:r>
      <w:r w:rsidR="00120717" w:rsidRPr="00B93EE1">
        <w:t>Agriculture production by main categories, 2015-20</w:t>
      </w:r>
      <w:bookmarkEnd w:id="216"/>
    </w:p>
    <w:p w14:paraId="0D8B27DF" w14:textId="77777777" w:rsidR="00120717" w:rsidRPr="00B93EE1" w:rsidRDefault="00120717" w:rsidP="00BC7708">
      <w:pPr>
        <w:pStyle w:val="NoteText"/>
        <w:rPr>
          <w:lang w:eastAsia="en-GB"/>
        </w:rPr>
      </w:pPr>
      <w:r w:rsidRPr="00B93EE1">
        <w:rPr>
          <w:lang w:eastAsia="en-GB"/>
        </w:rPr>
        <w:t>(NZD million)</w:t>
      </w:r>
    </w:p>
    <w:tbl>
      <w:tblPr>
        <w:tblStyle w:val="WTOTable1"/>
        <w:tblW w:w="0" w:type="auto"/>
        <w:tblLayout w:type="fixed"/>
        <w:tblLook w:val="04A0" w:firstRow="1" w:lastRow="0" w:firstColumn="1" w:lastColumn="0" w:noHBand="0" w:noVBand="1"/>
      </w:tblPr>
      <w:tblGrid>
        <w:gridCol w:w="3539"/>
        <w:gridCol w:w="912"/>
        <w:gridCol w:w="913"/>
        <w:gridCol w:w="913"/>
        <w:gridCol w:w="913"/>
        <w:gridCol w:w="913"/>
        <w:gridCol w:w="913"/>
      </w:tblGrid>
      <w:tr w:rsidR="00120717" w:rsidRPr="00B93EE1" w14:paraId="76BE8059" w14:textId="77777777" w:rsidTr="00865796">
        <w:trPr>
          <w:cnfStyle w:val="100000000000" w:firstRow="1" w:lastRow="0" w:firstColumn="0" w:lastColumn="0" w:oddVBand="0" w:evenVBand="0" w:oddHBand="0" w:evenHBand="0" w:firstRowFirstColumn="0" w:firstRowLastColumn="0" w:lastRowFirstColumn="0" w:lastRowLastColumn="0"/>
        </w:trPr>
        <w:tc>
          <w:tcPr>
            <w:tcW w:w="3539" w:type="dxa"/>
            <w:noWrap/>
            <w:vAlign w:val="center"/>
            <w:hideMark/>
          </w:tcPr>
          <w:p w14:paraId="2E854CC9" w14:textId="77777777" w:rsidR="00120717" w:rsidRPr="00B93EE1" w:rsidRDefault="00120717" w:rsidP="00865796">
            <w:pPr>
              <w:jc w:val="left"/>
              <w:rPr>
                <w:bCs/>
                <w:sz w:val="16"/>
                <w:szCs w:val="16"/>
              </w:rPr>
            </w:pPr>
            <w:r w:rsidRPr="00B93EE1">
              <w:rPr>
                <w:bCs/>
                <w:sz w:val="16"/>
                <w:szCs w:val="16"/>
              </w:rPr>
              <w:t xml:space="preserve">Product categories </w:t>
            </w:r>
          </w:p>
        </w:tc>
        <w:tc>
          <w:tcPr>
            <w:tcW w:w="912" w:type="dxa"/>
            <w:noWrap/>
            <w:vAlign w:val="center"/>
            <w:hideMark/>
          </w:tcPr>
          <w:p w14:paraId="4ADF8C64" w14:textId="77777777" w:rsidR="00120717" w:rsidRPr="00B93EE1" w:rsidRDefault="00120717" w:rsidP="00865796">
            <w:pPr>
              <w:ind w:left="113"/>
              <w:jc w:val="right"/>
              <w:rPr>
                <w:sz w:val="16"/>
                <w:szCs w:val="16"/>
              </w:rPr>
            </w:pPr>
            <w:r w:rsidRPr="00B93EE1">
              <w:rPr>
                <w:sz w:val="16"/>
                <w:szCs w:val="16"/>
              </w:rPr>
              <w:t>2015</w:t>
            </w:r>
          </w:p>
        </w:tc>
        <w:tc>
          <w:tcPr>
            <w:tcW w:w="913" w:type="dxa"/>
            <w:noWrap/>
            <w:vAlign w:val="center"/>
            <w:hideMark/>
          </w:tcPr>
          <w:p w14:paraId="7D19BC34" w14:textId="77777777" w:rsidR="00120717" w:rsidRPr="00B93EE1" w:rsidRDefault="00120717" w:rsidP="00865796">
            <w:pPr>
              <w:ind w:left="113"/>
              <w:jc w:val="right"/>
              <w:rPr>
                <w:sz w:val="16"/>
                <w:szCs w:val="16"/>
              </w:rPr>
            </w:pPr>
            <w:r w:rsidRPr="00B93EE1">
              <w:rPr>
                <w:sz w:val="16"/>
                <w:szCs w:val="16"/>
              </w:rPr>
              <w:t>2016</w:t>
            </w:r>
          </w:p>
        </w:tc>
        <w:tc>
          <w:tcPr>
            <w:tcW w:w="913" w:type="dxa"/>
            <w:noWrap/>
            <w:vAlign w:val="center"/>
            <w:hideMark/>
          </w:tcPr>
          <w:p w14:paraId="5F561BF6" w14:textId="77777777" w:rsidR="00120717" w:rsidRPr="00B93EE1" w:rsidRDefault="00120717" w:rsidP="00865796">
            <w:pPr>
              <w:ind w:left="113"/>
              <w:jc w:val="right"/>
              <w:rPr>
                <w:sz w:val="16"/>
                <w:szCs w:val="16"/>
              </w:rPr>
            </w:pPr>
            <w:r w:rsidRPr="00B93EE1">
              <w:rPr>
                <w:sz w:val="16"/>
                <w:szCs w:val="16"/>
              </w:rPr>
              <w:t>2017</w:t>
            </w:r>
          </w:p>
        </w:tc>
        <w:tc>
          <w:tcPr>
            <w:tcW w:w="913" w:type="dxa"/>
            <w:noWrap/>
            <w:vAlign w:val="center"/>
            <w:hideMark/>
          </w:tcPr>
          <w:p w14:paraId="057B9CFD" w14:textId="77777777" w:rsidR="00120717" w:rsidRPr="00B93EE1" w:rsidRDefault="00120717" w:rsidP="00865796">
            <w:pPr>
              <w:ind w:left="113"/>
              <w:jc w:val="right"/>
              <w:rPr>
                <w:sz w:val="16"/>
                <w:szCs w:val="16"/>
              </w:rPr>
            </w:pPr>
            <w:r w:rsidRPr="00B93EE1">
              <w:rPr>
                <w:sz w:val="16"/>
                <w:szCs w:val="16"/>
              </w:rPr>
              <w:t>2018</w:t>
            </w:r>
          </w:p>
        </w:tc>
        <w:tc>
          <w:tcPr>
            <w:tcW w:w="913" w:type="dxa"/>
            <w:noWrap/>
            <w:vAlign w:val="center"/>
            <w:hideMark/>
          </w:tcPr>
          <w:p w14:paraId="7242499C" w14:textId="77777777" w:rsidR="00120717" w:rsidRPr="00B93EE1" w:rsidRDefault="00120717" w:rsidP="00865796">
            <w:pPr>
              <w:ind w:left="113"/>
              <w:jc w:val="right"/>
              <w:rPr>
                <w:sz w:val="16"/>
                <w:szCs w:val="16"/>
              </w:rPr>
            </w:pPr>
            <w:r w:rsidRPr="00B93EE1">
              <w:rPr>
                <w:sz w:val="16"/>
                <w:szCs w:val="16"/>
              </w:rPr>
              <w:t>2019</w:t>
            </w:r>
          </w:p>
        </w:tc>
        <w:tc>
          <w:tcPr>
            <w:tcW w:w="913" w:type="dxa"/>
            <w:noWrap/>
            <w:vAlign w:val="center"/>
            <w:hideMark/>
          </w:tcPr>
          <w:p w14:paraId="740ECC3F" w14:textId="77777777" w:rsidR="00120717" w:rsidRPr="00B93EE1" w:rsidRDefault="00120717" w:rsidP="00865796">
            <w:pPr>
              <w:ind w:left="113"/>
              <w:jc w:val="right"/>
              <w:rPr>
                <w:sz w:val="16"/>
                <w:szCs w:val="16"/>
              </w:rPr>
            </w:pPr>
            <w:r w:rsidRPr="00B93EE1">
              <w:rPr>
                <w:sz w:val="16"/>
                <w:szCs w:val="16"/>
              </w:rPr>
              <w:t>2020</w:t>
            </w:r>
          </w:p>
        </w:tc>
      </w:tr>
      <w:tr w:rsidR="00120717" w:rsidRPr="00B93EE1" w14:paraId="51629B35" w14:textId="77777777" w:rsidTr="00865796">
        <w:tc>
          <w:tcPr>
            <w:tcW w:w="3539" w:type="dxa"/>
            <w:noWrap/>
            <w:vAlign w:val="center"/>
            <w:hideMark/>
          </w:tcPr>
          <w:p w14:paraId="054ED317" w14:textId="77777777" w:rsidR="00120717" w:rsidRPr="00B93EE1" w:rsidRDefault="00120717" w:rsidP="00CD6209">
            <w:pPr>
              <w:jc w:val="left"/>
              <w:rPr>
                <w:sz w:val="16"/>
                <w:szCs w:val="16"/>
              </w:rPr>
            </w:pPr>
            <w:r w:rsidRPr="00B93EE1">
              <w:rPr>
                <w:sz w:val="16"/>
                <w:szCs w:val="16"/>
              </w:rPr>
              <w:t>Horticulture and fruit growing</w:t>
            </w:r>
          </w:p>
        </w:tc>
        <w:tc>
          <w:tcPr>
            <w:tcW w:w="912" w:type="dxa"/>
            <w:noWrap/>
            <w:vAlign w:val="center"/>
            <w:hideMark/>
          </w:tcPr>
          <w:p w14:paraId="3C04DD77" w14:textId="77777777" w:rsidR="00120717" w:rsidRPr="00B93EE1" w:rsidRDefault="00120717" w:rsidP="00CD6209">
            <w:pPr>
              <w:ind w:left="113"/>
              <w:jc w:val="right"/>
              <w:rPr>
                <w:sz w:val="16"/>
                <w:szCs w:val="16"/>
              </w:rPr>
            </w:pPr>
            <w:r w:rsidRPr="00B93EE1">
              <w:rPr>
                <w:sz w:val="16"/>
                <w:szCs w:val="16"/>
              </w:rPr>
              <w:t>1,627</w:t>
            </w:r>
          </w:p>
        </w:tc>
        <w:tc>
          <w:tcPr>
            <w:tcW w:w="913" w:type="dxa"/>
            <w:noWrap/>
            <w:vAlign w:val="center"/>
            <w:hideMark/>
          </w:tcPr>
          <w:p w14:paraId="21B0FC58" w14:textId="77777777" w:rsidR="00120717" w:rsidRPr="00B93EE1" w:rsidRDefault="00120717" w:rsidP="00CD6209">
            <w:pPr>
              <w:ind w:left="113"/>
              <w:jc w:val="right"/>
              <w:rPr>
                <w:sz w:val="16"/>
                <w:szCs w:val="16"/>
              </w:rPr>
            </w:pPr>
            <w:r w:rsidRPr="00B93EE1">
              <w:rPr>
                <w:sz w:val="16"/>
                <w:szCs w:val="16"/>
              </w:rPr>
              <w:t>1,833</w:t>
            </w:r>
          </w:p>
        </w:tc>
        <w:tc>
          <w:tcPr>
            <w:tcW w:w="913" w:type="dxa"/>
            <w:noWrap/>
            <w:vAlign w:val="center"/>
            <w:hideMark/>
          </w:tcPr>
          <w:p w14:paraId="1DCD74D7" w14:textId="77777777" w:rsidR="00120717" w:rsidRPr="00B93EE1" w:rsidRDefault="00120717" w:rsidP="00CD6209">
            <w:pPr>
              <w:ind w:left="113"/>
              <w:jc w:val="right"/>
              <w:rPr>
                <w:sz w:val="16"/>
                <w:szCs w:val="16"/>
              </w:rPr>
            </w:pPr>
            <w:r w:rsidRPr="00B93EE1">
              <w:rPr>
                <w:sz w:val="16"/>
                <w:szCs w:val="16"/>
              </w:rPr>
              <w:t>2,110</w:t>
            </w:r>
          </w:p>
        </w:tc>
        <w:tc>
          <w:tcPr>
            <w:tcW w:w="913" w:type="dxa"/>
            <w:noWrap/>
            <w:vAlign w:val="center"/>
            <w:hideMark/>
          </w:tcPr>
          <w:p w14:paraId="6E0830C6" w14:textId="77777777" w:rsidR="00120717" w:rsidRPr="00B93EE1" w:rsidRDefault="00120717" w:rsidP="00CD6209">
            <w:pPr>
              <w:ind w:left="113"/>
              <w:jc w:val="right"/>
              <w:rPr>
                <w:sz w:val="16"/>
                <w:szCs w:val="16"/>
              </w:rPr>
            </w:pPr>
            <w:r w:rsidRPr="00B93EE1">
              <w:rPr>
                <w:sz w:val="16"/>
                <w:szCs w:val="16"/>
              </w:rPr>
              <w:t>2,067</w:t>
            </w:r>
          </w:p>
        </w:tc>
        <w:tc>
          <w:tcPr>
            <w:tcW w:w="913" w:type="dxa"/>
            <w:noWrap/>
            <w:vAlign w:val="center"/>
            <w:hideMark/>
          </w:tcPr>
          <w:p w14:paraId="4B43FF82" w14:textId="77777777" w:rsidR="00120717" w:rsidRPr="00B93EE1" w:rsidRDefault="00120717" w:rsidP="00CD6209">
            <w:pPr>
              <w:ind w:left="113"/>
              <w:jc w:val="right"/>
              <w:rPr>
                <w:sz w:val="16"/>
                <w:szCs w:val="16"/>
              </w:rPr>
            </w:pPr>
            <w:r w:rsidRPr="00B93EE1">
              <w:rPr>
                <w:sz w:val="16"/>
                <w:szCs w:val="16"/>
              </w:rPr>
              <w:t>2,244</w:t>
            </w:r>
          </w:p>
        </w:tc>
        <w:tc>
          <w:tcPr>
            <w:tcW w:w="913" w:type="dxa"/>
            <w:noWrap/>
            <w:vAlign w:val="center"/>
            <w:hideMark/>
          </w:tcPr>
          <w:p w14:paraId="0AAE0781" w14:textId="77777777" w:rsidR="00120717" w:rsidRPr="00B93EE1" w:rsidRDefault="00120717" w:rsidP="00CD6209">
            <w:pPr>
              <w:ind w:left="113"/>
              <w:jc w:val="right"/>
              <w:rPr>
                <w:sz w:val="16"/>
                <w:szCs w:val="16"/>
              </w:rPr>
            </w:pPr>
            <w:r w:rsidRPr="00B93EE1">
              <w:rPr>
                <w:sz w:val="16"/>
                <w:szCs w:val="16"/>
              </w:rPr>
              <w:t>2,358</w:t>
            </w:r>
          </w:p>
        </w:tc>
      </w:tr>
      <w:tr w:rsidR="00120717" w:rsidRPr="00B93EE1" w14:paraId="09B416EA" w14:textId="77777777" w:rsidTr="00865796">
        <w:trPr>
          <w:cnfStyle w:val="000000010000" w:firstRow="0" w:lastRow="0" w:firstColumn="0" w:lastColumn="0" w:oddVBand="0" w:evenVBand="0" w:oddHBand="0" w:evenHBand="1" w:firstRowFirstColumn="0" w:firstRowLastColumn="0" w:lastRowFirstColumn="0" w:lastRowLastColumn="0"/>
        </w:trPr>
        <w:tc>
          <w:tcPr>
            <w:tcW w:w="3539" w:type="dxa"/>
            <w:noWrap/>
            <w:vAlign w:val="center"/>
            <w:hideMark/>
          </w:tcPr>
          <w:p w14:paraId="4EE914B3" w14:textId="77777777" w:rsidR="00120717" w:rsidRPr="00B93EE1" w:rsidRDefault="00120717" w:rsidP="00CD6209">
            <w:pPr>
              <w:jc w:val="left"/>
              <w:rPr>
                <w:sz w:val="16"/>
                <w:szCs w:val="16"/>
              </w:rPr>
            </w:pPr>
            <w:r w:rsidRPr="00B93EE1">
              <w:rPr>
                <w:sz w:val="16"/>
                <w:szCs w:val="16"/>
              </w:rPr>
              <w:t>Sheep, beef cattle and grain farming</w:t>
            </w:r>
          </w:p>
        </w:tc>
        <w:tc>
          <w:tcPr>
            <w:tcW w:w="912" w:type="dxa"/>
            <w:noWrap/>
            <w:vAlign w:val="center"/>
            <w:hideMark/>
          </w:tcPr>
          <w:p w14:paraId="5ECBE5B3" w14:textId="77777777" w:rsidR="00120717" w:rsidRPr="00B93EE1" w:rsidRDefault="00120717" w:rsidP="00CD6209">
            <w:pPr>
              <w:ind w:left="113"/>
              <w:jc w:val="right"/>
              <w:rPr>
                <w:sz w:val="16"/>
                <w:szCs w:val="16"/>
              </w:rPr>
            </w:pPr>
            <w:r w:rsidRPr="00B93EE1">
              <w:rPr>
                <w:sz w:val="16"/>
                <w:szCs w:val="16"/>
              </w:rPr>
              <w:t>2,988</w:t>
            </w:r>
          </w:p>
        </w:tc>
        <w:tc>
          <w:tcPr>
            <w:tcW w:w="913" w:type="dxa"/>
            <w:noWrap/>
            <w:vAlign w:val="center"/>
            <w:hideMark/>
          </w:tcPr>
          <w:p w14:paraId="4F37F997" w14:textId="77777777" w:rsidR="00120717" w:rsidRPr="00B93EE1" w:rsidRDefault="00120717" w:rsidP="00CD6209">
            <w:pPr>
              <w:ind w:left="113"/>
              <w:jc w:val="right"/>
              <w:rPr>
                <w:sz w:val="16"/>
                <w:szCs w:val="16"/>
              </w:rPr>
            </w:pPr>
            <w:r w:rsidRPr="00B93EE1">
              <w:rPr>
                <w:sz w:val="16"/>
                <w:szCs w:val="16"/>
              </w:rPr>
              <w:t>2,790</w:t>
            </w:r>
          </w:p>
        </w:tc>
        <w:tc>
          <w:tcPr>
            <w:tcW w:w="913" w:type="dxa"/>
            <w:noWrap/>
            <w:vAlign w:val="center"/>
            <w:hideMark/>
          </w:tcPr>
          <w:p w14:paraId="316EEF79" w14:textId="77777777" w:rsidR="00120717" w:rsidRPr="00B93EE1" w:rsidRDefault="00120717" w:rsidP="00CD6209">
            <w:pPr>
              <w:ind w:left="113"/>
              <w:jc w:val="right"/>
              <w:rPr>
                <w:sz w:val="16"/>
                <w:szCs w:val="16"/>
              </w:rPr>
            </w:pPr>
            <w:r w:rsidRPr="00B93EE1">
              <w:rPr>
                <w:sz w:val="16"/>
                <w:szCs w:val="16"/>
              </w:rPr>
              <w:t>3,001</w:t>
            </w:r>
          </w:p>
        </w:tc>
        <w:tc>
          <w:tcPr>
            <w:tcW w:w="913" w:type="dxa"/>
            <w:noWrap/>
            <w:vAlign w:val="center"/>
            <w:hideMark/>
          </w:tcPr>
          <w:p w14:paraId="07E5B1BA" w14:textId="77777777" w:rsidR="00120717" w:rsidRPr="00B93EE1" w:rsidRDefault="00120717" w:rsidP="00CD6209">
            <w:pPr>
              <w:ind w:left="113"/>
              <w:jc w:val="right"/>
              <w:rPr>
                <w:sz w:val="16"/>
                <w:szCs w:val="16"/>
              </w:rPr>
            </w:pPr>
            <w:r w:rsidRPr="00B93EE1">
              <w:rPr>
                <w:sz w:val="16"/>
                <w:szCs w:val="16"/>
              </w:rPr>
              <w:t>3,753</w:t>
            </w:r>
          </w:p>
        </w:tc>
        <w:tc>
          <w:tcPr>
            <w:tcW w:w="913" w:type="dxa"/>
            <w:noWrap/>
            <w:vAlign w:val="center"/>
            <w:hideMark/>
          </w:tcPr>
          <w:p w14:paraId="11DFEBF6" w14:textId="77777777" w:rsidR="00120717" w:rsidRPr="00B93EE1" w:rsidRDefault="00120717" w:rsidP="00CD6209">
            <w:pPr>
              <w:ind w:left="113"/>
              <w:jc w:val="right"/>
              <w:rPr>
                <w:sz w:val="16"/>
                <w:szCs w:val="16"/>
              </w:rPr>
            </w:pPr>
            <w:r w:rsidRPr="00B93EE1">
              <w:rPr>
                <w:sz w:val="16"/>
                <w:szCs w:val="16"/>
              </w:rPr>
              <w:t>3,868</w:t>
            </w:r>
          </w:p>
        </w:tc>
        <w:tc>
          <w:tcPr>
            <w:tcW w:w="913" w:type="dxa"/>
            <w:noWrap/>
            <w:vAlign w:val="center"/>
            <w:hideMark/>
          </w:tcPr>
          <w:p w14:paraId="566C0978" w14:textId="77777777" w:rsidR="00120717" w:rsidRPr="00B93EE1" w:rsidRDefault="00120717" w:rsidP="00CD6209">
            <w:pPr>
              <w:ind w:left="113"/>
              <w:jc w:val="right"/>
              <w:rPr>
                <w:sz w:val="16"/>
                <w:szCs w:val="16"/>
              </w:rPr>
            </w:pPr>
            <w:r w:rsidRPr="00B93EE1">
              <w:rPr>
                <w:sz w:val="16"/>
                <w:szCs w:val="16"/>
              </w:rPr>
              <w:t>3,921</w:t>
            </w:r>
          </w:p>
        </w:tc>
      </w:tr>
      <w:tr w:rsidR="00120717" w:rsidRPr="00B93EE1" w14:paraId="272B9B7A" w14:textId="77777777" w:rsidTr="00865796">
        <w:tc>
          <w:tcPr>
            <w:tcW w:w="3539" w:type="dxa"/>
            <w:noWrap/>
            <w:vAlign w:val="center"/>
            <w:hideMark/>
          </w:tcPr>
          <w:p w14:paraId="5CDFCC13" w14:textId="77777777" w:rsidR="00120717" w:rsidRPr="00B93EE1" w:rsidRDefault="00120717" w:rsidP="00CD6209">
            <w:pPr>
              <w:jc w:val="left"/>
              <w:rPr>
                <w:sz w:val="16"/>
                <w:szCs w:val="16"/>
              </w:rPr>
            </w:pPr>
            <w:r w:rsidRPr="00B93EE1">
              <w:rPr>
                <w:sz w:val="16"/>
                <w:szCs w:val="16"/>
              </w:rPr>
              <w:t>Dairy cattle farming</w:t>
            </w:r>
          </w:p>
        </w:tc>
        <w:tc>
          <w:tcPr>
            <w:tcW w:w="912" w:type="dxa"/>
            <w:noWrap/>
            <w:vAlign w:val="center"/>
            <w:hideMark/>
          </w:tcPr>
          <w:p w14:paraId="10A4D02B" w14:textId="77777777" w:rsidR="00120717" w:rsidRPr="00B93EE1" w:rsidRDefault="00120717" w:rsidP="00CD6209">
            <w:pPr>
              <w:ind w:left="113"/>
              <w:jc w:val="right"/>
              <w:rPr>
                <w:sz w:val="16"/>
                <w:szCs w:val="16"/>
              </w:rPr>
            </w:pPr>
            <w:r w:rsidRPr="00B93EE1">
              <w:rPr>
                <w:sz w:val="16"/>
                <w:szCs w:val="16"/>
              </w:rPr>
              <w:t>3,124</w:t>
            </w:r>
          </w:p>
        </w:tc>
        <w:tc>
          <w:tcPr>
            <w:tcW w:w="913" w:type="dxa"/>
            <w:noWrap/>
            <w:vAlign w:val="center"/>
            <w:hideMark/>
          </w:tcPr>
          <w:p w14:paraId="1DD2BE3E" w14:textId="77777777" w:rsidR="00120717" w:rsidRPr="00B93EE1" w:rsidRDefault="00120717" w:rsidP="00CD6209">
            <w:pPr>
              <w:ind w:left="113"/>
              <w:jc w:val="right"/>
              <w:rPr>
                <w:sz w:val="16"/>
                <w:szCs w:val="16"/>
              </w:rPr>
            </w:pPr>
            <w:r w:rsidRPr="00B93EE1">
              <w:rPr>
                <w:sz w:val="16"/>
                <w:szCs w:val="16"/>
              </w:rPr>
              <w:t>2,532</w:t>
            </w:r>
          </w:p>
        </w:tc>
        <w:tc>
          <w:tcPr>
            <w:tcW w:w="913" w:type="dxa"/>
            <w:noWrap/>
            <w:vAlign w:val="center"/>
            <w:hideMark/>
          </w:tcPr>
          <w:p w14:paraId="38D901FA" w14:textId="77777777" w:rsidR="00120717" w:rsidRPr="00B93EE1" w:rsidRDefault="00120717" w:rsidP="00CD6209">
            <w:pPr>
              <w:ind w:left="113"/>
              <w:jc w:val="right"/>
              <w:rPr>
                <w:sz w:val="16"/>
                <w:szCs w:val="16"/>
              </w:rPr>
            </w:pPr>
            <w:r w:rsidRPr="00B93EE1">
              <w:rPr>
                <w:sz w:val="16"/>
                <w:szCs w:val="16"/>
              </w:rPr>
              <w:t>5,436</w:t>
            </w:r>
          </w:p>
        </w:tc>
        <w:tc>
          <w:tcPr>
            <w:tcW w:w="913" w:type="dxa"/>
            <w:noWrap/>
            <w:vAlign w:val="center"/>
            <w:hideMark/>
          </w:tcPr>
          <w:p w14:paraId="782DA929" w14:textId="77777777" w:rsidR="00120717" w:rsidRPr="00B93EE1" w:rsidRDefault="00120717" w:rsidP="00CD6209">
            <w:pPr>
              <w:ind w:left="113"/>
              <w:jc w:val="right"/>
              <w:rPr>
                <w:sz w:val="16"/>
                <w:szCs w:val="16"/>
              </w:rPr>
            </w:pPr>
            <w:r w:rsidRPr="00B93EE1">
              <w:rPr>
                <w:sz w:val="16"/>
                <w:szCs w:val="16"/>
              </w:rPr>
              <w:t>6,156</w:t>
            </w:r>
          </w:p>
        </w:tc>
        <w:tc>
          <w:tcPr>
            <w:tcW w:w="913" w:type="dxa"/>
            <w:noWrap/>
            <w:vAlign w:val="center"/>
            <w:hideMark/>
          </w:tcPr>
          <w:p w14:paraId="0ABF85D4" w14:textId="77777777" w:rsidR="00120717" w:rsidRPr="00B93EE1" w:rsidRDefault="00120717" w:rsidP="00CD6209">
            <w:pPr>
              <w:ind w:left="113"/>
              <w:jc w:val="right"/>
              <w:rPr>
                <w:sz w:val="16"/>
                <w:szCs w:val="16"/>
              </w:rPr>
            </w:pPr>
            <w:r w:rsidRPr="00B93EE1">
              <w:rPr>
                <w:sz w:val="16"/>
                <w:szCs w:val="16"/>
              </w:rPr>
              <w:t>5,969</w:t>
            </w:r>
          </w:p>
        </w:tc>
        <w:tc>
          <w:tcPr>
            <w:tcW w:w="913" w:type="dxa"/>
            <w:noWrap/>
            <w:vAlign w:val="center"/>
            <w:hideMark/>
          </w:tcPr>
          <w:p w14:paraId="707DDA46" w14:textId="77777777" w:rsidR="00120717" w:rsidRPr="00B93EE1" w:rsidRDefault="00120717" w:rsidP="00CD6209">
            <w:pPr>
              <w:ind w:left="113"/>
              <w:jc w:val="right"/>
              <w:rPr>
                <w:sz w:val="16"/>
                <w:szCs w:val="16"/>
              </w:rPr>
            </w:pPr>
            <w:r w:rsidRPr="00B93EE1">
              <w:rPr>
                <w:sz w:val="16"/>
                <w:szCs w:val="16"/>
              </w:rPr>
              <w:t>6,930</w:t>
            </w:r>
          </w:p>
        </w:tc>
      </w:tr>
      <w:tr w:rsidR="00120717" w:rsidRPr="00B93EE1" w14:paraId="1688CB8A" w14:textId="77777777" w:rsidTr="00865796">
        <w:trPr>
          <w:cnfStyle w:val="000000010000" w:firstRow="0" w:lastRow="0" w:firstColumn="0" w:lastColumn="0" w:oddVBand="0" w:evenVBand="0" w:oddHBand="0" w:evenHBand="1" w:firstRowFirstColumn="0" w:firstRowLastColumn="0" w:lastRowFirstColumn="0" w:lastRowLastColumn="0"/>
        </w:trPr>
        <w:tc>
          <w:tcPr>
            <w:tcW w:w="3539" w:type="dxa"/>
            <w:noWrap/>
            <w:vAlign w:val="center"/>
            <w:hideMark/>
          </w:tcPr>
          <w:p w14:paraId="4EF86E76" w14:textId="77777777" w:rsidR="00120717" w:rsidRPr="00B93EE1" w:rsidRDefault="00120717" w:rsidP="00CD6209">
            <w:pPr>
              <w:jc w:val="left"/>
              <w:rPr>
                <w:sz w:val="16"/>
                <w:szCs w:val="16"/>
              </w:rPr>
            </w:pPr>
            <w:r w:rsidRPr="00B93EE1">
              <w:rPr>
                <w:sz w:val="16"/>
                <w:szCs w:val="16"/>
              </w:rPr>
              <w:t>Poultry, deer and other livestock farming</w:t>
            </w:r>
          </w:p>
        </w:tc>
        <w:tc>
          <w:tcPr>
            <w:tcW w:w="912" w:type="dxa"/>
            <w:noWrap/>
            <w:vAlign w:val="center"/>
            <w:hideMark/>
          </w:tcPr>
          <w:p w14:paraId="2BB28839" w14:textId="77777777" w:rsidR="00120717" w:rsidRPr="00B93EE1" w:rsidRDefault="00120717" w:rsidP="00CD6209">
            <w:pPr>
              <w:ind w:left="113"/>
              <w:jc w:val="right"/>
              <w:rPr>
                <w:sz w:val="16"/>
                <w:szCs w:val="16"/>
              </w:rPr>
            </w:pPr>
            <w:r w:rsidRPr="00B93EE1">
              <w:rPr>
                <w:sz w:val="16"/>
                <w:szCs w:val="16"/>
              </w:rPr>
              <w:t>500</w:t>
            </w:r>
          </w:p>
        </w:tc>
        <w:tc>
          <w:tcPr>
            <w:tcW w:w="913" w:type="dxa"/>
            <w:noWrap/>
            <w:vAlign w:val="center"/>
            <w:hideMark/>
          </w:tcPr>
          <w:p w14:paraId="7B20C700" w14:textId="77777777" w:rsidR="00120717" w:rsidRPr="00B93EE1" w:rsidRDefault="00120717" w:rsidP="00CD6209">
            <w:pPr>
              <w:ind w:left="113"/>
              <w:jc w:val="right"/>
              <w:rPr>
                <w:sz w:val="16"/>
                <w:szCs w:val="16"/>
              </w:rPr>
            </w:pPr>
            <w:r w:rsidRPr="00B93EE1">
              <w:rPr>
                <w:sz w:val="16"/>
                <w:szCs w:val="16"/>
              </w:rPr>
              <w:t>535</w:t>
            </w:r>
          </w:p>
        </w:tc>
        <w:tc>
          <w:tcPr>
            <w:tcW w:w="913" w:type="dxa"/>
            <w:noWrap/>
            <w:vAlign w:val="center"/>
            <w:hideMark/>
          </w:tcPr>
          <w:p w14:paraId="337F321A" w14:textId="77777777" w:rsidR="00120717" w:rsidRPr="00B93EE1" w:rsidRDefault="00120717" w:rsidP="00CD6209">
            <w:pPr>
              <w:ind w:left="113"/>
              <w:jc w:val="right"/>
              <w:rPr>
                <w:sz w:val="16"/>
                <w:szCs w:val="16"/>
              </w:rPr>
            </w:pPr>
            <w:r w:rsidRPr="00B93EE1">
              <w:rPr>
                <w:sz w:val="16"/>
                <w:szCs w:val="16"/>
              </w:rPr>
              <w:t>562</w:t>
            </w:r>
          </w:p>
        </w:tc>
        <w:tc>
          <w:tcPr>
            <w:tcW w:w="913" w:type="dxa"/>
            <w:noWrap/>
            <w:vAlign w:val="center"/>
            <w:hideMark/>
          </w:tcPr>
          <w:p w14:paraId="31B1E6E3" w14:textId="77777777" w:rsidR="00120717" w:rsidRPr="00B93EE1" w:rsidRDefault="00120717" w:rsidP="00CD6209">
            <w:pPr>
              <w:ind w:left="113"/>
              <w:jc w:val="right"/>
              <w:rPr>
                <w:sz w:val="16"/>
                <w:szCs w:val="16"/>
              </w:rPr>
            </w:pPr>
            <w:r w:rsidRPr="00B93EE1">
              <w:rPr>
                <w:sz w:val="16"/>
                <w:szCs w:val="16"/>
              </w:rPr>
              <w:t>634</w:t>
            </w:r>
          </w:p>
        </w:tc>
        <w:tc>
          <w:tcPr>
            <w:tcW w:w="913" w:type="dxa"/>
            <w:noWrap/>
            <w:vAlign w:val="center"/>
            <w:hideMark/>
          </w:tcPr>
          <w:p w14:paraId="10F36B55" w14:textId="77777777" w:rsidR="00120717" w:rsidRPr="00B93EE1" w:rsidRDefault="00120717" w:rsidP="00CD6209">
            <w:pPr>
              <w:ind w:left="113"/>
              <w:jc w:val="right"/>
              <w:rPr>
                <w:sz w:val="16"/>
                <w:szCs w:val="16"/>
              </w:rPr>
            </w:pPr>
            <w:r w:rsidRPr="00B93EE1">
              <w:rPr>
                <w:sz w:val="16"/>
                <w:szCs w:val="16"/>
              </w:rPr>
              <w:t>577</w:t>
            </w:r>
          </w:p>
        </w:tc>
        <w:tc>
          <w:tcPr>
            <w:tcW w:w="913" w:type="dxa"/>
            <w:noWrap/>
            <w:vAlign w:val="center"/>
            <w:hideMark/>
          </w:tcPr>
          <w:p w14:paraId="65695FB0" w14:textId="77777777" w:rsidR="00120717" w:rsidRPr="00B93EE1" w:rsidRDefault="00120717" w:rsidP="00CD6209">
            <w:pPr>
              <w:ind w:left="113"/>
              <w:jc w:val="right"/>
              <w:rPr>
                <w:sz w:val="16"/>
                <w:szCs w:val="16"/>
              </w:rPr>
            </w:pPr>
            <w:r w:rsidRPr="00B93EE1">
              <w:rPr>
                <w:sz w:val="16"/>
                <w:szCs w:val="16"/>
              </w:rPr>
              <w:t>597</w:t>
            </w:r>
          </w:p>
        </w:tc>
      </w:tr>
      <w:tr w:rsidR="00120717" w:rsidRPr="00B93EE1" w14:paraId="72FD3BBF" w14:textId="77777777" w:rsidTr="00865796">
        <w:tc>
          <w:tcPr>
            <w:tcW w:w="3539" w:type="dxa"/>
            <w:noWrap/>
            <w:vAlign w:val="center"/>
            <w:hideMark/>
          </w:tcPr>
          <w:p w14:paraId="18F5367E" w14:textId="77777777" w:rsidR="00120717" w:rsidRPr="00B93EE1" w:rsidRDefault="00120717" w:rsidP="00CD6209">
            <w:pPr>
              <w:jc w:val="left"/>
              <w:rPr>
                <w:sz w:val="16"/>
                <w:szCs w:val="16"/>
              </w:rPr>
            </w:pPr>
            <w:r w:rsidRPr="00B93EE1">
              <w:rPr>
                <w:sz w:val="16"/>
                <w:szCs w:val="16"/>
              </w:rPr>
              <w:t>Forestry and logging</w:t>
            </w:r>
          </w:p>
        </w:tc>
        <w:tc>
          <w:tcPr>
            <w:tcW w:w="912" w:type="dxa"/>
            <w:noWrap/>
            <w:vAlign w:val="center"/>
            <w:hideMark/>
          </w:tcPr>
          <w:p w14:paraId="12382C95" w14:textId="77777777" w:rsidR="00120717" w:rsidRPr="00B93EE1" w:rsidRDefault="00120717" w:rsidP="00CD6209">
            <w:pPr>
              <w:ind w:left="113"/>
              <w:jc w:val="right"/>
              <w:rPr>
                <w:sz w:val="16"/>
                <w:szCs w:val="16"/>
              </w:rPr>
            </w:pPr>
            <w:r w:rsidRPr="00B93EE1">
              <w:rPr>
                <w:sz w:val="16"/>
                <w:szCs w:val="16"/>
              </w:rPr>
              <w:t>1,294</w:t>
            </w:r>
          </w:p>
        </w:tc>
        <w:tc>
          <w:tcPr>
            <w:tcW w:w="913" w:type="dxa"/>
            <w:noWrap/>
            <w:vAlign w:val="center"/>
            <w:hideMark/>
          </w:tcPr>
          <w:p w14:paraId="10131B6F" w14:textId="77777777" w:rsidR="00120717" w:rsidRPr="00B93EE1" w:rsidRDefault="00120717" w:rsidP="00CD6209">
            <w:pPr>
              <w:ind w:left="113"/>
              <w:jc w:val="right"/>
              <w:rPr>
                <w:sz w:val="16"/>
                <w:szCs w:val="16"/>
              </w:rPr>
            </w:pPr>
            <w:r w:rsidRPr="00B93EE1">
              <w:rPr>
                <w:sz w:val="16"/>
                <w:szCs w:val="16"/>
              </w:rPr>
              <w:t>1,560</w:t>
            </w:r>
          </w:p>
        </w:tc>
        <w:tc>
          <w:tcPr>
            <w:tcW w:w="913" w:type="dxa"/>
            <w:noWrap/>
            <w:vAlign w:val="center"/>
            <w:hideMark/>
          </w:tcPr>
          <w:p w14:paraId="481039DB" w14:textId="77777777" w:rsidR="00120717" w:rsidRPr="00B93EE1" w:rsidRDefault="00120717" w:rsidP="00CD6209">
            <w:pPr>
              <w:ind w:left="113"/>
              <w:jc w:val="right"/>
              <w:rPr>
                <w:sz w:val="16"/>
                <w:szCs w:val="16"/>
              </w:rPr>
            </w:pPr>
            <w:r w:rsidRPr="00B93EE1">
              <w:rPr>
                <w:sz w:val="16"/>
                <w:szCs w:val="16"/>
              </w:rPr>
              <w:t>1,700</w:t>
            </w:r>
          </w:p>
        </w:tc>
        <w:tc>
          <w:tcPr>
            <w:tcW w:w="913" w:type="dxa"/>
            <w:noWrap/>
            <w:vAlign w:val="center"/>
            <w:hideMark/>
          </w:tcPr>
          <w:p w14:paraId="318859CE" w14:textId="77777777" w:rsidR="00120717" w:rsidRPr="00B93EE1" w:rsidRDefault="00120717" w:rsidP="00CD6209">
            <w:pPr>
              <w:ind w:left="113"/>
              <w:jc w:val="right"/>
              <w:rPr>
                <w:sz w:val="16"/>
                <w:szCs w:val="16"/>
              </w:rPr>
            </w:pPr>
            <w:r w:rsidRPr="00B93EE1">
              <w:rPr>
                <w:sz w:val="16"/>
                <w:szCs w:val="16"/>
              </w:rPr>
              <w:t>2,100</w:t>
            </w:r>
          </w:p>
        </w:tc>
        <w:tc>
          <w:tcPr>
            <w:tcW w:w="913" w:type="dxa"/>
            <w:noWrap/>
            <w:vAlign w:val="center"/>
            <w:hideMark/>
          </w:tcPr>
          <w:p w14:paraId="56EA061B" w14:textId="77777777" w:rsidR="00120717" w:rsidRPr="00B93EE1" w:rsidRDefault="00120717" w:rsidP="00CD6209">
            <w:pPr>
              <w:ind w:left="113"/>
              <w:jc w:val="right"/>
              <w:rPr>
                <w:sz w:val="16"/>
                <w:szCs w:val="16"/>
              </w:rPr>
            </w:pPr>
            <w:r w:rsidRPr="00B93EE1">
              <w:rPr>
                <w:sz w:val="16"/>
                <w:szCs w:val="16"/>
              </w:rPr>
              <w:t>2,051</w:t>
            </w:r>
          </w:p>
        </w:tc>
        <w:tc>
          <w:tcPr>
            <w:tcW w:w="913" w:type="dxa"/>
            <w:noWrap/>
            <w:vAlign w:val="center"/>
            <w:hideMark/>
          </w:tcPr>
          <w:p w14:paraId="6AF92494" w14:textId="77777777" w:rsidR="00120717" w:rsidRPr="00B93EE1" w:rsidRDefault="00120717" w:rsidP="00CD6209">
            <w:pPr>
              <w:ind w:left="113"/>
              <w:jc w:val="right"/>
              <w:rPr>
                <w:sz w:val="16"/>
                <w:szCs w:val="16"/>
              </w:rPr>
            </w:pPr>
            <w:r w:rsidRPr="00B93EE1">
              <w:rPr>
                <w:sz w:val="16"/>
                <w:szCs w:val="16"/>
              </w:rPr>
              <w:t>1,630</w:t>
            </w:r>
          </w:p>
        </w:tc>
      </w:tr>
      <w:tr w:rsidR="00120717" w:rsidRPr="00B93EE1" w14:paraId="438F033C" w14:textId="77777777" w:rsidTr="00865796">
        <w:trPr>
          <w:cnfStyle w:val="000000010000" w:firstRow="0" w:lastRow="0" w:firstColumn="0" w:lastColumn="0" w:oddVBand="0" w:evenVBand="0" w:oddHBand="0" w:evenHBand="1" w:firstRowFirstColumn="0" w:firstRowLastColumn="0" w:lastRowFirstColumn="0" w:lastRowLastColumn="0"/>
        </w:trPr>
        <w:tc>
          <w:tcPr>
            <w:tcW w:w="3539" w:type="dxa"/>
            <w:noWrap/>
            <w:vAlign w:val="center"/>
            <w:hideMark/>
          </w:tcPr>
          <w:p w14:paraId="77EA037F" w14:textId="77777777" w:rsidR="00120717" w:rsidRPr="00B93EE1" w:rsidRDefault="00120717" w:rsidP="00CD6209">
            <w:pPr>
              <w:jc w:val="left"/>
              <w:rPr>
                <w:sz w:val="16"/>
                <w:szCs w:val="16"/>
              </w:rPr>
            </w:pPr>
            <w:r w:rsidRPr="00B93EE1">
              <w:rPr>
                <w:sz w:val="16"/>
                <w:szCs w:val="16"/>
              </w:rPr>
              <w:t>Fishing and aquaculture</w:t>
            </w:r>
          </w:p>
        </w:tc>
        <w:tc>
          <w:tcPr>
            <w:tcW w:w="912" w:type="dxa"/>
            <w:noWrap/>
            <w:vAlign w:val="center"/>
            <w:hideMark/>
          </w:tcPr>
          <w:p w14:paraId="67951BBE" w14:textId="77777777" w:rsidR="00120717" w:rsidRPr="00B93EE1" w:rsidRDefault="00120717" w:rsidP="00CD6209">
            <w:pPr>
              <w:ind w:left="113"/>
              <w:jc w:val="right"/>
              <w:rPr>
                <w:sz w:val="16"/>
                <w:szCs w:val="16"/>
              </w:rPr>
            </w:pPr>
            <w:r w:rsidRPr="00B93EE1">
              <w:rPr>
                <w:sz w:val="16"/>
                <w:szCs w:val="16"/>
              </w:rPr>
              <w:t>355</w:t>
            </w:r>
          </w:p>
        </w:tc>
        <w:tc>
          <w:tcPr>
            <w:tcW w:w="913" w:type="dxa"/>
            <w:noWrap/>
            <w:vAlign w:val="center"/>
            <w:hideMark/>
          </w:tcPr>
          <w:p w14:paraId="5E56248F" w14:textId="77777777" w:rsidR="00120717" w:rsidRPr="00B93EE1" w:rsidRDefault="00120717" w:rsidP="00CD6209">
            <w:pPr>
              <w:ind w:left="113"/>
              <w:jc w:val="right"/>
              <w:rPr>
                <w:sz w:val="16"/>
                <w:szCs w:val="16"/>
              </w:rPr>
            </w:pPr>
            <w:r w:rsidRPr="00B93EE1">
              <w:rPr>
                <w:sz w:val="16"/>
                <w:szCs w:val="16"/>
              </w:rPr>
              <w:t>452</w:t>
            </w:r>
          </w:p>
        </w:tc>
        <w:tc>
          <w:tcPr>
            <w:tcW w:w="913" w:type="dxa"/>
            <w:noWrap/>
            <w:vAlign w:val="center"/>
            <w:hideMark/>
          </w:tcPr>
          <w:p w14:paraId="29C5684E" w14:textId="77777777" w:rsidR="00120717" w:rsidRPr="00B93EE1" w:rsidRDefault="00120717" w:rsidP="00CD6209">
            <w:pPr>
              <w:ind w:left="113"/>
              <w:jc w:val="right"/>
              <w:rPr>
                <w:sz w:val="16"/>
                <w:szCs w:val="16"/>
              </w:rPr>
            </w:pPr>
            <w:r w:rsidRPr="00B93EE1">
              <w:rPr>
                <w:sz w:val="16"/>
                <w:szCs w:val="16"/>
              </w:rPr>
              <w:t>451</w:t>
            </w:r>
          </w:p>
        </w:tc>
        <w:tc>
          <w:tcPr>
            <w:tcW w:w="913" w:type="dxa"/>
            <w:noWrap/>
            <w:vAlign w:val="center"/>
            <w:hideMark/>
          </w:tcPr>
          <w:p w14:paraId="153F3076" w14:textId="77777777" w:rsidR="00120717" w:rsidRPr="00B93EE1" w:rsidRDefault="00120717" w:rsidP="00CD6209">
            <w:pPr>
              <w:ind w:left="113"/>
              <w:jc w:val="right"/>
              <w:rPr>
                <w:sz w:val="16"/>
                <w:szCs w:val="16"/>
              </w:rPr>
            </w:pPr>
            <w:r w:rsidRPr="00B93EE1">
              <w:rPr>
                <w:sz w:val="16"/>
                <w:szCs w:val="16"/>
              </w:rPr>
              <w:t>473</w:t>
            </w:r>
          </w:p>
        </w:tc>
        <w:tc>
          <w:tcPr>
            <w:tcW w:w="913" w:type="dxa"/>
            <w:noWrap/>
            <w:vAlign w:val="center"/>
            <w:hideMark/>
          </w:tcPr>
          <w:p w14:paraId="3432D438" w14:textId="77777777" w:rsidR="00120717" w:rsidRPr="00B93EE1" w:rsidRDefault="00120717" w:rsidP="00CD6209">
            <w:pPr>
              <w:ind w:left="113"/>
              <w:jc w:val="right"/>
              <w:rPr>
                <w:sz w:val="16"/>
                <w:szCs w:val="16"/>
              </w:rPr>
            </w:pPr>
            <w:r w:rsidRPr="00B93EE1">
              <w:rPr>
                <w:sz w:val="16"/>
                <w:szCs w:val="16"/>
              </w:rPr>
              <w:t>506</w:t>
            </w:r>
          </w:p>
        </w:tc>
        <w:tc>
          <w:tcPr>
            <w:tcW w:w="913" w:type="dxa"/>
            <w:noWrap/>
            <w:vAlign w:val="center"/>
            <w:hideMark/>
          </w:tcPr>
          <w:p w14:paraId="1D042869" w14:textId="77777777" w:rsidR="00120717" w:rsidRPr="00B93EE1" w:rsidRDefault="00120717" w:rsidP="00CD6209">
            <w:pPr>
              <w:ind w:left="113"/>
              <w:jc w:val="right"/>
              <w:rPr>
                <w:sz w:val="16"/>
                <w:szCs w:val="16"/>
              </w:rPr>
            </w:pPr>
            <w:r w:rsidRPr="00B93EE1">
              <w:rPr>
                <w:sz w:val="16"/>
                <w:szCs w:val="16"/>
              </w:rPr>
              <w:t>547</w:t>
            </w:r>
          </w:p>
        </w:tc>
      </w:tr>
      <w:tr w:rsidR="00120717" w:rsidRPr="00B93EE1" w14:paraId="11AF33FA" w14:textId="77777777" w:rsidTr="00865796">
        <w:tc>
          <w:tcPr>
            <w:tcW w:w="3539" w:type="dxa"/>
            <w:noWrap/>
            <w:vAlign w:val="center"/>
            <w:hideMark/>
          </w:tcPr>
          <w:p w14:paraId="607BEC63" w14:textId="77777777" w:rsidR="00120717" w:rsidRPr="00B93EE1" w:rsidRDefault="00120717" w:rsidP="00CD6209">
            <w:pPr>
              <w:jc w:val="left"/>
              <w:rPr>
                <w:sz w:val="16"/>
                <w:szCs w:val="16"/>
              </w:rPr>
            </w:pPr>
            <w:r w:rsidRPr="00B93EE1">
              <w:rPr>
                <w:sz w:val="16"/>
                <w:szCs w:val="16"/>
              </w:rPr>
              <w:t>Total</w:t>
            </w:r>
          </w:p>
        </w:tc>
        <w:tc>
          <w:tcPr>
            <w:tcW w:w="912" w:type="dxa"/>
            <w:noWrap/>
            <w:vAlign w:val="center"/>
            <w:hideMark/>
          </w:tcPr>
          <w:p w14:paraId="0D2878C5" w14:textId="77777777" w:rsidR="00120717" w:rsidRPr="00B93EE1" w:rsidRDefault="00120717" w:rsidP="00CD6209">
            <w:pPr>
              <w:ind w:left="113"/>
              <w:jc w:val="right"/>
              <w:rPr>
                <w:sz w:val="16"/>
                <w:szCs w:val="16"/>
              </w:rPr>
            </w:pPr>
            <w:r w:rsidRPr="00B93EE1">
              <w:rPr>
                <w:sz w:val="16"/>
                <w:szCs w:val="16"/>
              </w:rPr>
              <w:t>9,888</w:t>
            </w:r>
          </w:p>
        </w:tc>
        <w:tc>
          <w:tcPr>
            <w:tcW w:w="913" w:type="dxa"/>
            <w:noWrap/>
            <w:vAlign w:val="center"/>
            <w:hideMark/>
          </w:tcPr>
          <w:p w14:paraId="64ADD922" w14:textId="77777777" w:rsidR="00120717" w:rsidRPr="00B93EE1" w:rsidRDefault="00120717" w:rsidP="00CD6209">
            <w:pPr>
              <w:ind w:left="113"/>
              <w:jc w:val="right"/>
              <w:rPr>
                <w:sz w:val="16"/>
                <w:szCs w:val="16"/>
              </w:rPr>
            </w:pPr>
            <w:r w:rsidRPr="00B93EE1">
              <w:rPr>
                <w:sz w:val="16"/>
                <w:szCs w:val="16"/>
              </w:rPr>
              <w:t>9,702</w:t>
            </w:r>
          </w:p>
        </w:tc>
        <w:tc>
          <w:tcPr>
            <w:tcW w:w="913" w:type="dxa"/>
            <w:noWrap/>
            <w:vAlign w:val="center"/>
            <w:hideMark/>
          </w:tcPr>
          <w:p w14:paraId="7C6FD6B3" w14:textId="77777777" w:rsidR="00120717" w:rsidRPr="00B93EE1" w:rsidRDefault="00120717" w:rsidP="00CD6209">
            <w:pPr>
              <w:ind w:left="113"/>
              <w:jc w:val="right"/>
              <w:rPr>
                <w:sz w:val="16"/>
                <w:szCs w:val="16"/>
              </w:rPr>
            </w:pPr>
            <w:r w:rsidRPr="00B93EE1">
              <w:rPr>
                <w:sz w:val="16"/>
                <w:szCs w:val="16"/>
              </w:rPr>
              <w:t>13,260</w:t>
            </w:r>
          </w:p>
        </w:tc>
        <w:tc>
          <w:tcPr>
            <w:tcW w:w="913" w:type="dxa"/>
            <w:noWrap/>
            <w:vAlign w:val="center"/>
            <w:hideMark/>
          </w:tcPr>
          <w:p w14:paraId="698C79B3" w14:textId="77777777" w:rsidR="00120717" w:rsidRPr="00B93EE1" w:rsidRDefault="00120717" w:rsidP="00CD6209">
            <w:pPr>
              <w:ind w:left="113"/>
              <w:jc w:val="right"/>
              <w:rPr>
                <w:sz w:val="16"/>
                <w:szCs w:val="16"/>
              </w:rPr>
            </w:pPr>
            <w:r w:rsidRPr="00B93EE1">
              <w:rPr>
                <w:sz w:val="16"/>
                <w:szCs w:val="16"/>
              </w:rPr>
              <w:t>15,183</w:t>
            </w:r>
          </w:p>
        </w:tc>
        <w:tc>
          <w:tcPr>
            <w:tcW w:w="913" w:type="dxa"/>
            <w:noWrap/>
            <w:vAlign w:val="center"/>
            <w:hideMark/>
          </w:tcPr>
          <w:p w14:paraId="4D25BECA" w14:textId="77777777" w:rsidR="00120717" w:rsidRPr="00B93EE1" w:rsidRDefault="00120717" w:rsidP="00CD6209">
            <w:pPr>
              <w:ind w:left="113"/>
              <w:jc w:val="right"/>
              <w:rPr>
                <w:sz w:val="16"/>
                <w:szCs w:val="16"/>
              </w:rPr>
            </w:pPr>
            <w:r w:rsidRPr="00B93EE1">
              <w:rPr>
                <w:sz w:val="16"/>
                <w:szCs w:val="16"/>
              </w:rPr>
              <w:t>15,215</w:t>
            </w:r>
          </w:p>
        </w:tc>
        <w:tc>
          <w:tcPr>
            <w:tcW w:w="913" w:type="dxa"/>
            <w:noWrap/>
            <w:vAlign w:val="center"/>
            <w:hideMark/>
          </w:tcPr>
          <w:p w14:paraId="3C152167" w14:textId="77777777" w:rsidR="00120717" w:rsidRPr="00B93EE1" w:rsidRDefault="00120717" w:rsidP="00CD6209">
            <w:pPr>
              <w:ind w:left="113"/>
              <w:jc w:val="right"/>
              <w:rPr>
                <w:sz w:val="16"/>
                <w:szCs w:val="16"/>
              </w:rPr>
            </w:pPr>
            <w:r w:rsidRPr="00B93EE1">
              <w:rPr>
                <w:sz w:val="16"/>
                <w:szCs w:val="16"/>
              </w:rPr>
              <w:t>15,983</w:t>
            </w:r>
          </w:p>
        </w:tc>
      </w:tr>
    </w:tbl>
    <w:p w14:paraId="0969C335" w14:textId="77777777" w:rsidR="00120717" w:rsidRPr="00B93EE1" w:rsidRDefault="00120717" w:rsidP="00FD7477">
      <w:pPr>
        <w:pStyle w:val="NoteText"/>
        <w:spacing w:before="120" w:after="240"/>
      </w:pPr>
      <w:r w:rsidRPr="00B93EE1">
        <w:t>Source:</w:t>
      </w:r>
      <w:r w:rsidRPr="00B93EE1">
        <w:tab/>
        <w:t>Information provided by the authorities.</w:t>
      </w:r>
    </w:p>
    <w:p w14:paraId="39728360" w14:textId="77777777" w:rsidR="00120717" w:rsidRPr="00F64A35" w:rsidRDefault="00120717" w:rsidP="008B54EB">
      <w:pPr>
        <w:pStyle w:val="BodyText"/>
      </w:pPr>
      <w:r w:rsidRPr="00B93EE1">
        <w:t>Over the period 2007-16, growth in New Zealand's total factor productivity in agriculture (0.7%) lagged behind the OECD average (1.6%). As a consequence, New Zealand's growth in agricultural output has relatively underperformed.</w:t>
      </w:r>
      <w:r w:rsidRPr="00B93EE1">
        <w:rPr>
          <w:rStyle w:val="FootnoteReference"/>
        </w:rPr>
        <w:footnoteReference w:id="345"/>
      </w:r>
      <w:r w:rsidRPr="00B93EE1">
        <w:t xml:space="preserve"> </w:t>
      </w:r>
      <w:r w:rsidRPr="00B93EE1">
        <w:rPr>
          <w:rFonts w:eastAsia="Calibri" w:cs="Times New Roman"/>
          <w:bCs/>
        </w:rPr>
        <w:t>There are a number of strategies aimed at increasing productivity, including "Fit for a Better World"</w:t>
      </w:r>
      <w:r w:rsidRPr="00B93EE1">
        <w:t>, which set actions to bring together opportunities that the Government considers will accelerate the productivity, sustainability, and inclusiveness of the primary sector.</w:t>
      </w:r>
      <w:r w:rsidRPr="00B93EE1">
        <w:rPr>
          <w:rStyle w:val="FootnoteReference"/>
        </w:rPr>
        <w:footnoteReference w:id="346"/>
      </w:r>
    </w:p>
    <w:p w14:paraId="7926B969" w14:textId="77777777" w:rsidR="00120717" w:rsidRPr="00F64A35" w:rsidRDefault="00120717" w:rsidP="008B54EB">
      <w:pPr>
        <w:pStyle w:val="BodyText"/>
      </w:pPr>
      <w:r w:rsidRPr="00B93EE1">
        <w:t>The Ministry for Primary Industries (</w:t>
      </w:r>
      <w:proofErr w:type="spellStart"/>
      <w:r w:rsidRPr="00B93EE1">
        <w:t>MPI</w:t>
      </w:r>
      <w:proofErr w:type="spellEnd"/>
      <w:r w:rsidRPr="00B93EE1">
        <w:t>) is the lead government agency for the food and fibre sectors.</w:t>
      </w:r>
      <w:r w:rsidRPr="00B93EE1">
        <w:rPr>
          <w:rStyle w:val="FootnoteReference"/>
        </w:rPr>
        <w:footnoteReference w:id="347"/>
      </w:r>
      <w:r w:rsidRPr="00B93EE1">
        <w:t xml:space="preserve"> In 2018, four new units were established within the </w:t>
      </w:r>
      <w:proofErr w:type="spellStart"/>
      <w:r w:rsidRPr="00B93EE1">
        <w:t>MPI</w:t>
      </w:r>
      <w:proofErr w:type="spellEnd"/>
      <w:r w:rsidRPr="00B93EE1">
        <w:t xml:space="preserve"> (Biosecurity New Zealand, Fisheries New Zealand, New Zealand Food Safety, and New Zealand Forest Service). Subsequently, another unit, Agriculture and Investment Services, was established in 2019. According to the authorities, the new units provide increased focus on some of the </w:t>
      </w:r>
      <w:proofErr w:type="spellStart"/>
      <w:r w:rsidRPr="00B93EE1">
        <w:t>MPI's</w:t>
      </w:r>
      <w:proofErr w:type="spellEnd"/>
      <w:r w:rsidRPr="00B93EE1">
        <w:t xml:space="preserve"> core responsibilities.</w:t>
      </w:r>
    </w:p>
    <w:p w14:paraId="5DA3F28B" w14:textId="77777777" w:rsidR="00120717" w:rsidRPr="00F64A35" w:rsidRDefault="00120717" w:rsidP="009B3BD1">
      <w:pPr>
        <w:pStyle w:val="Heading3"/>
      </w:pPr>
      <w:bookmarkStart w:id="218" w:name="_Toc97800191"/>
      <w:r w:rsidRPr="00B93EE1">
        <w:t>Border measures</w:t>
      </w:r>
      <w:bookmarkEnd w:id="218"/>
    </w:p>
    <w:p w14:paraId="759CB302" w14:textId="77777777" w:rsidR="00120717" w:rsidRPr="00F64A35" w:rsidRDefault="00120717" w:rsidP="00E962FF">
      <w:pPr>
        <w:pStyle w:val="Heading4"/>
        <w:numPr>
          <w:ilvl w:val="3"/>
          <w:numId w:val="39"/>
        </w:numPr>
      </w:pPr>
      <w:bookmarkStart w:id="219" w:name="_Toc97800192"/>
      <w:r w:rsidRPr="00B93EE1">
        <w:t>Import measures</w:t>
      </w:r>
      <w:bookmarkEnd w:id="219"/>
    </w:p>
    <w:p w14:paraId="178C3EE0" w14:textId="7349C0D5" w:rsidR="00120717" w:rsidRPr="00F64A35" w:rsidRDefault="00120717" w:rsidP="008B54EB">
      <w:pPr>
        <w:pStyle w:val="BodyText"/>
      </w:pPr>
      <w:r w:rsidRPr="00B93EE1">
        <w:t>Tariffs on agricultural products (WTO definition) are generally low, with an average of 1.8% in</w:t>
      </w:r>
      <w:r w:rsidR="00150FE8">
        <w:t> </w:t>
      </w:r>
      <w:r w:rsidRPr="00B93EE1">
        <w:t>2021, slightly up from 1.7% in 2014. Imports of agricultural products are subject to various other taxes, including the Goods and Services Tax (</w:t>
      </w:r>
      <w:r w:rsidRPr="001A2CCA">
        <w:t>Section 3.1.4</w:t>
      </w:r>
      <w:r w:rsidRPr="00B93EE1">
        <w:t>). New Zealand does not administer any tariff rate quotas despite the provisions in its WTO Schedule of Commitments, which allow it to do so for imports of certain agricultural products (apples, pears, and hop cones). The applied MFN tariffs on these products are zero.</w:t>
      </w:r>
      <w:r w:rsidRPr="00B93EE1">
        <w:rPr>
          <w:rStyle w:val="FootnoteReference"/>
        </w:rPr>
        <w:footnoteReference w:id="348"/>
      </w:r>
    </w:p>
    <w:p w14:paraId="7A54E79F" w14:textId="77777777" w:rsidR="00120717" w:rsidRPr="00F64A35" w:rsidRDefault="00120717" w:rsidP="008B54EB">
      <w:pPr>
        <w:pStyle w:val="BodyText"/>
      </w:pPr>
      <w:r w:rsidRPr="00B93EE1">
        <w:lastRenderedPageBreak/>
        <w:t>Under the Biosecurity Act 1993, animal and plant products (risk goods) cannot be imported into New Zealand unless an import health standard (</w:t>
      </w:r>
      <w:proofErr w:type="spellStart"/>
      <w:r w:rsidRPr="00B93EE1">
        <w:t>IHS</w:t>
      </w:r>
      <w:proofErr w:type="spellEnd"/>
      <w:r w:rsidRPr="00B93EE1">
        <w:t xml:space="preserve">) has been developed for that product. </w:t>
      </w:r>
      <w:proofErr w:type="spellStart"/>
      <w:r w:rsidRPr="00B93EE1">
        <w:t>IHSs</w:t>
      </w:r>
      <w:proofErr w:type="spellEnd"/>
      <w:r w:rsidRPr="00B93EE1">
        <w:t> state the requirements that have to be met before importing risk goods into New Zealand (</w:t>
      </w:r>
      <w:r w:rsidRPr="001A2CCA">
        <w:t>Section 3.3.4.3</w:t>
      </w:r>
      <w:r w:rsidRPr="00B93EE1">
        <w:t xml:space="preserve">). Regarding food products, the </w:t>
      </w:r>
      <w:proofErr w:type="spellStart"/>
      <w:r w:rsidRPr="00B93EE1">
        <w:t>MPI</w:t>
      </w:r>
      <w:proofErr w:type="spellEnd"/>
      <w:r w:rsidRPr="00B93EE1">
        <w:t xml:space="preserve"> publishes on a regular basis a Notice that sets out the safety requirements to be met when importing such products (</w:t>
      </w:r>
      <w:r w:rsidRPr="001A2CCA">
        <w:t>Section 3.3.4.2</w:t>
      </w:r>
      <w:r w:rsidRPr="00B93EE1">
        <w:t>).</w:t>
      </w:r>
    </w:p>
    <w:p w14:paraId="2646AD35" w14:textId="77777777" w:rsidR="00120717" w:rsidRPr="00F64A35" w:rsidRDefault="00120717" w:rsidP="008B54EB">
      <w:pPr>
        <w:pStyle w:val="BodyText"/>
      </w:pPr>
      <w:r w:rsidRPr="00B93EE1">
        <w:t>It was noted during the previous Review, that industry organizations, including those in agriculture, can, in accordance with the Commodity Levies Act 1990, collect producer levies on commodities to fund a range of industry good activities including market research, quality assurance, and plant and animal health protection. There were 32 commodity levy orders (in addition to 2 levy orders under the Wine Act) in force in 2021. With very few exceptions, levies may not be spent on commercial and trading activities. To collect levies, industry organizations must obtain a new mandate every six years through a referendum among producers. The Commodity Levies Act enables levies to be imposed on imports provided that the rate is equal to or less than that charged on the domestic product, those levy payers will derive benefits from the levy, and the levy order is not contrary to New Zealand's international obligations. No such levies have been imposed thus far.</w:t>
      </w:r>
    </w:p>
    <w:p w14:paraId="006F9A35" w14:textId="77777777" w:rsidR="00120717" w:rsidRPr="00F64A35" w:rsidRDefault="00120717" w:rsidP="00B93D8B">
      <w:pPr>
        <w:pStyle w:val="Heading4"/>
      </w:pPr>
      <w:bookmarkStart w:id="220" w:name="_Toc97800193"/>
      <w:r w:rsidRPr="00B93EE1">
        <w:t>Export measures</w:t>
      </w:r>
      <w:bookmarkEnd w:id="220"/>
    </w:p>
    <w:p w14:paraId="547B8F76" w14:textId="77777777" w:rsidR="00120717" w:rsidRPr="00F64A35" w:rsidRDefault="00120717" w:rsidP="008B54EB">
      <w:pPr>
        <w:pStyle w:val="BodyText"/>
      </w:pPr>
      <w:r w:rsidRPr="00B93EE1">
        <w:t xml:space="preserve">Various regulations are in place for exports of some agricultural products. The Animal Products Act 1999 requires registration of all exporters of any animal product with the </w:t>
      </w:r>
      <w:proofErr w:type="spellStart"/>
      <w:r w:rsidRPr="00B93EE1">
        <w:t>MPI</w:t>
      </w:r>
      <w:proofErr w:type="spellEnd"/>
      <w:r w:rsidRPr="00B93EE1">
        <w:t xml:space="preserve"> before they can export from New Zealand. New Zealand also continues to administer export licences for some meat products to accommodate tariff quotas imposed by some trading partners. Current quota allocation systems include EU sheep meat and goat meat quota, EU high-quality beef quota, US beef and veal quota, UK sheep meat and goat meat quota, and UK high-quality beef quota. The Meat Board is in charge of establishing and operating quota allocation systems for quota markets, in accordance with the Meat Board Act 2004.</w:t>
      </w:r>
    </w:p>
    <w:p w14:paraId="233B8227" w14:textId="77777777" w:rsidR="00120717" w:rsidRPr="00F64A35" w:rsidRDefault="00120717" w:rsidP="008B54EB">
      <w:pPr>
        <w:pStyle w:val="BodyText"/>
      </w:pPr>
      <w:r w:rsidRPr="00B93EE1">
        <w:t xml:space="preserve">Restrictions on dairy exports to specific tariff quota markets were phased out by the end of 2010, ending the Fonterra Co-operative Group's exclusive rights to export to designated restricted markets. Currently, the </w:t>
      </w:r>
      <w:proofErr w:type="spellStart"/>
      <w:r w:rsidRPr="00B93EE1">
        <w:t>MPI</w:t>
      </w:r>
      <w:proofErr w:type="spellEnd"/>
      <w:r w:rsidRPr="00B93EE1">
        <w:t xml:space="preserve"> allocates licences for export of prepared edible fats to Japan; milk powder to the Dominican Republic; butter, cheddar cheese, and cheese for processing to the European Union; and cheddar, low-fat, certain types of cow's milk cheese, and American-type cheeses to the United States.</w:t>
      </w:r>
      <w:r w:rsidRPr="00B93EE1">
        <w:rPr>
          <w:rStyle w:val="FootnoteReference"/>
        </w:rPr>
        <w:footnoteReference w:id="349"/>
      </w:r>
    </w:p>
    <w:p w14:paraId="3CFCE0C5" w14:textId="77777777" w:rsidR="00120717" w:rsidRPr="00F64A35" w:rsidRDefault="00120717" w:rsidP="008B54EB">
      <w:pPr>
        <w:pStyle w:val="BodyText"/>
      </w:pPr>
      <w:r w:rsidRPr="00B93EE1">
        <w:t>Export regulations continue to exist for kiwifruit, in accordance with the Kiwifruit Industry Restructuring Act (KIRA) 1999 and the Kiwifruit Export Regulations 1999. The relevant regulatory body, Kiwifruit New Zealand (</w:t>
      </w:r>
      <w:proofErr w:type="spellStart"/>
      <w:r w:rsidRPr="00B93EE1">
        <w:t>KNZ</w:t>
      </w:r>
      <w:proofErr w:type="spellEnd"/>
      <w:r w:rsidRPr="00B93EE1">
        <w:t>), grants an automatic, but not exclusive, right to Zespri to export kiwifruit to all markets other than Australia (Export Authorisation).</w:t>
      </w:r>
      <w:r w:rsidRPr="00B93EE1">
        <w:rPr>
          <w:rStyle w:val="FootnoteReference"/>
        </w:rPr>
        <w:footnoteReference w:id="350"/>
      </w:r>
      <w:r w:rsidRPr="00B93EE1">
        <w:t xml:space="preserve"> All other traders wishing to export kiwifruit to markets other than Australia must get prior approval from </w:t>
      </w:r>
      <w:proofErr w:type="spellStart"/>
      <w:r w:rsidRPr="00B93EE1">
        <w:t>KNZ</w:t>
      </w:r>
      <w:proofErr w:type="spellEnd"/>
      <w:r w:rsidRPr="00B93EE1">
        <w:t>. As per New Zealand's latest notification pursuant to Article XVII:4(A) of the GATT 1994 and Paragraph 1 of the Understanding on the Interpretation of Article XVII, Zespri exports a large share of New Zealand's total exports of kiwifruit.</w:t>
      </w:r>
      <w:r w:rsidRPr="00B93EE1">
        <w:rPr>
          <w:rStyle w:val="FootnoteReference"/>
        </w:rPr>
        <w:footnoteReference w:id="351"/>
      </w:r>
    </w:p>
    <w:p w14:paraId="4C47ADCC" w14:textId="77777777" w:rsidR="00120717" w:rsidRPr="00F64A35" w:rsidRDefault="00120717" w:rsidP="008B54EB">
      <w:pPr>
        <w:pStyle w:val="BodyText"/>
      </w:pPr>
      <w:r w:rsidRPr="00B93EE1">
        <w:t xml:space="preserve">The 2017 amendments to the Kiwifruit Export Regulations 1999 allow Zespri shareholders to set rules around maximum shareholding and eligibility for dividend payments, clarify the activities Zespri can undertake as a matter of core business, and enhance the independence and transparency of the industry regulator, </w:t>
      </w:r>
      <w:proofErr w:type="spellStart"/>
      <w:r w:rsidRPr="00B93EE1">
        <w:t>KNZ</w:t>
      </w:r>
      <w:proofErr w:type="spellEnd"/>
      <w:r w:rsidRPr="00B93EE1">
        <w:t xml:space="preserve">. The </w:t>
      </w:r>
      <w:r w:rsidRPr="00B93EE1">
        <w:rPr>
          <w:szCs w:val="20"/>
        </w:rPr>
        <w:t xml:space="preserve">Export Authorisation is reviewed annually by </w:t>
      </w:r>
      <w:proofErr w:type="spellStart"/>
      <w:r w:rsidRPr="00B93EE1">
        <w:rPr>
          <w:szCs w:val="20"/>
        </w:rPr>
        <w:t>KNZ</w:t>
      </w:r>
      <w:proofErr w:type="spellEnd"/>
      <w:r w:rsidRPr="00B93EE1">
        <w:rPr>
          <w:szCs w:val="20"/>
        </w:rPr>
        <w:t xml:space="preserve">, and changes are advised to Zespri in January each year. </w:t>
      </w:r>
      <w:r w:rsidRPr="00B93EE1">
        <w:t xml:space="preserve">Other roles of </w:t>
      </w:r>
      <w:proofErr w:type="spellStart"/>
      <w:r w:rsidRPr="00B93EE1">
        <w:t>KNZ</w:t>
      </w:r>
      <w:proofErr w:type="spellEnd"/>
      <w:r w:rsidRPr="00B93EE1">
        <w:t xml:space="preserve"> include monitoring and enforcing Zespri's compliance with </w:t>
      </w:r>
      <w:r w:rsidRPr="00B93EE1">
        <w:rPr>
          <w:szCs w:val="20"/>
        </w:rPr>
        <w:t>the Kiwifruit Export Regulations 1999</w:t>
      </w:r>
      <w:r w:rsidRPr="00B93EE1">
        <w:t xml:space="preserve">, including the measures that require Zespri to be transparent, and to not discriminate among kiwifruit growers. </w:t>
      </w:r>
      <w:proofErr w:type="spellStart"/>
      <w:r w:rsidRPr="00B93EE1">
        <w:t>KNZ</w:t>
      </w:r>
      <w:proofErr w:type="spellEnd"/>
      <w:r w:rsidRPr="00B93EE1">
        <w:t xml:space="preserve"> also ensures that other traders export kiwifruit in collaboration with Zespri (collaborative marketing)</w:t>
      </w:r>
      <w:r w:rsidRPr="00B93EE1">
        <w:rPr>
          <w:rStyle w:val="FootnoteReference"/>
        </w:rPr>
        <w:footnoteReference w:id="352"/>
      </w:r>
      <w:r w:rsidRPr="00B93EE1">
        <w:t>, with a view to increasing the overall benefits to New Zealand kiwifruit suppliers.</w:t>
      </w:r>
    </w:p>
    <w:p w14:paraId="74E348D7" w14:textId="77777777" w:rsidR="00120717" w:rsidRPr="00F64A35" w:rsidRDefault="00120717" w:rsidP="008B54EB">
      <w:pPr>
        <w:pStyle w:val="BodyText"/>
      </w:pPr>
      <w:r w:rsidRPr="00B93EE1">
        <w:lastRenderedPageBreak/>
        <w:t>Regarding exports of horticultural products, the Horticulture Export Authority Act 1987 provides a voluntary framework in which horticultural Product Groups can freely participate. Under the framework, the Horticulture Export Authority (</w:t>
      </w:r>
      <w:proofErr w:type="spellStart"/>
      <w:r w:rsidRPr="00B93EE1">
        <w:t>HEA</w:t>
      </w:r>
      <w:proofErr w:type="spellEnd"/>
      <w:r w:rsidRPr="00B93EE1">
        <w:t xml:space="preserve">) serves as a statutory body providing a formal structure for cooperation and coordination. This takes the form of an export licensing system for Product Groups that choose to come under the </w:t>
      </w:r>
      <w:proofErr w:type="spellStart"/>
      <w:r w:rsidRPr="00B93EE1">
        <w:t>HEA</w:t>
      </w:r>
      <w:proofErr w:type="spellEnd"/>
      <w:r w:rsidRPr="00B93EE1">
        <w:t xml:space="preserve"> structure. Each Group has the responsibility to develop an Export Marketing Strategy (EMS), i.e. an exporter wanting to export a product must comply to obtain a licence. The EMS is initially developed by the Product Group. The </w:t>
      </w:r>
      <w:proofErr w:type="spellStart"/>
      <w:r w:rsidRPr="00B93EE1">
        <w:t>HEA</w:t>
      </w:r>
      <w:proofErr w:type="spellEnd"/>
      <w:r w:rsidRPr="00B93EE1">
        <w:t xml:space="preserve"> then provides guidance in the formulation, approval, and enforcement of EMS requirements. Enforcement of EMS requirements on growers and packhouses is the responsibility of the Product Group, while enforcement on exporters is done by the </w:t>
      </w:r>
      <w:proofErr w:type="spellStart"/>
      <w:r w:rsidRPr="00B93EE1">
        <w:t>HEA</w:t>
      </w:r>
      <w:proofErr w:type="spellEnd"/>
      <w:r w:rsidRPr="00B93EE1">
        <w:t xml:space="preserve"> via the licence mechanism. As of 30 September 2020, a total of 76 export licences issued by the </w:t>
      </w:r>
      <w:proofErr w:type="spellStart"/>
      <w:r w:rsidRPr="00B93EE1">
        <w:t>HEA</w:t>
      </w:r>
      <w:proofErr w:type="spellEnd"/>
      <w:r w:rsidRPr="00B93EE1">
        <w:t xml:space="preserve"> were in operation, held by 55 different entities across 10 Product Groups.</w:t>
      </w:r>
      <w:r w:rsidRPr="00B93EE1">
        <w:rPr>
          <w:rStyle w:val="FootnoteReference"/>
        </w:rPr>
        <w:footnoteReference w:id="353"/>
      </w:r>
      <w:r w:rsidRPr="00B93EE1">
        <w:t xml:space="preserve"> Approximately 4.5% of total fruit and vegetable exports by value fall under the </w:t>
      </w:r>
      <w:proofErr w:type="spellStart"/>
      <w:r w:rsidRPr="00B93EE1">
        <w:t>HEA</w:t>
      </w:r>
      <w:proofErr w:type="spellEnd"/>
      <w:r w:rsidRPr="00B93EE1">
        <w:t xml:space="preserve"> Act. Exports of horticulture products that are outside the scope of the </w:t>
      </w:r>
      <w:proofErr w:type="spellStart"/>
      <w:r w:rsidRPr="00B93EE1">
        <w:t>HEA</w:t>
      </w:r>
      <w:proofErr w:type="spellEnd"/>
      <w:r w:rsidRPr="00B93EE1">
        <w:t xml:space="preserve"> and the Kiwifruit Export Regulations and that are not subject to specific export control legislation still have to meet relevant New Zealand domestic legislative requirements as well relevant requirements of importing parties.</w:t>
      </w:r>
    </w:p>
    <w:p w14:paraId="4E6E6939" w14:textId="77777777" w:rsidR="00120717" w:rsidRPr="00F64A35" w:rsidRDefault="00120717" w:rsidP="008B54EB">
      <w:pPr>
        <w:pStyle w:val="BodyText"/>
      </w:pPr>
      <w:r w:rsidRPr="00B93EE1">
        <w:t xml:space="preserve">The </w:t>
      </w:r>
      <w:proofErr w:type="spellStart"/>
      <w:r w:rsidRPr="00B93EE1">
        <w:t>HEA</w:t>
      </w:r>
      <w:proofErr w:type="spellEnd"/>
      <w:r w:rsidRPr="00B93EE1">
        <w:t xml:space="preserve"> is funded by its industry sector participants via statutory levies on Product Groups and fees on export licence holders (application fees and annual monitoring and compliance fees). During the review of the </w:t>
      </w:r>
      <w:proofErr w:type="spellStart"/>
      <w:r w:rsidRPr="00B93EE1">
        <w:t>HEA</w:t>
      </w:r>
      <w:proofErr w:type="spellEnd"/>
      <w:r w:rsidRPr="00B93EE1">
        <w:t xml:space="preserve"> Act in 2017, amendments were made, including introducing some flexibility in the exporter licensing regime by introducing multiple tiers of licence and by updating the fees and levies paid to the </w:t>
      </w:r>
      <w:proofErr w:type="spellStart"/>
      <w:r w:rsidRPr="00B93EE1">
        <w:t>HEA</w:t>
      </w:r>
      <w:proofErr w:type="spellEnd"/>
      <w:r w:rsidRPr="00B93EE1">
        <w:t>, which had not been reviewed for over a decade.</w:t>
      </w:r>
    </w:p>
    <w:p w14:paraId="7CC79921" w14:textId="77777777" w:rsidR="00120717" w:rsidRPr="00F64A35" w:rsidRDefault="00120717" w:rsidP="008B54EB">
      <w:pPr>
        <w:pStyle w:val="BodyText"/>
      </w:pPr>
      <w:r w:rsidRPr="00B93EE1">
        <w:t>New Zealand does not apply export subsidies for agricultural products.</w:t>
      </w:r>
      <w:r w:rsidRPr="00B93EE1">
        <w:rPr>
          <w:rStyle w:val="FootnoteReference"/>
        </w:rPr>
        <w:footnoteReference w:id="354"/>
      </w:r>
    </w:p>
    <w:p w14:paraId="104A76A2" w14:textId="77777777" w:rsidR="00120717" w:rsidRPr="00F64A35" w:rsidRDefault="00120717" w:rsidP="007850C0">
      <w:pPr>
        <w:pStyle w:val="Heading3"/>
      </w:pPr>
      <w:bookmarkStart w:id="221" w:name="_Toc97800194"/>
      <w:r w:rsidRPr="00B93EE1">
        <w:t>Domestic support</w:t>
      </w:r>
      <w:bookmarkEnd w:id="221"/>
    </w:p>
    <w:p w14:paraId="13B5F135" w14:textId="77777777" w:rsidR="00120717" w:rsidRPr="00F64A35" w:rsidRDefault="00120717" w:rsidP="008B54EB">
      <w:pPr>
        <w:pStyle w:val="BodyText"/>
      </w:pPr>
      <w:r w:rsidRPr="00B93EE1">
        <w:t>New Zealand has a highly market-oriented agricultural sector. Support to agricultural producers is the lowest among OECD countries</w:t>
      </w:r>
      <w:r w:rsidRPr="00B93EE1">
        <w:rPr>
          <w:rStyle w:val="FootnoteReference"/>
        </w:rPr>
        <w:footnoteReference w:id="355"/>
      </w:r>
      <w:r w:rsidRPr="00B93EE1">
        <w:t>, and accounted for an average of 0.7% of farmer receipts and 0.3% of the country's GDP during 2018-20.</w:t>
      </w:r>
      <w:r w:rsidRPr="00B93EE1">
        <w:rPr>
          <w:rStyle w:val="FootnoteReference"/>
        </w:rPr>
        <w:footnoteReference w:id="356"/>
      </w:r>
      <w:r w:rsidRPr="00B93EE1">
        <w:t xml:space="preserve"> New Zealand submitted its most recent domestic support notifications in 2021, covering financial year 2019/2020, and are provided for pest and disease control, investments in the country's agricultural knowledge and innovation system, environmental programmes, relief payments, and infrastructural services.</w:t>
      </w:r>
      <w:r w:rsidRPr="00B93EE1">
        <w:rPr>
          <w:rStyle w:val="FootnoteReference"/>
        </w:rPr>
        <w:footnoteReference w:id="357"/>
      </w:r>
    </w:p>
    <w:p w14:paraId="45F33540" w14:textId="77777777" w:rsidR="00120717" w:rsidRPr="00F64A35" w:rsidRDefault="00120717" w:rsidP="00DB56D8">
      <w:pPr>
        <w:pStyle w:val="BodyText"/>
      </w:pPr>
      <w:r w:rsidRPr="00B93EE1">
        <w:t>In addition, as part of New Zealand's NZD 50 billion COVID</w:t>
      </w:r>
      <w:r w:rsidRPr="00B93EE1">
        <w:noBreakHyphen/>
        <w:t>19 Response and Recovery Fund (</w:t>
      </w:r>
      <w:proofErr w:type="spellStart"/>
      <w:r w:rsidRPr="00B93EE1">
        <w:t>CRRF</w:t>
      </w:r>
      <w:proofErr w:type="spellEnd"/>
      <w:r w:rsidRPr="00B93EE1">
        <w:t xml:space="preserve">), NZD 200.2 million was allocated to projects in, </w:t>
      </w:r>
      <w:r w:rsidRPr="00B93EE1">
        <w:rPr>
          <w:i/>
          <w:iCs/>
        </w:rPr>
        <w:t>inter alia</w:t>
      </w:r>
      <w:r w:rsidRPr="00B93EE1">
        <w:t>, training services, research, and pest and disease control.</w:t>
      </w:r>
      <w:r w:rsidRPr="00B93EE1">
        <w:rPr>
          <w:rStyle w:val="FootnoteReference"/>
        </w:rPr>
        <w:footnoteReference w:id="358"/>
      </w:r>
    </w:p>
    <w:p w14:paraId="1E4EBE88" w14:textId="77777777" w:rsidR="00120717" w:rsidRPr="00F64A35" w:rsidRDefault="00120717" w:rsidP="007850C0">
      <w:pPr>
        <w:pStyle w:val="Heading3"/>
      </w:pPr>
      <w:bookmarkStart w:id="222" w:name="_Toc97800195"/>
      <w:r w:rsidRPr="00B93EE1">
        <w:t>Dairy industry</w:t>
      </w:r>
      <w:bookmarkEnd w:id="222"/>
    </w:p>
    <w:p w14:paraId="4DF0188F" w14:textId="77777777" w:rsidR="00120717" w:rsidRPr="00F64A35" w:rsidRDefault="00120717" w:rsidP="008B54EB">
      <w:pPr>
        <w:pStyle w:val="BodyText"/>
      </w:pPr>
      <w:r w:rsidRPr="00B93EE1">
        <w:t>With exports of approximately NZD 17 billion per year (25% of total exports) and accounting for around 3% of GDP, the dairy industry represents a significant share of the economy. Important reforms were undertaken from 2009 to 2012, as highlighted in the previous Review.</w:t>
      </w:r>
      <w:r w:rsidRPr="00B93EE1">
        <w:rPr>
          <w:vertAlign w:val="superscript"/>
        </w:rPr>
        <w:footnoteReference w:id="359"/>
      </w:r>
      <w:r w:rsidRPr="00B93EE1">
        <w:t xml:space="preserve"> During the current review period, the dairy industry continued to undergo reforms with the aim of ensuring transparency and efficiency. As reported previously, the Dairy Industry Restructuring Act (DIRA) allowed the creation of Fonterra Co-operative Group Limited. The Act has provisions to promote the efficient operation of dairy markets in New Zealand by regulating the activities of Fonterra to ensure New Zealand markets for dairy goods and services are contestable. It also provides for the allocation of export certificates for dairy quotas imposed by importing countries (Section 4.1.2.2). In </w:t>
      </w:r>
      <w:hyperlink r:id="rId41" w:anchor="DLM7518505" w:history="1">
        <w:r w:rsidRPr="00B93EE1">
          <w:t>February 2018</w:t>
        </w:r>
      </w:hyperlink>
      <w:r w:rsidRPr="00B93EE1">
        <w:t xml:space="preserve">, the DIRA was amended following a recommendation of the Commerce Commission that the regulatory obligations on Fonterra should not expire. The amendments retain the DIRA </w:t>
      </w:r>
      <w:r w:rsidRPr="00B93EE1">
        <w:lastRenderedPageBreak/>
        <w:t>regime for the time being, by preventing it from expiring and requiring a review of the need for the DIRA legislation.</w:t>
      </w:r>
    </w:p>
    <w:p w14:paraId="0EEB05C9" w14:textId="77777777" w:rsidR="00120717" w:rsidRPr="00F64A35" w:rsidRDefault="00120717" w:rsidP="008B54EB">
      <w:pPr>
        <w:pStyle w:val="BodyText"/>
      </w:pPr>
      <w:r w:rsidRPr="00B93EE1">
        <w:t>On 6 August 2020, following a comprehensive review of the DIRA and consultation with the dairy sector, the DIRA was amended to reduce some of the regulatory requirements on Fonterra, including by allowing it the discretion to accept or decline applications from new or returning farmers to become shareholders; clarifying that Fonterra can price differentiate on the basis of various on</w:t>
      </w:r>
      <w:r w:rsidRPr="00B93EE1">
        <w:noBreakHyphen/>
        <w:t>farm performance matters, and refuse milk supply in circumstances where milk is non-compliant; and supporting and encouraging better environmental performance of the dairy industry. The requirement for Fonterra to supply a limited quantity of milk to competing processors in order for them to get started has also been further reduced.</w:t>
      </w:r>
    </w:p>
    <w:p w14:paraId="6949AFB5" w14:textId="77777777" w:rsidR="00120717" w:rsidRPr="00F64A35" w:rsidRDefault="00120717" w:rsidP="007B2099">
      <w:pPr>
        <w:pStyle w:val="Heading3"/>
      </w:pPr>
      <w:bookmarkStart w:id="223" w:name="_Toc97800196"/>
      <w:r w:rsidRPr="00B93EE1">
        <w:t>Fisheries</w:t>
      </w:r>
      <w:bookmarkEnd w:id="223"/>
    </w:p>
    <w:p w14:paraId="4AE69BBA" w14:textId="77777777" w:rsidR="00120717" w:rsidRPr="00F64A35" w:rsidRDefault="00120717" w:rsidP="008B54EB">
      <w:pPr>
        <w:pStyle w:val="BodyText"/>
      </w:pPr>
      <w:r w:rsidRPr="00B93EE1">
        <w:rPr>
          <w:shd w:val="clear" w:color="auto" w:fill="FFFFFF"/>
        </w:rPr>
        <w:t>New Zealand's fisheries industry has an important socio-economic and strategic importance. Commercial fishing (including aquaculture) employs approximately 13,500 people and contributes NZD 4.2 billion per year in economic activity. The country has a coastline of 15,100 km and hosts the world's fourth largest Exclusive Economic Zone of 1.3 million km</w:t>
      </w:r>
      <w:r w:rsidRPr="00B93EE1">
        <w:rPr>
          <w:shd w:val="clear" w:color="auto" w:fill="FFFFFF"/>
          <w:vertAlign w:val="superscript"/>
        </w:rPr>
        <w:t>2</w:t>
      </w:r>
      <w:r w:rsidRPr="00B93EE1">
        <w:rPr>
          <w:shd w:val="clear" w:color="auto" w:fill="FFFFFF"/>
        </w:rPr>
        <w:t>. The Food and Agriculture Organization of the United Nations (FAO) has identified 16,000 marine species in New Zealand waters, of which 130 species are commercially fished.</w:t>
      </w:r>
      <w:r w:rsidRPr="00B93EE1">
        <w:rPr>
          <w:rStyle w:val="FootnoteReference"/>
          <w:color w:val="4E4E4E"/>
          <w:szCs w:val="18"/>
          <w:shd w:val="clear" w:color="auto" w:fill="FFFFFF"/>
        </w:rPr>
        <w:footnoteReference w:id="360"/>
      </w:r>
      <w:r w:rsidRPr="00B93EE1">
        <w:rPr>
          <w:shd w:val="clear" w:color="auto" w:fill="FFFFFF"/>
        </w:rPr>
        <w:t xml:space="preserve"> Approximately 400,000 tonnes of fish is harvested from New Zealand's waters each year with a further 118,000 tonnes of aquacultural production. During 2019/20, there were approximately 860 registered fishing vessels in New Zealand, of which</w:t>
      </w:r>
      <w:r w:rsidRPr="00B93EE1">
        <w:t xml:space="preserve"> approximately 10 were foreign-owned</w:t>
      </w:r>
      <w:r w:rsidRPr="00B93EE1">
        <w:rPr>
          <w:shd w:val="clear" w:color="auto" w:fill="FFFFFF"/>
        </w:rPr>
        <w:t>.</w:t>
      </w:r>
      <w:r w:rsidRPr="00B93EE1">
        <w:t xml:space="preserve"> The authorities' current efforts in the fisheries industry seek to improve environmental performance and modernize fisheries management, i.e. promote electronic monitoring of commercial catches, and management measures that further protect New Zealand's protected species from the effects of fishing.</w:t>
      </w:r>
      <w:r w:rsidRPr="00B93EE1">
        <w:rPr>
          <w:rStyle w:val="FootnoteReference"/>
        </w:rPr>
        <w:footnoteReference w:id="361"/>
      </w:r>
    </w:p>
    <w:p w14:paraId="0BF11AC5" w14:textId="77777777" w:rsidR="00120717" w:rsidRPr="00F64A35" w:rsidRDefault="00120717" w:rsidP="008B54EB">
      <w:pPr>
        <w:pStyle w:val="BodyText"/>
      </w:pPr>
      <w:r w:rsidRPr="00B93EE1">
        <w:t xml:space="preserve">The legal framework has remained largely unchanged since the previous Review. The primary legislation for the management of fisheries is the Fisheries Act 1996. It provides for the utilization of fisheries resources while maintaining their potential to meet the reasonably foreseeable needs of future generations. Fisheries New Zealand, under the </w:t>
      </w:r>
      <w:proofErr w:type="spellStart"/>
      <w:r w:rsidRPr="00B93EE1">
        <w:t>MPI</w:t>
      </w:r>
      <w:proofErr w:type="spellEnd"/>
      <w:r w:rsidRPr="00B93EE1">
        <w:t>, is responsible for its implementation.</w:t>
      </w:r>
    </w:p>
    <w:p w14:paraId="3B9CB622" w14:textId="77777777" w:rsidR="00120717" w:rsidRPr="00F64A35" w:rsidRDefault="00120717" w:rsidP="008B54EB">
      <w:pPr>
        <w:pStyle w:val="BodyText"/>
      </w:pPr>
      <w:r w:rsidRPr="00B93EE1">
        <w:t xml:space="preserve">The </w:t>
      </w:r>
      <w:proofErr w:type="spellStart"/>
      <w:r w:rsidRPr="00B93EE1">
        <w:t>MPI</w:t>
      </w:r>
      <w:proofErr w:type="spellEnd"/>
      <w:r w:rsidRPr="00B93EE1">
        <w:t>, through its newly established unit, Fisheries New Zealand (Section 4.1.1), works to ensure that fishery resources are managed to provide the greatest overall benefit to New Zealanders. Fisheries New Zealand's approach to maximize economic returns is enshrined in the Government's Fisheries 2030 strategy, in place since 2019.</w:t>
      </w:r>
      <w:r w:rsidRPr="00B93EE1">
        <w:rPr>
          <w:rStyle w:val="FootnoteReference"/>
        </w:rPr>
        <w:footnoteReference w:id="362"/>
      </w:r>
      <w:r w:rsidRPr="00B93EE1">
        <w:t xml:space="preserve"> The Strategy aims to make its aquaculture industry an NZD 3 billion per year industry by 2035, mainly through the promotion of innovative practices.</w:t>
      </w:r>
      <w:r w:rsidRPr="00B93EE1">
        <w:rPr>
          <w:vertAlign w:val="superscript"/>
        </w:rPr>
        <w:footnoteReference w:id="363"/>
      </w:r>
    </w:p>
    <w:p w14:paraId="06040388" w14:textId="77777777" w:rsidR="00120717" w:rsidRPr="00F64A35" w:rsidRDefault="00120717" w:rsidP="008B54EB">
      <w:pPr>
        <w:pStyle w:val="BodyText"/>
      </w:pPr>
      <w:r w:rsidRPr="00B93EE1">
        <w:t xml:space="preserve">Fisheries 2030 is implemented through, </w:t>
      </w:r>
      <w:r w:rsidRPr="00B93EE1">
        <w:rPr>
          <w:i/>
          <w:iCs/>
        </w:rPr>
        <w:t>inter alia</w:t>
      </w:r>
      <w:r w:rsidRPr="00B93EE1">
        <w:t xml:space="preserve">, ensuring the sustainability of fish stocks by limiting catches to specific levels, using a Quota Management System (QMS). The QMS was extensively described in the previous </w:t>
      </w:r>
      <w:proofErr w:type="spellStart"/>
      <w:r w:rsidRPr="00B93EE1">
        <w:t>TPR</w:t>
      </w:r>
      <w:proofErr w:type="spellEnd"/>
      <w:r w:rsidRPr="00B93EE1">
        <w:t xml:space="preserve"> report.</w:t>
      </w:r>
      <w:r w:rsidRPr="00B93EE1">
        <w:rPr>
          <w:rStyle w:val="FootnoteReference"/>
        </w:rPr>
        <w:footnoteReference w:id="364"/>
      </w:r>
      <w:r w:rsidRPr="00B93EE1">
        <w:t xml:space="preserve"> Through the QMS, Fisheries New Zealand monitors, manages, and regulates fisheries and fish stocks in New Zealand and in the high seas (under international arrangements). A private entity, </w:t>
      </w:r>
      <w:proofErr w:type="spellStart"/>
      <w:r w:rsidRPr="00B93EE1">
        <w:t>FishServe</w:t>
      </w:r>
      <w:proofErr w:type="spellEnd"/>
      <w:r w:rsidRPr="00B93EE1">
        <w:t>, operates some of the services required by the Fisheries Act and relevant regulations, such as administering fishing permits, fishing returns, registration of fishing vessels, Crown-held annual catch entitlement (ACE) and quota tenders, ACE and quota transfers, and invoicing and receiving fees and charges. There are currently 98 species (or species groups) listed in the QMS.</w:t>
      </w:r>
    </w:p>
    <w:p w14:paraId="63082F54" w14:textId="77777777" w:rsidR="00120717" w:rsidRPr="00F64A35" w:rsidRDefault="00120717" w:rsidP="008B54EB">
      <w:pPr>
        <w:pStyle w:val="BodyText"/>
      </w:pPr>
      <w:r w:rsidRPr="00B93EE1">
        <w:lastRenderedPageBreak/>
        <w:t xml:space="preserve">In order to fish commercially in New Zealand waters, commercial fishers must, </w:t>
      </w:r>
      <w:r w:rsidRPr="00B93EE1">
        <w:rPr>
          <w:i/>
          <w:iCs/>
        </w:rPr>
        <w:t>inter alia</w:t>
      </w:r>
      <w:r w:rsidRPr="00B93EE1">
        <w:t>, register with the relevant authority, hold a commercial fishing permit, hold quota or have access to ACE under the QMS, and use a registered New Zealand vessel that is on the Fishing Vessel Register. Foreign-owned fishing vessels may provide fishing services to New Zealand fishing permit holders under demise charter terms provided they meet all conditions of New Zealand vessel registration and flagging. All permitted fishers must keep records and regularly report catches, fishing efforts, and landings. To fish commercially outside the New Zealand Exclusive Economic Zone (EEZ), a high seas fishing permit is required. The comprehensive requirements for commercial fishers are published by the authorities.</w:t>
      </w:r>
      <w:r w:rsidRPr="00B93EE1">
        <w:rPr>
          <w:rStyle w:val="FootnoteReference"/>
        </w:rPr>
        <w:footnoteReference w:id="365"/>
      </w:r>
      <w:r w:rsidRPr="00B93EE1">
        <w:t xml:space="preserve"> New fish stocks added to the QMS are transferred to commercial fishers through public tender of quota shares, after provision is made for allocation of 20% of quota shares to Māori.</w:t>
      </w:r>
    </w:p>
    <w:p w14:paraId="4C0C88D3" w14:textId="77777777" w:rsidR="00120717" w:rsidRPr="00F64A35" w:rsidRDefault="00120717" w:rsidP="008B54EB">
      <w:pPr>
        <w:pStyle w:val="BodyText"/>
      </w:pPr>
      <w:r w:rsidRPr="00B93EE1">
        <w:t>In accordance with the Fisheries Act 1996 and the Overseas Investment Act 2005, consent is required for foreign participation in fishing quota. The criteria for consent include that investment in fishing quota is in the national interest, i.e. implies benefits such as job creation, the introduction of new technology or business skills, and increased export receipts. A foreigner (</w:t>
      </w:r>
      <w:r w:rsidRPr="00B93EE1">
        <w:rPr>
          <w:bCs/>
        </w:rPr>
        <w:t>individual or company)</w:t>
      </w:r>
      <w:r w:rsidRPr="00B93EE1">
        <w:t xml:space="preserve"> is not allowed to have a 25% or more ownership or control interest in fishing quotas, without consent first being obtained from the relevant Ministers (i.e. Minister with responsibility for fisheries and the Minister of Finance). Under the Overseas Investment Act 2005, all overseas investments in fishing quota are defined as sensitive (</w:t>
      </w:r>
      <w:r w:rsidRPr="001A2CCA">
        <w:t>Section 2</w:t>
      </w:r>
      <w:r w:rsidRPr="00B93EE1">
        <w:t>.4.1). Furthermore, since 1 May 2016, foreign-flagged charter fishing vessels fishing in New Zealand waters (within the 200-mile limit) are required to reflag as New Zealand vessels pursuant to the Fisheries (Foreign Charter Vessels and Other Matters) Amendment Act 2014.</w:t>
      </w:r>
    </w:p>
    <w:p w14:paraId="17E9E24B" w14:textId="77777777" w:rsidR="00120717" w:rsidRPr="00F64A35" w:rsidRDefault="00120717" w:rsidP="008B54EB">
      <w:pPr>
        <w:pStyle w:val="BodyText"/>
      </w:pPr>
      <w:r w:rsidRPr="00B93EE1">
        <w:t xml:space="preserve">There are a number of funding opportunities available to the fishing and aquaculture industries. The aquaculture planning fund supports regional councils to plan for sustainable aquaculture growth and development through, </w:t>
      </w:r>
      <w:r w:rsidRPr="00B93EE1">
        <w:rPr>
          <w:i/>
          <w:iCs/>
        </w:rPr>
        <w:t>inter alia</w:t>
      </w:r>
      <w:r w:rsidRPr="00B93EE1">
        <w:t>, creating zones for new consent applications and provisions for new species for aquaculture.</w:t>
      </w:r>
      <w:r w:rsidRPr="00B93EE1">
        <w:rPr>
          <w:rStyle w:val="FootnoteReference"/>
        </w:rPr>
        <w:footnoteReference w:id="366"/>
      </w:r>
      <w:r w:rsidRPr="00B93EE1">
        <w:t xml:space="preserve"> Several support programmes established in New Zealand's agricultural sector also translate into fisheries, mainly with respect to sustainable resources management.</w:t>
      </w:r>
    </w:p>
    <w:p w14:paraId="029B1058" w14:textId="77777777" w:rsidR="00120717" w:rsidRPr="00F64A35" w:rsidRDefault="00120717" w:rsidP="00EE06B1">
      <w:pPr>
        <w:pStyle w:val="Heading3"/>
      </w:pPr>
      <w:bookmarkStart w:id="224" w:name="_Toc97800197"/>
      <w:r w:rsidRPr="00B93EE1">
        <w:t>Environmental measures and sustainable management of resources</w:t>
      </w:r>
      <w:bookmarkEnd w:id="224"/>
    </w:p>
    <w:p w14:paraId="11CEC32F" w14:textId="77777777" w:rsidR="00120717" w:rsidRPr="00F64A35" w:rsidRDefault="00120717" w:rsidP="008B54EB">
      <w:pPr>
        <w:pStyle w:val="BodyText"/>
      </w:pPr>
      <w:r w:rsidRPr="00B93EE1">
        <w:t>Nearly half of New Zealand's greenhouse gas (GHG) emissions come from agriculture. The main source of agricultural emissions is methane from ruminant animals. The Government is taking steps towards addressing methane emissions, including through He Waka Eke Noa, the Primary Sector Climate Action Partnership.</w:t>
      </w:r>
      <w:r w:rsidRPr="00B93EE1">
        <w:rPr>
          <w:rStyle w:val="FootnoteReference"/>
        </w:rPr>
        <w:footnoteReference w:id="367"/>
      </w:r>
    </w:p>
    <w:p w14:paraId="442292EE" w14:textId="77777777" w:rsidR="00120717" w:rsidRPr="00F64A35" w:rsidRDefault="00120717" w:rsidP="008B54EB">
      <w:pPr>
        <w:pStyle w:val="BodyText"/>
      </w:pPr>
      <w:r w:rsidRPr="00B93EE1">
        <w:t>The 2019 Climate Change Response (Zero Carbon) Amendment Act provides a domestic GHG emissions reduction target. This includes net zero emissions of all GHGs other than biogenic methane by 2050, and a 24% to 47% reduction below 2017 levels of biogenic methane emissions by 2050, including a 10% reduction by 2030. It also established the independent Climate Change Commission to provide expert advice and monitoring to help keep successive Governments on track to meet long</w:t>
      </w:r>
      <w:r w:rsidRPr="00B93EE1">
        <w:noBreakHyphen/>
        <w:t>term goals.</w:t>
      </w:r>
    </w:p>
    <w:p w14:paraId="7D6B8F6C" w14:textId="77777777" w:rsidR="00120717" w:rsidRPr="00F64A35" w:rsidRDefault="00120717" w:rsidP="008B54EB">
      <w:pPr>
        <w:pStyle w:val="BodyText"/>
      </w:pPr>
      <w:r w:rsidRPr="00B93EE1">
        <w:t>Under the 2020 Climate Change Response (Emissions Trading Reform) Amendment Act, biogenic emissions from agriculture (methane and nitrous oxide) will be priced by 2025.</w:t>
      </w:r>
    </w:p>
    <w:p w14:paraId="226A0FB5" w14:textId="77777777" w:rsidR="00120717" w:rsidRPr="00F64A35" w:rsidRDefault="00120717" w:rsidP="008B54EB">
      <w:pPr>
        <w:pStyle w:val="BodyText"/>
      </w:pPr>
      <w:r w:rsidRPr="00B93EE1">
        <w:t>He Waka Eke Noa, the Primary Sector Climate Action Partnership, a partnership between the Government, the primary sector, and Māori was established in 2019 to equip farmers to measure, manage, and reduce on-farm agricultural GHG emissions and enhance the sector's resilience to climate change.</w:t>
      </w:r>
      <w:r w:rsidRPr="00B93EE1">
        <w:rPr>
          <w:vertAlign w:val="superscript"/>
        </w:rPr>
        <w:footnoteReference w:id="368"/>
      </w:r>
    </w:p>
    <w:p w14:paraId="59E954C4" w14:textId="77777777" w:rsidR="00120717" w:rsidRPr="00F64A35" w:rsidRDefault="00120717" w:rsidP="008B54EB">
      <w:pPr>
        <w:pStyle w:val="BodyText"/>
      </w:pPr>
      <w:r w:rsidRPr="00B93EE1">
        <w:lastRenderedPageBreak/>
        <w:t>New Zealand has also adopted several measures in line with resources management in agriculture. The 2020 Resource Management (National Environment Standards for Freshwater) Regulations prescribe environmental standards in relation to freshwater and set requirements for carrying out certain activities that pose a risk to freshwater and freshwater ecosystems.</w:t>
      </w:r>
    </w:p>
    <w:p w14:paraId="6765BE04" w14:textId="77777777" w:rsidR="00120717" w:rsidRPr="00F64A35" w:rsidRDefault="00120717" w:rsidP="00745CEA">
      <w:pPr>
        <w:pStyle w:val="Heading2"/>
      </w:pPr>
      <w:bookmarkStart w:id="225" w:name="_Toc97800198"/>
      <w:r w:rsidRPr="00B93EE1">
        <w:t>Energy</w:t>
      </w:r>
      <w:bookmarkEnd w:id="225"/>
    </w:p>
    <w:p w14:paraId="45377EFD" w14:textId="77777777" w:rsidR="00120717" w:rsidRPr="00F64A35" w:rsidRDefault="00120717" w:rsidP="00622556">
      <w:pPr>
        <w:pStyle w:val="BodyText"/>
      </w:pPr>
      <w:r w:rsidRPr="00B93EE1">
        <w:t>New Zealand's energy self-sufficiency rate stood at 75.7% in 2020, down from 81.2% in 2015. Total energy production followed the same pattern over that period. The shares of coal and oil in total energy production decreased dramatically between 2015 and 2020 (Table 4.2). The industrial and residential sectors remained the main energy consumers (Table 4.3).</w:t>
      </w:r>
    </w:p>
    <w:p w14:paraId="7D0F7A16" w14:textId="6436A02F" w:rsidR="00120717" w:rsidRPr="00B93EE1" w:rsidRDefault="00D37A97" w:rsidP="00D37A97">
      <w:pPr>
        <w:pStyle w:val="Caption"/>
      </w:pPr>
      <w:bookmarkStart w:id="226" w:name="_Toc97793406"/>
      <w:r>
        <w:t xml:space="preserve">Table </w:t>
      </w:r>
      <w:r w:rsidR="0012793B">
        <w:fldChar w:fldCharType="begin"/>
      </w:r>
      <w:r w:rsidR="0012793B">
        <w:instrText xml:space="preserve"> STYLEREF 1 \s </w:instrText>
      </w:r>
      <w:r w:rsidR="0012793B">
        <w:fldChar w:fldCharType="separate"/>
      </w:r>
      <w:r>
        <w:rPr>
          <w:noProof/>
        </w:rPr>
        <w:t>4</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2</w:t>
      </w:r>
      <w:r w:rsidR="0012793B">
        <w:rPr>
          <w:noProof/>
        </w:rPr>
        <w:fldChar w:fldCharType="end"/>
      </w:r>
      <w:r>
        <w:t xml:space="preserve"> </w:t>
      </w:r>
      <w:r w:rsidR="00120717" w:rsidRPr="00B93EE1">
        <w:t>Energy production and its breakdown by source, 2015-20</w:t>
      </w:r>
      <w:bookmarkEnd w:id="226"/>
    </w:p>
    <w:p w14:paraId="55CB9773" w14:textId="77777777" w:rsidR="00120717" w:rsidRPr="00B93EE1" w:rsidRDefault="00120717" w:rsidP="00E77B91">
      <w:pPr>
        <w:pStyle w:val="NoteText"/>
      </w:pPr>
      <w:r w:rsidRPr="00B93EE1">
        <w:rPr>
          <w:lang w:eastAsia="en-NZ"/>
        </w:rPr>
        <w:t>(Unit: PJ)</w:t>
      </w:r>
    </w:p>
    <w:tbl>
      <w:tblPr>
        <w:tblStyle w:val="WTOTable1"/>
        <w:tblW w:w="5000" w:type="pct"/>
        <w:tblLayout w:type="fixed"/>
        <w:tblLook w:val="04A0" w:firstRow="1" w:lastRow="0" w:firstColumn="1" w:lastColumn="0" w:noHBand="0" w:noVBand="1"/>
      </w:tblPr>
      <w:tblGrid>
        <w:gridCol w:w="704"/>
        <w:gridCol w:w="1278"/>
        <w:gridCol w:w="849"/>
        <w:gridCol w:w="741"/>
        <w:gridCol w:w="907"/>
        <w:gridCol w:w="761"/>
        <w:gridCol w:w="1277"/>
        <w:gridCol w:w="849"/>
        <w:gridCol w:w="748"/>
        <w:gridCol w:w="902"/>
      </w:tblGrid>
      <w:tr w:rsidR="00120717" w:rsidRPr="00B93EE1" w14:paraId="11653CAF" w14:textId="77777777" w:rsidTr="00083604">
        <w:trPr>
          <w:cnfStyle w:val="100000000000" w:firstRow="1" w:lastRow="0" w:firstColumn="0" w:lastColumn="0" w:oddVBand="0" w:evenVBand="0" w:oddHBand="0" w:evenHBand="0" w:firstRowFirstColumn="0" w:firstRowLastColumn="0" w:lastRowFirstColumn="0" w:lastRowLastColumn="0"/>
          <w:trHeight w:val="20"/>
        </w:trPr>
        <w:tc>
          <w:tcPr>
            <w:tcW w:w="390" w:type="pct"/>
            <w:noWrap/>
            <w:hideMark/>
          </w:tcPr>
          <w:p w14:paraId="7E7E018C" w14:textId="77777777" w:rsidR="00120717" w:rsidRPr="00B93EE1" w:rsidRDefault="00120717" w:rsidP="00083604">
            <w:pPr>
              <w:rPr>
                <w:bCs/>
                <w:sz w:val="16"/>
                <w:szCs w:val="16"/>
              </w:rPr>
            </w:pPr>
          </w:p>
        </w:tc>
        <w:tc>
          <w:tcPr>
            <w:tcW w:w="709" w:type="pct"/>
            <w:noWrap/>
            <w:vAlign w:val="center"/>
            <w:hideMark/>
          </w:tcPr>
          <w:p w14:paraId="430E51D8" w14:textId="77777777" w:rsidR="00120717" w:rsidRPr="00B93EE1" w:rsidRDefault="00120717" w:rsidP="00083604">
            <w:pPr>
              <w:jc w:val="center"/>
              <w:rPr>
                <w:bCs/>
                <w:sz w:val="16"/>
                <w:szCs w:val="16"/>
              </w:rPr>
            </w:pPr>
            <w:r w:rsidRPr="00B93EE1">
              <w:rPr>
                <w:bCs/>
                <w:sz w:val="16"/>
                <w:szCs w:val="16"/>
              </w:rPr>
              <w:t>Total energy production</w:t>
            </w:r>
          </w:p>
        </w:tc>
        <w:tc>
          <w:tcPr>
            <w:tcW w:w="471" w:type="pct"/>
            <w:noWrap/>
            <w:vAlign w:val="center"/>
            <w:hideMark/>
          </w:tcPr>
          <w:p w14:paraId="17669A39" w14:textId="77777777" w:rsidR="00120717" w:rsidRPr="00B93EE1" w:rsidRDefault="00120717" w:rsidP="00083604">
            <w:pPr>
              <w:jc w:val="center"/>
              <w:rPr>
                <w:bCs/>
                <w:sz w:val="16"/>
                <w:szCs w:val="16"/>
              </w:rPr>
            </w:pPr>
            <w:r w:rsidRPr="00B93EE1">
              <w:rPr>
                <w:bCs/>
                <w:sz w:val="16"/>
                <w:szCs w:val="16"/>
              </w:rPr>
              <w:t>Coal</w:t>
            </w:r>
          </w:p>
        </w:tc>
        <w:tc>
          <w:tcPr>
            <w:tcW w:w="411" w:type="pct"/>
            <w:noWrap/>
            <w:vAlign w:val="center"/>
            <w:hideMark/>
          </w:tcPr>
          <w:p w14:paraId="56372C83" w14:textId="77777777" w:rsidR="00120717" w:rsidRPr="00B93EE1" w:rsidRDefault="00120717" w:rsidP="00083604">
            <w:pPr>
              <w:jc w:val="center"/>
              <w:rPr>
                <w:bCs/>
                <w:sz w:val="16"/>
                <w:szCs w:val="16"/>
              </w:rPr>
            </w:pPr>
            <w:r w:rsidRPr="00B93EE1">
              <w:rPr>
                <w:bCs/>
                <w:sz w:val="16"/>
                <w:szCs w:val="16"/>
              </w:rPr>
              <w:t>Oil</w:t>
            </w:r>
          </w:p>
        </w:tc>
        <w:tc>
          <w:tcPr>
            <w:tcW w:w="503" w:type="pct"/>
            <w:noWrap/>
            <w:vAlign w:val="center"/>
            <w:hideMark/>
          </w:tcPr>
          <w:p w14:paraId="1DB37316" w14:textId="77777777" w:rsidR="00120717" w:rsidRPr="00B93EE1" w:rsidRDefault="00120717" w:rsidP="00083604">
            <w:pPr>
              <w:jc w:val="center"/>
              <w:rPr>
                <w:bCs/>
                <w:sz w:val="16"/>
                <w:szCs w:val="16"/>
              </w:rPr>
            </w:pPr>
            <w:r w:rsidRPr="00B93EE1">
              <w:rPr>
                <w:bCs/>
                <w:sz w:val="16"/>
                <w:szCs w:val="16"/>
              </w:rPr>
              <w:t>Gas</w:t>
            </w:r>
          </w:p>
        </w:tc>
        <w:tc>
          <w:tcPr>
            <w:tcW w:w="422" w:type="pct"/>
            <w:noWrap/>
            <w:vAlign w:val="center"/>
            <w:hideMark/>
          </w:tcPr>
          <w:p w14:paraId="0852D023" w14:textId="77777777" w:rsidR="00120717" w:rsidRPr="00B93EE1" w:rsidRDefault="00120717" w:rsidP="00083604">
            <w:pPr>
              <w:jc w:val="center"/>
              <w:rPr>
                <w:bCs/>
                <w:sz w:val="16"/>
                <w:szCs w:val="16"/>
              </w:rPr>
            </w:pPr>
            <w:r w:rsidRPr="00B93EE1">
              <w:rPr>
                <w:bCs/>
                <w:sz w:val="16"/>
                <w:szCs w:val="16"/>
              </w:rPr>
              <w:t>Hydro</w:t>
            </w:r>
          </w:p>
        </w:tc>
        <w:tc>
          <w:tcPr>
            <w:tcW w:w="708" w:type="pct"/>
            <w:noWrap/>
            <w:vAlign w:val="center"/>
            <w:hideMark/>
          </w:tcPr>
          <w:p w14:paraId="6C078A95" w14:textId="77777777" w:rsidR="00120717" w:rsidRPr="00B93EE1" w:rsidRDefault="00120717" w:rsidP="00083604">
            <w:pPr>
              <w:jc w:val="center"/>
              <w:rPr>
                <w:bCs/>
                <w:sz w:val="16"/>
                <w:szCs w:val="16"/>
              </w:rPr>
            </w:pPr>
            <w:r w:rsidRPr="00B93EE1">
              <w:rPr>
                <w:bCs/>
                <w:sz w:val="16"/>
                <w:szCs w:val="16"/>
              </w:rPr>
              <w:t>Geothermal</w:t>
            </w:r>
          </w:p>
        </w:tc>
        <w:tc>
          <w:tcPr>
            <w:tcW w:w="471" w:type="pct"/>
            <w:noWrap/>
            <w:vAlign w:val="center"/>
            <w:hideMark/>
          </w:tcPr>
          <w:p w14:paraId="785C54FC" w14:textId="77777777" w:rsidR="00120717" w:rsidRPr="00B93EE1" w:rsidRDefault="00120717" w:rsidP="00083604">
            <w:pPr>
              <w:jc w:val="center"/>
              <w:rPr>
                <w:bCs/>
                <w:sz w:val="16"/>
                <w:szCs w:val="16"/>
              </w:rPr>
            </w:pPr>
            <w:r w:rsidRPr="00B93EE1">
              <w:rPr>
                <w:bCs/>
                <w:sz w:val="16"/>
                <w:szCs w:val="16"/>
              </w:rPr>
              <w:t>Solar</w:t>
            </w:r>
          </w:p>
        </w:tc>
        <w:tc>
          <w:tcPr>
            <w:tcW w:w="415" w:type="pct"/>
            <w:noWrap/>
            <w:vAlign w:val="center"/>
            <w:hideMark/>
          </w:tcPr>
          <w:p w14:paraId="09354641" w14:textId="77777777" w:rsidR="00120717" w:rsidRPr="00B93EE1" w:rsidRDefault="00120717" w:rsidP="00083604">
            <w:pPr>
              <w:jc w:val="center"/>
              <w:rPr>
                <w:bCs/>
                <w:sz w:val="16"/>
                <w:szCs w:val="16"/>
              </w:rPr>
            </w:pPr>
            <w:r w:rsidRPr="00B93EE1">
              <w:rPr>
                <w:bCs/>
                <w:sz w:val="16"/>
                <w:szCs w:val="16"/>
              </w:rPr>
              <w:t>Wind</w:t>
            </w:r>
          </w:p>
        </w:tc>
        <w:tc>
          <w:tcPr>
            <w:tcW w:w="500" w:type="pct"/>
            <w:noWrap/>
            <w:vAlign w:val="center"/>
            <w:hideMark/>
          </w:tcPr>
          <w:p w14:paraId="5BD4E515" w14:textId="77777777" w:rsidR="00120717" w:rsidRPr="00B93EE1" w:rsidRDefault="00120717" w:rsidP="00083604">
            <w:pPr>
              <w:jc w:val="center"/>
              <w:rPr>
                <w:bCs/>
                <w:sz w:val="16"/>
                <w:szCs w:val="16"/>
              </w:rPr>
            </w:pPr>
            <w:r w:rsidRPr="00B93EE1">
              <w:rPr>
                <w:bCs/>
                <w:sz w:val="16"/>
                <w:szCs w:val="16"/>
              </w:rPr>
              <w:t>Others</w:t>
            </w:r>
          </w:p>
        </w:tc>
      </w:tr>
      <w:tr w:rsidR="00120717" w:rsidRPr="00B93EE1" w14:paraId="223F7056" w14:textId="77777777" w:rsidTr="00083604">
        <w:trPr>
          <w:trHeight w:val="20"/>
        </w:trPr>
        <w:tc>
          <w:tcPr>
            <w:tcW w:w="390" w:type="pct"/>
            <w:noWrap/>
            <w:vAlign w:val="center"/>
            <w:hideMark/>
          </w:tcPr>
          <w:p w14:paraId="73D5C82F" w14:textId="77777777" w:rsidR="00120717" w:rsidRPr="00B93EE1" w:rsidRDefault="00120717" w:rsidP="00083604">
            <w:pPr>
              <w:jc w:val="right"/>
              <w:rPr>
                <w:rFonts w:cstheme="minorHAnsi"/>
                <w:b/>
                <w:bCs/>
                <w:color w:val="000000"/>
                <w:sz w:val="16"/>
                <w:szCs w:val="16"/>
                <w:lang w:eastAsia="en-NZ"/>
              </w:rPr>
            </w:pPr>
            <w:r w:rsidRPr="00B93EE1">
              <w:rPr>
                <w:rFonts w:cstheme="minorHAnsi"/>
                <w:b/>
                <w:bCs/>
                <w:color w:val="000000"/>
                <w:sz w:val="16"/>
                <w:szCs w:val="16"/>
                <w:lang w:eastAsia="en-NZ"/>
              </w:rPr>
              <w:t>2015</w:t>
            </w:r>
          </w:p>
        </w:tc>
        <w:tc>
          <w:tcPr>
            <w:tcW w:w="709" w:type="pct"/>
            <w:noWrap/>
            <w:vAlign w:val="center"/>
            <w:hideMark/>
          </w:tcPr>
          <w:p w14:paraId="6B6D9F45"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724.48</w:t>
            </w:r>
          </w:p>
        </w:tc>
        <w:tc>
          <w:tcPr>
            <w:tcW w:w="471" w:type="pct"/>
            <w:noWrap/>
            <w:vAlign w:val="center"/>
            <w:hideMark/>
          </w:tcPr>
          <w:p w14:paraId="6783FEFE"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85.34</w:t>
            </w:r>
          </w:p>
        </w:tc>
        <w:tc>
          <w:tcPr>
            <w:tcW w:w="411" w:type="pct"/>
            <w:noWrap/>
            <w:vAlign w:val="center"/>
            <w:hideMark/>
          </w:tcPr>
          <w:p w14:paraId="4DDA49E3"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98.36</w:t>
            </w:r>
          </w:p>
        </w:tc>
        <w:tc>
          <w:tcPr>
            <w:tcW w:w="503" w:type="pct"/>
            <w:noWrap/>
            <w:vAlign w:val="center"/>
            <w:hideMark/>
          </w:tcPr>
          <w:p w14:paraId="4A516DB8"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188.73</w:t>
            </w:r>
          </w:p>
        </w:tc>
        <w:tc>
          <w:tcPr>
            <w:tcW w:w="422" w:type="pct"/>
            <w:noWrap/>
            <w:vAlign w:val="center"/>
            <w:hideMark/>
          </w:tcPr>
          <w:p w14:paraId="30EB0708"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88.30</w:t>
            </w:r>
          </w:p>
        </w:tc>
        <w:tc>
          <w:tcPr>
            <w:tcW w:w="708" w:type="pct"/>
            <w:noWrap/>
            <w:vAlign w:val="center"/>
            <w:hideMark/>
          </w:tcPr>
          <w:p w14:paraId="437999EB"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193.40</w:t>
            </w:r>
          </w:p>
        </w:tc>
        <w:tc>
          <w:tcPr>
            <w:tcW w:w="471" w:type="pct"/>
            <w:noWrap/>
            <w:vAlign w:val="center"/>
            <w:hideMark/>
          </w:tcPr>
          <w:p w14:paraId="2B12A84F"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0.50</w:t>
            </w:r>
          </w:p>
        </w:tc>
        <w:tc>
          <w:tcPr>
            <w:tcW w:w="415" w:type="pct"/>
            <w:noWrap/>
            <w:vAlign w:val="center"/>
            <w:hideMark/>
          </w:tcPr>
          <w:p w14:paraId="05CFB3AC"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8.51</w:t>
            </w:r>
          </w:p>
        </w:tc>
        <w:tc>
          <w:tcPr>
            <w:tcW w:w="500" w:type="pct"/>
            <w:noWrap/>
            <w:vAlign w:val="center"/>
            <w:hideMark/>
          </w:tcPr>
          <w:p w14:paraId="0C2C8037"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61.35</w:t>
            </w:r>
          </w:p>
        </w:tc>
      </w:tr>
      <w:tr w:rsidR="00120717" w:rsidRPr="00B93EE1" w14:paraId="7212E018"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390" w:type="pct"/>
            <w:noWrap/>
            <w:vAlign w:val="center"/>
            <w:hideMark/>
          </w:tcPr>
          <w:p w14:paraId="76C5491D" w14:textId="77777777" w:rsidR="00120717" w:rsidRPr="00B93EE1" w:rsidRDefault="00120717" w:rsidP="00083604">
            <w:pPr>
              <w:jc w:val="right"/>
              <w:rPr>
                <w:rFonts w:cstheme="minorHAnsi"/>
                <w:b/>
                <w:bCs/>
                <w:color w:val="000000"/>
                <w:sz w:val="16"/>
                <w:szCs w:val="16"/>
                <w:lang w:eastAsia="en-NZ"/>
              </w:rPr>
            </w:pPr>
            <w:r w:rsidRPr="00B93EE1">
              <w:rPr>
                <w:rFonts w:cstheme="minorHAnsi"/>
                <w:b/>
                <w:bCs/>
                <w:color w:val="000000"/>
                <w:sz w:val="16"/>
                <w:szCs w:val="16"/>
                <w:lang w:eastAsia="en-NZ"/>
              </w:rPr>
              <w:t>2016</w:t>
            </w:r>
          </w:p>
        </w:tc>
        <w:tc>
          <w:tcPr>
            <w:tcW w:w="709" w:type="pct"/>
            <w:noWrap/>
            <w:vAlign w:val="center"/>
            <w:hideMark/>
          </w:tcPr>
          <w:p w14:paraId="0992CE61"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703.32</w:t>
            </w:r>
          </w:p>
        </w:tc>
        <w:tc>
          <w:tcPr>
            <w:tcW w:w="471" w:type="pct"/>
            <w:noWrap/>
            <w:vAlign w:val="center"/>
            <w:hideMark/>
          </w:tcPr>
          <w:p w14:paraId="600427FE"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71.57</w:t>
            </w:r>
          </w:p>
        </w:tc>
        <w:tc>
          <w:tcPr>
            <w:tcW w:w="411" w:type="pct"/>
            <w:noWrap/>
            <w:vAlign w:val="center"/>
            <w:hideMark/>
          </w:tcPr>
          <w:p w14:paraId="1A7F236D"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82.63</w:t>
            </w:r>
          </w:p>
        </w:tc>
        <w:tc>
          <w:tcPr>
            <w:tcW w:w="503" w:type="pct"/>
            <w:noWrap/>
            <w:vAlign w:val="center"/>
            <w:hideMark/>
          </w:tcPr>
          <w:p w14:paraId="1A7ED282"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195.95</w:t>
            </w:r>
          </w:p>
        </w:tc>
        <w:tc>
          <w:tcPr>
            <w:tcW w:w="422" w:type="pct"/>
            <w:noWrap/>
            <w:vAlign w:val="center"/>
            <w:hideMark/>
          </w:tcPr>
          <w:p w14:paraId="0E5E8AC3"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93.36</w:t>
            </w:r>
          </w:p>
        </w:tc>
        <w:tc>
          <w:tcPr>
            <w:tcW w:w="708" w:type="pct"/>
            <w:noWrap/>
            <w:vAlign w:val="center"/>
            <w:hideMark/>
          </w:tcPr>
          <w:p w14:paraId="5BFE23E5"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188.97</w:t>
            </w:r>
          </w:p>
        </w:tc>
        <w:tc>
          <w:tcPr>
            <w:tcW w:w="471" w:type="pct"/>
            <w:noWrap/>
            <w:vAlign w:val="center"/>
            <w:hideMark/>
          </w:tcPr>
          <w:p w14:paraId="3FB3E5DA"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0.57</w:t>
            </w:r>
          </w:p>
        </w:tc>
        <w:tc>
          <w:tcPr>
            <w:tcW w:w="415" w:type="pct"/>
            <w:noWrap/>
            <w:vAlign w:val="center"/>
            <w:hideMark/>
          </w:tcPr>
          <w:p w14:paraId="7385B7FB"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8.43</w:t>
            </w:r>
          </w:p>
        </w:tc>
        <w:tc>
          <w:tcPr>
            <w:tcW w:w="500" w:type="pct"/>
            <w:noWrap/>
            <w:vAlign w:val="center"/>
            <w:hideMark/>
          </w:tcPr>
          <w:p w14:paraId="6BF00594"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61.85</w:t>
            </w:r>
          </w:p>
        </w:tc>
      </w:tr>
      <w:tr w:rsidR="00120717" w:rsidRPr="00B93EE1" w14:paraId="241FDBF7" w14:textId="77777777" w:rsidTr="00083604">
        <w:trPr>
          <w:trHeight w:val="20"/>
        </w:trPr>
        <w:tc>
          <w:tcPr>
            <w:tcW w:w="390" w:type="pct"/>
            <w:noWrap/>
            <w:vAlign w:val="center"/>
            <w:hideMark/>
          </w:tcPr>
          <w:p w14:paraId="592BF71F" w14:textId="77777777" w:rsidR="00120717" w:rsidRPr="00B93EE1" w:rsidRDefault="00120717" w:rsidP="00083604">
            <w:pPr>
              <w:jc w:val="right"/>
              <w:rPr>
                <w:rFonts w:cstheme="minorHAnsi"/>
                <w:b/>
                <w:bCs/>
                <w:color w:val="000000"/>
                <w:sz w:val="16"/>
                <w:szCs w:val="16"/>
                <w:lang w:eastAsia="en-NZ"/>
              </w:rPr>
            </w:pPr>
            <w:r w:rsidRPr="00B93EE1">
              <w:rPr>
                <w:rFonts w:cstheme="minorHAnsi"/>
                <w:b/>
                <w:bCs/>
                <w:color w:val="000000"/>
                <w:sz w:val="16"/>
                <w:szCs w:val="16"/>
                <w:lang w:eastAsia="en-NZ"/>
              </w:rPr>
              <w:t>2017</w:t>
            </w:r>
          </w:p>
        </w:tc>
        <w:tc>
          <w:tcPr>
            <w:tcW w:w="709" w:type="pct"/>
            <w:noWrap/>
            <w:vAlign w:val="center"/>
            <w:hideMark/>
          </w:tcPr>
          <w:p w14:paraId="06B44A97"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691.78</w:t>
            </w:r>
          </w:p>
        </w:tc>
        <w:tc>
          <w:tcPr>
            <w:tcW w:w="471" w:type="pct"/>
            <w:noWrap/>
            <w:vAlign w:val="center"/>
            <w:hideMark/>
          </w:tcPr>
          <w:p w14:paraId="4D9E2CAA"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72.45</w:t>
            </w:r>
          </w:p>
        </w:tc>
        <w:tc>
          <w:tcPr>
            <w:tcW w:w="411" w:type="pct"/>
            <w:noWrap/>
            <w:vAlign w:val="center"/>
            <w:hideMark/>
          </w:tcPr>
          <w:p w14:paraId="48245D3C"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75.06</w:t>
            </w:r>
          </w:p>
        </w:tc>
        <w:tc>
          <w:tcPr>
            <w:tcW w:w="503" w:type="pct"/>
            <w:noWrap/>
            <w:vAlign w:val="center"/>
            <w:hideMark/>
          </w:tcPr>
          <w:p w14:paraId="36199AB8"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194.77</w:t>
            </w:r>
          </w:p>
        </w:tc>
        <w:tc>
          <w:tcPr>
            <w:tcW w:w="422" w:type="pct"/>
            <w:noWrap/>
            <w:vAlign w:val="center"/>
            <w:hideMark/>
          </w:tcPr>
          <w:p w14:paraId="0F51491B"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90.62</w:t>
            </w:r>
          </w:p>
        </w:tc>
        <w:tc>
          <w:tcPr>
            <w:tcW w:w="708" w:type="pct"/>
            <w:noWrap/>
            <w:vAlign w:val="center"/>
            <w:hideMark/>
          </w:tcPr>
          <w:p w14:paraId="3C6E567E"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190.48</w:t>
            </w:r>
          </w:p>
        </w:tc>
        <w:tc>
          <w:tcPr>
            <w:tcW w:w="471" w:type="pct"/>
            <w:noWrap/>
            <w:vAlign w:val="center"/>
            <w:hideMark/>
          </w:tcPr>
          <w:p w14:paraId="6FF8F6C3"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0.64</w:t>
            </w:r>
          </w:p>
        </w:tc>
        <w:tc>
          <w:tcPr>
            <w:tcW w:w="415" w:type="pct"/>
            <w:noWrap/>
            <w:vAlign w:val="center"/>
            <w:hideMark/>
          </w:tcPr>
          <w:p w14:paraId="3D1F929F"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7.53</w:t>
            </w:r>
          </w:p>
        </w:tc>
        <w:tc>
          <w:tcPr>
            <w:tcW w:w="500" w:type="pct"/>
            <w:noWrap/>
            <w:vAlign w:val="center"/>
            <w:hideMark/>
          </w:tcPr>
          <w:p w14:paraId="7F48BA4B"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60.22</w:t>
            </w:r>
          </w:p>
        </w:tc>
      </w:tr>
      <w:tr w:rsidR="00120717" w:rsidRPr="00B93EE1" w14:paraId="2FA69FD0"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390" w:type="pct"/>
            <w:noWrap/>
            <w:vAlign w:val="center"/>
            <w:hideMark/>
          </w:tcPr>
          <w:p w14:paraId="75464B00" w14:textId="77777777" w:rsidR="00120717" w:rsidRPr="00B93EE1" w:rsidRDefault="00120717" w:rsidP="00083604">
            <w:pPr>
              <w:jc w:val="right"/>
              <w:rPr>
                <w:rFonts w:cstheme="minorHAnsi"/>
                <w:b/>
                <w:bCs/>
                <w:color w:val="000000"/>
                <w:sz w:val="16"/>
                <w:szCs w:val="16"/>
                <w:lang w:eastAsia="en-NZ"/>
              </w:rPr>
            </w:pPr>
            <w:r w:rsidRPr="00B93EE1">
              <w:rPr>
                <w:rFonts w:cstheme="minorHAnsi"/>
                <w:b/>
                <w:bCs/>
                <w:color w:val="000000"/>
                <w:sz w:val="16"/>
                <w:szCs w:val="16"/>
                <w:lang w:eastAsia="en-NZ"/>
              </w:rPr>
              <w:t>2018</w:t>
            </w:r>
          </w:p>
        </w:tc>
        <w:tc>
          <w:tcPr>
            <w:tcW w:w="709" w:type="pct"/>
            <w:noWrap/>
            <w:vAlign w:val="center"/>
            <w:hideMark/>
          </w:tcPr>
          <w:p w14:paraId="24B828A7"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676.26</w:t>
            </w:r>
          </w:p>
        </w:tc>
        <w:tc>
          <w:tcPr>
            <w:tcW w:w="471" w:type="pct"/>
            <w:noWrap/>
            <w:vAlign w:val="center"/>
            <w:hideMark/>
          </w:tcPr>
          <w:p w14:paraId="47FC46A4"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83.78</w:t>
            </w:r>
          </w:p>
        </w:tc>
        <w:tc>
          <w:tcPr>
            <w:tcW w:w="411" w:type="pct"/>
            <w:noWrap/>
            <w:vAlign w:val="center"/>
            <w:hideMark/>
          </w:tcPr>
          <w:p w14:paraId="342ECF5B"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59.50</w:t>
            </w:r>
          </w:p>
        </w:tc>
        <w:tc>
          <w:tcPr>
            <w:tcW w:w="503" w:type="pct"/>
            <w:noWrap/>
            <w:vAlign w:val="center"/>
            <w:hideMark/>
          </w:tcPr>
          <w:p w14:paraId="02D59E5E"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174.62</w:t>
            </w:r>
          </w:p>
        </w:tc>
        <w:tc>
          <w:tcPr>
            <w:tcW w:w="422" w:type="pct"/>
            <w:noWrap/>
            <w:vAlign w:val="center"/>
            <w:hideMark/>
          </w:tcPr>
          <w:p w14:paraId="58293A7D"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94.51</w:t>
            </w:r>
          </w:p>
        </w:tc>
        <w:tc>
          <w:tcPr>
            <w:tcW w:w="708" w:type="pct"/>
            <w:noWrap/>
            <w:vAlign w:val="center"/>
            <w:hideMark/>
          </w:tcPr>
          <w:p w14:paraId="40B5AC0C"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196.39</w:t>
            </w:r>
          </w:p>
        </w:tc>
        <w:tc>
          <w:tcPr>
            <w:tcW w:w="471" w:type="pct"/>
            <w:noWrap/>
            <w:vAlign w:val="center"/>
            <w:hideMark/>
          </w:tcPr>
          <w:p w14:paraId="149622A7"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0.72</w:t>
            </w:r>
          </w:p>
        </w:tc>
        <w:tc>
          <w:tcPr>
            <w:tcW w:w="415" w:type="pct"/>
            <w:noWrap/>
            <w:vAlign w:val="center"/>
            <w:hideMark/>
          </w:tcPr>
          <w:p w14:paraId="5EBC0F6C"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7.44</w:t>
            </w:r>
          </w:p>
        </w:tc>
        <w:tc>
          <w:tcPr>
            <w:tcW w:w="500" w:type="pct"/>
            <w:noWrap/>
            <w:vAlign w:val="center"/>
            <w:hideMark/>
          </w:tcPr>
          <w:p w14:paraId="6FA88942"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59.29</w:t>
            </w:r>
          </w:p>
        </w:tc>
      </w:tr>
      <w:tr w:rsidR="00120717" w:rsidRPr="00B93EE1" w14:paraId="796C3B26" w14:textId="77777777" w:rsidTr="00083604">
        <w:trPr>
          <w:trHeight w:val="20"/>
        </w:trPr>
        <w:tc>
          <w:tcPr>
            <w:tcW w:w="390" w:type="pct"/>
            <w:noWrap/>
            <w:vAlign w:val="center"/>
            <w:hideMark/>
          </w:tcPr>
          <w:p w14:paraId="264DCBB3" w14:textId="77777777" w:rsidR="00120717" w:rsidRPr="00B93EE1" w:rsidRDefault="00120717" w:rsidP="00083604">
            <w:pPr>
              <w:jc w:val="right"/>
              <w:rPr>
                <w:rFonts w:cstheme="minorHAnsi"/>
                <w:b/>
                <w:bCs/>
                <w:color w:val="000000"/>
                <w:sz w:val="16"/>
                <w:szCs w:val="16"/>
                <w:lang w:eastAsia="en-NZ"/>
              </w:rPr>
            </w:pPr>
            <w:r w:rsidRPr="00B93EE1">
              <w:rPr>
                <w:rFonts w:cstheme="minorHAnsi"/>
                <w:b/>
                <w:bCs/>
                <w:color w:val="000000"/>
                <w:sz w:val="16"/>
                <w:szCs w:val="16"/>
                <w:lang w:eastAsia="en-NZ"/>
              </w:rPr>
              <w:t>2019</w:t>
            </w:r>
          </w:p>
        </w:tc>
        <w:tc>
          <w:tcPr>
            <w:tcW w:w="709" w:type="pct"/>
            <w:noWrap/>
            <w:vAlign w:val="center"/>
            <w:hideMark/>
          </w:tcPr>
          <w:p w14:paraId="118C6367"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684.91</w:t>
            </w:r>
          </w:p>
        </w:tc>
        <w:tc>
          <w:tcPr>
            <w:tcW w:w="471" w:type="pct"/>
            <w:noWrap/>
            <w:vAlign w:val="center"/>
            <w:hideMark/>
          </w:tcPr>
          <w:p w14:paraId="51CE23EF"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79.99</w:t>
            </w:r>
          </w:p>
        </w:tc>
        <w:tc>
          <w:tcPr>
            <w:tcW w:w="411" w:type="pct"/>
            <w:noWrap/>
            <w:vAlign w:val="center"/>
            <w:hideMark/>
          </w:tcPr>
          <w:p w14:paraId="6C456688"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60.65</w:t>
            </w:r>
          </w:p>
        </w:tc>
        <w:tc>
          <w:tcPr>
            <w:tcW w:w="503" w:type="pct"/>
            <w:noWrap/>
            <w:vAlign w:val="center"/>
            <w:hideMark/>
          </w:tcPr>
          <w:p w14:paraId="3D7B6006"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184.39</w:t>
            </w:r>
          </w:p>
        </w:tc>
        <w:tc>
          <w:tcPr>
            <w:tcW w:w="422" w:type="pct"/>
            <w:noWrap/>
            <w:vAlign w:val="center"/>
            <w:hideMark/>
          </w:tcPr>
          <w:p w14:paraId="411FA052"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92.15</w:t>
            </w:r>
          </w:p>
        </w:tc>
        <w:tc>
          <w:tcPr>
            <w:tcW w:w="708" w:type="pct"/>
            <w:noWrap/>
            <w:vAlign w:val="center"/>
            <w:hideMark/>
          </w:tcPr>
          <w:p w14:paraId="755630F8"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200.98</w:t>
            </w:r>
          </w:p>
        </w:tc>
        <w:tc>
          <w:tcPr>
            <w:tcW w:w="471" w:type="pct"/>
            <w:noWrap/>
            <w:vAlign w:val="center"/>
            <w:hideMark/>
          </w:tcPr>
          <w:p w14:paraId="06A1895E"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0.82</w:t>
            </w:r>
          </w:p>
        </w:tc>
        <w:tc>
          <w:tcPr>
            <w:tcW w:w="415" w:type="pct"/>
            <w:noWrap/>
            <w:vAlign w:val="center"/>
            <w:hideMark/>
          </w:tcPr>
          <w:p w14:paraId="7E1F8495"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8.12</w:t>
            </w:r>
          </w:p>
        </w:tc>
        <w:tc>
          <w:tcPr>
            <w:tcW w:w="500" w:type="pct"/>
            <w:noWrap/>
            <w:vAlign w:val="center"/>
            <w:hideMark/>
          </w:tcPr>
          <w:p w14:paraId="1A2E3321"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57.81</w:t>
            </w:r>
          </w:p>
        </w:tc>
      </w:tr>
      <w:tr w:rsidR="00120717" w:rsidRPr="00B93EE1" w14:paraId="098254C8"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390" w:type="pct"/>
            <w:noWrap/>
            <w:vAlign w:val="center"/>
            <w:hideMark/>
          </w:tcPr>
          <w:p w14:paraId="4826098E" w14:textId="77777777" w:rsidR="00120717" w:rsidRPr="00B93EE1" w:rsidRDefault="00120717" w:rsidP="00083604">
            <w:pPr>
              <w:jc w:val="right"/>
              <w:rPr>
                <w:rFonts w:cstheme="minorHAnsi"/>
                <w:b/>
                <w:bCs/>
                <w:color w:val="000000"/>
                <w:sz w:val="16"/>
                <w:szCs w:val="16"/>
                <w:lang w:eastAsia="en-NZ"/>
              </w:rPr>
            </w:pPr>
            <w:r w:rsidRPr="00B93EE1">
              <w:rPr>
                <w:rFonts w:cstheme="minorHAnsi"/>
                <w:b/>
                <w:bCs/>
                <w:color w:val="000000"/>
                <w:sz w:val="16"/>
                <w:szCs w:val="16"/>
                <w:lang w:eastAsia="en-NZ"/>
              </w:rPr>
              <w:t>2020</w:t>
            </w:r>
          </w:p>
        </w:tc>
        <w:tc>
          <w:tcPr>
            <w:tcW w:w="709" w:type="pct"/>
            <w:noWrap/>
            <w:vAlign w:val="center"/>
            <w:hideMark/>
          </w:tcPr>
          <w:p w14:paraId="76496406"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657.57</w:t>
            </w:r>
          </w:p>
        </w:tc>
        <w:tc>
          <w:tcPr>
            <w:tcW w:w="471" w:type="pct"/>
            <w:noWrap/>
            <w:vAlign w:val="center"/>
            <w:hideMark/>
          </w:tcPr>
          <w:p w14:paraId="788F3968"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73.31</w:t>
            </w:r>
          </w:p>
        </w:tc>
        <w:tc>
          <w:tcPr>
            <w:tcW w:w="411" w:type="pct"/>
            <w:noWrap/>
            <w:vAlign w:val="center"/>
            <w:hideMark/>
          </w:tcPr>
          <w:p w14:paraId="299A351B"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53.01</w:t>
            </w:r>
          </w:p>
        </w:tc>
        <w:tc>
          <w:tcPr>
            <w:tcW w:w="503" w:type="pct"/>
            <w:noWrap/>
            <w:vAlign w:val="center"/>
            <w:hideMark/>
          </w:tcPr>
          <w:p w14:paraId="1BF41D0F"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180.17</w:t>
            </w:r>
          </w:p>
        </w:tc>
        <w:tc>
          <w:tcPr>
            <w:tcW w:w="422" w:type="pct"/>
            <w:noWrap/>
            <w:vAlign w:val="center"/>
            <w:hideMark/>
          </w:tcPr>
          <w:p w14:paraId="7F0B9087"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87.36</w:t>
            </w:r>
          </w:p>
        </w:tc>
        <w:tc>
          <w:tcPr>
            <w:tcW w:w="708" w:type="pct"/>
            <w:noWrap/>
            <w:vAlign w:val="center"/>
            <w:hideMark/>
          </w:tcPr>
          <w:p w14:paraId="79B48134"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200.69</w:t>
            </w:r>
          </w:p>
        </w:tc>
        <w:tc>
          <w:tcPr>
            <w:tcW w:w="471" w:type="pct"/>
            <w:noWrap/>
            <w:vAlign w:val="center"/>
            <w:hideMark/>
          </w:tcPr>
          <w:p w14:paraId="1CCD92F7"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0.94</w:t>
            </w:r>
          </w:p>
        </w:tc>
        <w:tc>
          <w:tcPr>
            <w:tcW w:w="415" w:type="pct"/>
            <w:noWrap/>
            <w:vAlign w:val="center"/>
            <w:hideMark/>
          </w:tcPr>
          <w:p w14:paraId="158BD6F0"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8.30</w:t>
            </w:r>
          </w:p>
        </w:tc>
        <w:tc>
          <w:tcPr>
            <w:tcW w:w="500" w:type="pct"/>
            <w:noWrap/>
            <w:vAlign w:val="center"/>
            <w:hideMark/>
          </w:tcPr>
          <w:p w14:paraId="30C17A6C" w14:textId="77777777" w:rsidR="00120717" w:rsidRPr="00B93EE1" w:rsidRDefault="00120717" w:rsidP="00AA39ED">
            <w:pPr>
              <w:jc w:val="center"/>
              <w:rPr>
                <w:rFonts w:cstheme="minorHAnsi"/>
                <w:color w:val="000000"/>
                <w:sz w:val="16"/>
                <w:szCs w:val="16"/>
                <w:lang w:eastAsia="en-NZ"/>
              </w:rPr>
            </w:pPr>
            <w:r w:rsidRPr="00B93EE1">
              <w:rPr>
                <w:rFonts w:cstheme="minorHAnsi"/>
                <w:color w:val="000000"/>
                <w:sz w:val="16"/>
                <w:szCs w:val="16"/>
                <w:lang w:eastAsia="en-NZ"/>
              </w:rPr>
              <w:t>53.80</w:t>
            </w:r>
          </w:p>
        </w:tc>
      </w:tr>
    </w:tbl>
    <w:p w14:paraId="67FB446F" w14:textId="77777777" w:rsidR="00120717" w:rsidRPr="00B93EE1" w:rsidRDefault="00120717" w:rsidP="00FD7477">
      <w:pPr>
        <w:pStyle w:val="NoteText"/>
        <w:spacing w:before="120"/>
      </w:pPr>
      <w:r w:rsidRPr="00B93EE1">
        <w:t xml:space="preserve">Note: </w:t>
      </w:r>
      <w:r w:rsidRPr="00B93EE1">
        <w:tab/>
        <w:t>PJ stands for petajoule or 278 gigawatt hours.</w:t>
      </w:r>
    </w:p>
    <w:p w14:paraId="2D7D56FA" w14:textId="77777777" w:rsidR="00120717" w:rsidRPr="00B93EE1" w:rsidRDefault="00120717" w:rsidP="00FD7477">
      <w:pPr>
        <w:pStyle w:val="NoteText"/>
        <w:spacing w:before="120" w:after="240"/>
      </w:pPr>
      <w:r w:rsidRPr="00B93EE1">
        <w:t>Source:</w:t>
      </w:r>
      <w:r w:rsidRPr="00B93EE1">
        <w:tab/>
        <w:t>Information provided by the authorities.</w:t>
      </w:r>
    </w:p>
    <w:p w14:paraId="3C7E89F0" w14:textId="55876311" w:rsidR="00120717" w:rsidRPr="00B93EE1" w:rsidRDefault="00D37A97" w:rsidP="00D37A97">
      <w:pPr>
        <w:pStyle w:val="Caption"/>
      </w:pPr>
      <w:bookmarkStart w:id="227" w:name="_Toc97793407"/>
      <w:r>
        <w:t xml:space="preserve">Table </w:t>
      </w:r>
      <w:r w:rsidR="0012793B">
        <w:fldChar w:fldCharType="begin"/>
      </w:r>
      <w:r w:rsidR="0012793B">
        <w:instrText xml:space="preserve"> STYLEREF 1 \s </w:instrText>
      </w:r>
      <w:r w:rsidR="0012793B">
        <w:fldChar w:fldCharType="separate"/>
      </w:r>
      <w:r>
        <w:rPr>
          <w:noProof/>
        </w:rPr>
        <w:t>4</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3</w:t>
      </w:r>
      <w:r w:rsidR="0012793B">
        <w:rPr>
          <w:noProof/>
        </w:rPr>
        <w:fldChar w:fldCharType="end"/>
      </w:r>
      <w:r>
        <w:t xml:space="preserve"> </w:t>
      </w:r>
      <w:r w:rsidR="00120717" w:rsidRPr="00B93EE1">
        <w:t>Total energy consumption by sector/user, 2015-20</w:t>
      </w:r>
      <w:bookmarkEnd w:id="227"/>
    </w:p>
    <w:tbl>
      <w:tblPr>
        <w:tblStyle w:val="WTOTable1"/>
        <w:tblW w:w="9016" w:type="dxa"/>
        <w:tblLook w:val="04A0" w:firstRow="1" w:lastRow="0" w:firstColumn="1" w:lastColumn="0" w:noHBand="0" w:noVBand="1"/>
      </w:tblPr>
      <w:tblGrid>
        <w:gridCol w:w="2883"/>
        <w:gridCol w:w="1023"/>
        <w:gridCol w:w="1022"/>
        <w:gridCol w:w="1022"/>
        <w:gridCol w:w="1022"/>
        <w:gridCol w:w="1022"/>
        <w:gridCol w:w="1022"/>
      </w:tblGrid>
      <w:tr w:rsidR="00120717" w:rsidRPr="00B93EE1" w14:paraId="52E58772" w14:textId="77777777" w:rsidTr="00083604">
        <w:trPr>
          <w:cnfStyle w:val="100000000000" w:firstRow="1" w:lastRow="0" w:firstColumn="0" w:lastColumn="0" w:oddVBand="0" w:evenVBand="0" w:oddHBand="0" w:evenHBand="0" w:firstRowFirstColumn="0" w:firstRowLastColumn="0" w:lastRowFirstColumn="0" w:lastRowLastColumn="0"/>
          <w:trHeight w:val="20"/>
        </w:trPr>
        <w:tc>
          <w:tcPr>
            <w:tcW w:w="2883" w:type="dxa"/>
            <w:noWrap/>
            <w:vAlign w:val="center"/>
            <w:hideMark/>
          </w:tcPr>
          <w:p w14:paraId="5D7EA336" w14:textId="5ABC7EF2" w:rsidR="00120717" w:rsidRPr="00B93EE1" w:rsidRDefault="00120717" w:rsidP="00083604">
            <w:pPr>
              <w:jc w:val="left"/>
              <w:rPr>
                <w:bCs/>
                <w:sz w:val="16"/>
                <w:szCs w:val="16"/>
              </w:rPr>
            </w:pPr>
            <w:r w:rsidRPr="00B93EE1">
              <w:rPr>
                <w:bCs/>
                <w:sz w:val="16"/>
                <w:szCs w:val="16"/>
              </w:rPr>
              <w:t>Consumption (GWh) based on estimated sales</w:t>
            </w:r>
          </w:p>
        </w:tc>
        <w:tc>
          <w:tcPr>
            <w:tcW w:w="1023" w:type="dxa"/>
            <w:noWrap/>
            <w:vAlign w:val="center"/>
            <w:hideMark/>
          </w:tcPr>
          <w:p w14:paraId="5E484574" w14:textId="77777777" w:rsidR="00120717" w:rsidRPr="00B93EE1" w:rsidRDefault="00120717" w:rsidP="00083604">
            <w:pPr>
              <w:ind w:right="113"/>
              <w:jc w:val="right"/>
              <w:rPr>
                <w:bCs/>
                <w:sz w:val="16"/>
                <w:szCs w:val="16"/>
              </w:rPr>
            </w:pPr>
            <w:r w:rsidRPr="00B93EE1">
              <w:rPr>
                <w:bCs/>
                <w:sz w:val="16"/>
                <w:szCs w:val="16"/>
              </w:rPr>
              <w:t>2015</w:t>
            </w:r>
          </w:p>
        </w:tc>
        <w:tc>
          <w:tcPr>
            <w:tcW w:w="1022" w:type="dxa"/>
            <w:noWrap/>
            <w:vAlign w:val="center"/>
            <w:hideMark/>
          </w:tcPr>
          <w:p w14:paraId="159D5021" w14:textId="77777777" w:rsidR="00120717" w:rsidRPr="00B93EE1" w:rsidRDefault="00120717" w:rsidP="00083604">
            <w:pPr>
              <w:ind w:right="113"/>
              <w:jc w:val="right"/>
              <w:rPr>
                <w:bCs/>
                <w:sz w:val="16"/>
                <w:szCs w:val="16"/>
              </w:rPr>
            </w:pPr>
            <w:r w:rsidRPr="00B93EE1">
              <w:rPr>
                <w:bCs/>
                <w:sz w:val="16"/>
                <w:szCs w:val="16"/>
              </w:rPr>
              <w:t>2016</w:t>
            </w:r>
          </w:p>
        </w:tc>
        <w:tc>
          <w:tcPr>
            <w:tcW w:w="1022" w:type="dxa"/>
            <w:noWrap/>
            <w:vAlign w:val="center"/>
            <w:hideMark/>
          </w:tcPr>
          <w:p w14:paraId="4F17C56C" w14:textId="77777777" w:rsidR="00120717" w:rsidRPr="00B93EE1" w:rsidRDefault="00120717" w:rsidP="00083604">
            <w:pPr>
              <w:ind w:right="113"/>
              <w:jc w:val="right"/>
              <w:rPr>
                <w:bCs/>
                <w:sz w:val="16"/>
                <w:szCs w:val="16"/>
              </w:rPr>
            </w:pPr>
            <w:r w:rsidRPr="00B93EE1">
              <w:rPr>
                <w:bCs/>
                <w:sz w:val="16"/>
                <w:szCs w:val="16"/>
              </w:rPr>
              <w:t>2017</w:t>
            </w:r>
          </w:p>
        </w:tc>
        <w:tc>
          <w:tcPr>
            <w:tcW w:w="1022" w:type="dxa"/>
            <w:noWrap/>
            <w:vAlign w:val="center"/>
            <w:hideMark/>
          </w:tcPr>
          <w:p w14:paraId="5DFDAC5B" w14:textId="77777777" w:rsidR="00120717" w:rsidRPr="00B93EE1" w:rsidRDefault="00120717" w:rsidP="00083604">
            <w:pPr>
              <w:ind w:right="113"/>
              <w:jc w:val="right"/>
              <w:rPr>
                <w:bCs/>
                <w:sz w:val="16"/>
                <w:szCs w:val="16"/>
              </w:rPr>
            </w:pPr>
            <w:r w:rsidRPr="00B93EE1">
              <w:rPr>
                <w:bCs/>
                <w:sz w:val="16"/>
                <w:szCs w:val="16"/>
              </w:rPr>
              <w:t>2018</w:t>
            </w:r>
          </w:p>
        </w:tc>
        <w:tc>
          <w:tcPr>
            <w:tcW w:w="1022" w:type="dxa"/>
            <w:noWrap/>
            <w:vAlign w:val="center"/>
            <w:hideMark/>
          </w:tcPr>
          <w:p w14:paraId="67C9FD04" w14:textId="77777777" w:rsidR="00120717" w:rsidRPr="00B93EE1" w:rsidRDefault="00120717" w:rsidP="00083604">
            <w:pPr>
              <w:ind w:right="113"/>
              <w:jc w:val="right"/>
              <w:rPr>
                <w:bCs/>
                <w:sz w:val="16"/>
                <w:szCs w:val="16"/>
              </w:rPr>
            </w:pPr>
            <w:r w:rsidRPr="00B93EE1">
              <w:rPr>
                <w:bCs/>
                <w:sz w:val="16"/>
                <w:szCs w:val="16"/>
              </w:rPr>
              <w:t>2019</w:t>
            </w:r>
          </w:p>
        </w:tc>
        <w:tc>
          <w:tcPr>
            <w:tcW w:w="1022" w:type="dxa"/>
            <w:noWrap/>
            <w:vAlign w:val="center"/>
            <w:hideMark/>
          </w:tcPr>
          <w:p w14:paraId="4AFC7A1D" w14:textId="77777777" w:rsidR="00120717" w:rsidRPr="00B93EE1" w:rsidRDefault="00120717" w:rsidP="00083604">
            <w:pPr>
              <w:ind w:right="113"/>
              <w:jc w:val="right"/>
              <w:rPr>
                <w:bCs/>
                <w:sz w:val="16"/>
                <w:szCs w:val="16"/>
              </w:rPr>
            </w:pPr>
            <w:r w:rsidRPr="00B93EE1">
              <w:rPr>
                <w:bCs/>
                <w:sz w:val="16"/>
                <w:szCs w:val="16"/>
              </w:rPr>
              <w:t>2020</w:t>
            </w:r>
          </w:p>
        </w:tc>
      </w:tr>
      <w:tr w:rsidR="00120717" w:rsidRPr="00B93EE1" w14:paraId="329B3C67" w14:textId="77777777" w:rsidTr="00083604">
        <w:trPr>
          <w:trHeight w:val="20"/>
        </w:trPr>
        <w:tc>
          <w:tcPr>
            <w:tcW w:w="2883" w:type="dxa"/>
            <w:noWrap/>
            <w:vAlign w:val="center"/>
            <w:hideMark/>
          </w:tcPr>
          <w:p w14:paraId="4A8A033F" w14:textId="77777777" w:rsidR="00120717" w:rsidRPr="00B93EE1" w:rsidRDefault="00120717" w:rsidP="00083604">
            <w:pPr>
              <w:jc w:val="left"/>
              <w:rPr>
                <w:b/>
                <w:bCs/>
                <w:sz w:val="16"/>
                <w:szCs w:val="16"/>
              </w:rPr>
            </w:pPr>
            <w:r w:rsidRPr="00B93EE1">
              <w:rPr>
                <w:b/>
                <w:bCs/>
                <w:sz w:val="16"/>
                <w:szCs w:val="16"/>
              </w:rPr>
              <w:t>Agriculture, forestry, and fishing</w:t>
            </w:r>
          </w:p>
        </w:tc>
        <w:tc>
          <w:tcPr>
            <w:tcW w:w="1023" w:type="dxa"/>
            <w:noWrap/>
            <w:vAlign w:val="center"/>
            <w:hideMark/>
          </w:tcPr>
          <w:p w14:paraId="2BAB51C5" w14:textId="77777777" w:rsidR="00120717" w:rsidRPr="00B93EE1" w:rsidRDefault="00120717" w:rsidP="00083604">
            <w:pPr>
              <w:ind w:right="113"/>
              <w:jc w:val="right"/>
              <w:rPr>
                <w:sz w:val="16"/>
                <w:szCs w:val="16"/>
              </w:rPr>
            </w:pPr>
            <w:r w:rsidRPr="00B93EE1">
              <w:rPr>
                <w:sz w:val="16"/>
                <w:szCs w:val="16"/>
              </w:rPr>
              <w:t>2,819</w:t>
            </w:r>
          </w:p>
        </w:tc>
        <w:tc>
          <w:tcPr>
            <w:tcW w:w="1022" w:type="dxa"/>
            <w:noWrap/>
            <w:vAlign w:val="center"/>
            <w:hideMark/>
          </w:tcPr>
          <w:p w14:paraId="666CA9C9" w14:textId="77777777" w:rsidR="00120717" w:rsidRPr="00B93EE1" w:rsidRDefault="00120717" w:rsidP="00083604">
            <w:pPr>
              <w:ind w:right="113"/>
              <w:jc w:val="right"/>
              <w:rPr>
                <w:sz w:val="16"/>
                <w:szCs w:val="16"/>
              </w:rPr>
            </w:pPr>
            <w:r w:rsidRPr="00B93EE1">
              <w:rPr>
                <w:sz w:val="16"/>
                <w:szCs w:val="16"/>
              </w:rPr>
              <w:t>2,524</w:t>
            </w:r>
          </w:p>
        </w:tc>
        <w:tc>
          <w:tcPr>
            <w:tcW w:w="1022" w:type="dxa"/>
            <w:noWrap/>
            <w:vAlign w:val="center"/>
            <w:hideMark/>
          </w:tcPr>
          <w:p w14:paraId="71BA7F33" w14:textId="77777777" w:rsidR="00120717" w:rsidRPr="00B93EE1" w:rsidRDefault="00120717" w:rsidP="00083604">
            <w:pPr>
              <w:ind w:right="113"/>
              <w:jc w:val="right"/>
              <w:rPr>
                <w:sz w:val="16"/>
                <w:szCs w:val="16"/>
              </w:rPr>
            </w:pPr>
            <w:r w:rsidRPr="00B93EE1">
              <w:rPr>
                <w:sz w:val="16"/>
                <w:szCs w:val="16"/>
              </w:rPr>
              <w:t>2,588</w:t>
            </w:r>
          </w:p>
        </w:tc>
        <w:tc>
          <w:tcPr>
            <w:tcW w:w="1022" w:type="dxa"/>
            <w:noWrap/>
            <w:vAlign w:val="center"/>
            <w:hideMark/>
          </w:tcPr>
          <w:p w14:paraId="1AAEB90C" w14:textId="77777777" w:rsidR="00120717" w:rsidRPr="00B93EE1" w:rsidRDefault="00120717" w:rsidP="00083604">
            <w:pPr>
              <w:ind w:right="113"/>
              <w:jc w:val="right"/>
              <w:rPr>
                <w:sz w:val="16"/>
                <w:szCs w:val="16"/>
              </w:rPr>
            </w:pPr>
            <w:r w:rsidRPr="00B93EE1">
              <w:rPr>
                <w:sz w:val="16"/>
                <w:szCs w:val="16"/>
              </w:rPr>
              <w:t>2,285</w:t>
            </w:r>
          </w:p>
        </w:tc>
        <w:tc>
          <w:tcPr>
            <w:tcW w:w="1022" w:type="dxa"/>
            <w:noWrap/>
            <w:vAlign w:val="center"/>
            <w:hideMark/>
          </w:tcPr>
          <w:p w14:paraId="3BFDBC07" w14:textId="77777777" w:rsidR="00120717" w:rsidRPr="00B93EE1" w:rsidRDefault="00120717" w:rsidP="00083604">
            <w:pPr>
              <w:ind w:right="113"/>
              <w:jc w:val="right"/>
              <w:rPr>
                <w:sz w:val="16"/>
                <w:szCs w:val="16"/>
              </w:rPr>
            </w:pPr>
            <w:r w:rsidRPr="00B93EE1">
              <w:rPr>
                <w:sz w:val="16"/>
                <w:szCs w:val="16"/>
              </w:rPr>
              <w:t>2,545</w:t>
            </w:r>
          </w:p>
        </w:tc>
        <w:tc>
          <w:tcPr>
            <w:tcW w:w="1022" w:type="dxa"/>
            <w:noWrap/>
            <w:vAlign w:val="center"/>
            <w:hideMark/>
          </w:tcPr>
          <w:p w14:paraId="10233B01" w14:textId="77777777" w:rsidR="00120717" w:rsidRPr="00B93EE1" w:rsidRDefault="00120717" w:rsidP="00083604">
            <w:pPr>
              <w:ind w:right="113"/>
              <w:jc w:val="right"/>
              <w:rPr>
                <w:sz w:val="16"/>
                <w:szCs w:val="16"/>
              </w:rPr>
            </w:pPr>
            <w:r w:rsidRPr="00B93EE1">
              <w:rPr>
                <w:sz w:val="16"/>
                <w:szCs w:val="16"/>
              </w:rPr>
              <w:t>2,687</w:t>
            </w:r>
          </w:p>
        </w:tc>
      </w:tr>
      <w:tr w:rsidR="00120717" w:rsidRPr="00B93EE1" w14:paraId="56AAF933"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2883" w:type="dxa"/>
            <w:noWrap/>
            <w:vAlign w:val="center"/>
            <w:hideMark/>
          </w:tcPr>
          <w:p w14:paraId="08690740" w14:textId="77777777" w:rsidR="00120717" w:rsidRPr="00B93EE1" w:rsidRDefault="00120717" w:rsidP="00083604">
            <w:pPr>
              <w:jc w:val="left"/>
              <w:rPr>
                <w:b/>
                <w:bCs/>
                <w:sz w:val="16"/>
                <w:szCs w:val="16"/>
              </w:rPr>
            </w:pPr>
            <w:r w:rsidRPr="00B93EE1">
              <w:rPr>
                <w:b/>
                <w:bCs/>
                <w:sz w:val="16"/>
                <w:szCs w:val="16"/>
              </w:rPr>
              <w:t>Industrial</w:t>
            </w:r>
          </w:p>
        </w:tc>
        <w:tc>
          <w:tcPr>
            <w:tcW w:w="1023" w:type="dxa"/>
            <w:noWrap/>
            <w:vAlign w:val="center"/>
            <w:hideMark/>
          </w:tcPr>
          <w:p w14:paraId="4047CED5" w14:textId="77777777" w:rsidR="00120717" w:rsidRPr="00B93EE1" w:rsidRDefault="00120717" w:rsidP="00083604">
            <w:pPr>
              <w:ind w:right="113"/>
              <w:jc w:val="right"/>
              <w:rPr>
                <w:sz w:val="16"/>
                <w:szCs w:val="16"/>
              </w:rPr>
            </w:pPr>
            <w:r w:rsidRPr="00B93EE1">
              <w:rPr>
                <w:sz w:val="16"/>
                <w:szCs w:val="16"/>
              </w:rPr>
              <w:t>14,609</w:t>
            </w:r>
          </w:p>
        </w:tc>
        <w:tc>
          <w:tcPr>
            <w:tcW w:w="1022" w:type="dxa"/>
            <w:noWrap/>
            <w:vAlign w:val="center"/>
            <w:hideMark/>
          </w:tcPr>
          <w:p w14:paraId="1DD69E24" w14:textId="77777777" w:rsidR="00120717" w:rsidRPr="00B93EE1" w:rsidRDefault="00120717" w:rsidP="00083604">
            <w:pPr>
              <w:ind w:right="113"/>
              <w:jc w:val="right"/>
              <w:rPr>
                <w:sz w:val="16"/>
                <w:szCs w:val="16"/>
              </w:rPr>
            </w:pPr>
            <w:r w:rsidRPr="00B93EE1">
              <w:rPr>
                <w:sz w:val="16"/>
                <w:szCs w:val="16"/>
              </w:rPr>
              <w:t>14,547</w:t>
            </w:r>
          </w:p>
        </w:tc>
        <w:tc>
          <w:tcPr>
            <w:tcW w:w="1022" w:type="dxa"/>
            <w:noWrap/>
            <w:vAlign w:val="center"/>
            <w:hideMark/>
          </w:tcPr>
          <w:p w14:paraId="4D7D9FF9" w14:textId="77777777" w:rsidR="00120717" w:rsidRPr="00B93EE1" w:rsidRDefault="00120717" w:rsidP="00083604">
            <w:pPr>
              <w:ind w:right="113"/>
              <w:jc w:val="right"/>
              <w:rPr>
                <w:sz w:val="16"/>
                <w:szCs w:val="16"/>
              </w:rPr>
            </w:pPr>
            <w:r w:rsidRPr="00B93EE1">
              <w:rPr>
                <w:sz w:val="16"/>
                <w:szCs w:val="16"/>
              </w:rPr>
              <w:t>14,616</w:t>
            </w:r>
          </w:p>
        </w:tc>
        <w:tc>
          <w:tcPr>
            <w:tcW w:w="1022" w:type="dxa"/>
            <w:noWrap/>
            <w:vAlign w:val="center"/>
            <w:hideMark/>
          </w:tcPr>
          <w:p w14:paraId="676EE594" w14:textId="77777777" w:rsidR="00120717" w:rsidRPr="00B93EE1" w:rsidRDefault="00120717" w:rsidP="00083604">
            <w:pPr>
              <w:ind w:right="113"/>
              <w:jc w:val="right"/>
              <w:rPr>
                <w:sz w:val="16"/>
                <w:szCs w:val="16"/>
              </w:rPr>
            </w:pPr>
            <w:r w:rsidRPr="00B93EE1">
              <w:rPr>
                <w:sz w:val="16"/>
                <w:szCs w:val="16"/>
              </w:rPr>
              <w:t>14,622</w:t>
            </w:r>
          </w:p>
        </w:tc>
        <w:tc>
          <w:tcPr>
            <w:tcW w:w="1022" w:type="dxa"/>
            <w:noWrap/>
            <w:vAlign w:val="center"/>
            <w:hideMark/>
          </w:tcPr>
          <w:p w14:paraId="246A3B9B" w14:textId="77777777" w:rsidR="00120717" w:rsidRPr="00B93EE1" w:rsidRDefault="00120717" w:rsidP="00083604">
            <w:pPr>
              <w:ind w:right="113"/>
              <w:jc w:val="right"/>
              <w:rPr>
                <w:sz w:val="16"/>
                <w:szCs w:val="16"/>
              </w:rPr>
            </w:pPr>
            <w:r w:rsidRPr="00B93EE1">
              <w:rPr>
                <w:sz w:val="16"/>
                <w:szCs w:val="16"/>
              </w:rPr>
              <w:t>14,828</w:t>
            </w:r>
          </w:p>
        </w:tc>
        <w:tc>
          <w:tcPr>
            <w:tcW w:w="1022" w:type="dxa"/>
            <w:noWrap/>
            <w:vAlign w:val="center"/>
            <w:hideMark/>
          </w:tcPr>
          <w:p w14:paraId="1A7D5ECF" w14:textId="77777777" w:rsidR="00120717" w:rsidRPr="00B93EE1" w:rsidRDefault="00120717" w:rsidP="00083604">
            <w:pPr>
              <w:ind w:right="113"/>
              <w:jc w:val="right"/>
              <w:rPr>
                <w:sz w:val="16"/>
                <w:szCs w:val="16"/>
              </w:rPr>
            </w:pPr>
            <w:r w:rsidRPr="00B93EE1">
              <w:rPr>
                <w:sz w:val="16"/>
                <w:szCs w:val="16"/>
              </w:rPr>
              <w:t>14,036</w:t>
            </w:r>
          </w:p>
        </w:tc>
      </w:tr>
      <w:tr w:rsidR="00120717" w:rsidRPr="00B93EE1" w14:paraId="7163CE8F" w14:textId="77777777" w:rsidTr="00083604">
        <w:trPr>
          <w:trHeight w:val="20"/>
        </w:trPr>
        <w:tc>
          <w:tcPr>
            <w:tcW w:w="2883" w:type="dxa"/>
            <w:noWrap/>
            <w:vAlign w:val="center"/>
            <w:hideMark/>
          </w:tcPr>
          <w:p w14:paraId="7826F6BC" w14:textId="77777777" w:rsidR="00120717" w:rsidRPr="00B93EE1" w:rsidRDefault="00120717" w:rsidP="00220A2F">
            <w:pPr>
              <w:ind w:left="159"/>
              <w:jc w:val="left"/>
              <w:rPr>
                <w:sz w:val="16"/>
                <w:szCs w:val="16"/>
              </w:rPr>
            </w:pPr>
            <w:r w:rsidRPr="00B93EE1">
              <w:rPr>
                <w:sz w:val="16"/>
                <w:szCs w:val="16"/>
              </w:rPr>
              <w:t>Mining</w:t>
            </w:r>
          </w:p>
        </w:tc>
        <w:tc>
          <w:tcPr>
            <w:tcW w:w="1023" w:type="dxa"/>
            <w:noWrap/>
            <w:vAlign w:val="center"/>
            <w:hideMark/>
          </w:tcPr>
          <w:p w14:paraId="09D48901" w14:textId="77777777" w:rsidR="00120717" w:rsidRPr="00B93EE1" w:rsidRDefault="00120717" w:rsidP="00083604">
            <w:pPr>
              <w:ind w:right="113"/>
              <w:jc w:val="right"/>
              <w:rPr>
                <w:sz w:val="16"/>
                <w:szCs w:val="16"/>
              </w:rPr>
            </w:pPr>
            <w:r w:rsidRPr="00B93EE1">
              <w:rPr>
                <w:sz w:val="16"/>
                <w:szCs w:val="16"/>
              </w:rPr>
              <w:t>405</w:t>
            </w:r>
          </w:p>
        </w:tc>
        <w:tc>
          <w:tcPr>
            <w:tcW w:w="1022" w:type="dxa"/>
            <w:noWrap/>
            <w:vAlign w:val="center"/>
            <w:hideMark/>
          </w:tcPr>
          <w:p w14:paraId="3998A4D6" w14:textId="77777777" w:rsidR="00120717" w:rsidRPr="00B93EE1" w:rsidRDefault="00120717" w:rsidP="00083604">
            <w:pPr>
              <w:ind w:right="113"/>
              <w:jc w:val="right"/>
              <w:rPr>
                <w:sz w:val="16"/>
                <w:szCs w:val="16"/>
              </w:rPr>
            </w:pPr>
            <w:r w:rsidRPr="00B93EE1">
              <w:rPr>
                <w:sz w:val="16"/>
                <w:szCs w:val="16"/>
              </w:rPr>
              <w:t>362</w:t>
            </w:r>
          </w:p>
        </w:tc>
        <w:tc>
          <w:tcPr>
            <w:tcW w:w="1022" w:type="dxa"/>
            <w:noWrap/>
            <w:vAlign w:val="center"/>
            <w:hideMark/>
          </w:tcPr>
          <w:p w14:paraId="2FF8656F" w14:textId="77777777" w:rsidR="00120717" w:rsidRPr="00B93EE1" w:rsidRDefault="00120717" w:rsidP="00083604">
            <w:pPr>
              <w:ind w:right="113"/>
              <w:jc w:val="right"/>
              <w:rPr>
                <w:sz w:val="16"/>
                <w:szCs w:val="16"/>
              </w:rPr>
            </w:pPr>
            <w:r w:rsidRPr="00B93EE1">
              <w:rPr>
                <w:sz w:val="16"/>
                <w:szCs w:val="16"/>
              </w:rPr>
              <w:t>418</w:t>
            </w:r>
          </w:p>
        </w:tc>
        <w:tc>
          <w:tcPr>
            <w:tcW w:w="1022" w:type="dxa"/>
            <w:noWrap/>
            <w:vAlign w:val="center"/>
            <w:hideMark/>
          </w:tcPr>
          <w:p w14:paraId="675815EF" w14:textId="77777777" w:rsidR="00120717" w:rsidRPr="00B93EE1" w:rsidRDefault="00120717" w:rsidP="00083604">
            <w:pPr>
              <w:ind w:right="113"/>
              <w:jc w:val="right"/>
              <w:rPr>
                <w:sz w:val="16"/>
                <w:szCs w:val="16"/>
              </w:rPr>
            </w:pPr>
            <w:r w:rsidRPr="00B93EE1">
              <w:rPr>
                <w:sz w:val="16"/>
                <w:szCs w:val="16"/>
              </w:rPr>
              <w:t>450</w:t>
            </w:r>
          </w:p>
        </w:tc>
        <w:tc>
          <w:tcPr>
            <w:tcW w:w="1022" w:type="dxa"/>
            <w:noWrap/>
            <w:vAlign w:val="center"/>
            <w:hideMark/>
          </w:tcPr>
          <w:p w14:paraId="394E5E05" w14:textId="77777777" w:rsidR="00120717" w:rsidRPr="00B93EE1" w:rsidRDefault="00120717" w:rsidP="00083604">
            <w:pPr>
              <w:ind w:right="113"/>
              <w:jc w:val="right"/>
              <w:rPr>
                <w:sz w:val="16"/>
                <w:szCs w:val="16"/>
              </w:rPr>
            </w:pPr>
            <w:r w:rsidRPr="00B93EE1">
              <w:rPr>
                <w:sz w:val="16"/>
                <w:szCs w:val="16"/>
              </w:rPr>
              <w:t>450</w:t>
            </w:r>
          </w:p>
        </w:tc>
        <w:tc>
          <w:tcPr>
            <w:tcW w:w="1022" w:type="dxa"/>
            <w:noWrap/>
            <w:vAlign w:val="center"/>
            <w:hideMark/>
          </w:tcPr>
          <w:p w14:paraId="0E79CAC0" w14:textId="77777777" w:rsidR="00120717" w:rsidRPr="00B93EE1" w:rsidRDefault="00120717" w:rsidP="00083604">
            <w:pPr>
              <w:ind w:right="113"/>
              <w:jc w:val="right"/>
              <w:rPr>
                <w:sz w:val="16"/>
                <w:szCs w:val="16"/>
              </w:rPr>
            </w:pPr>
            <w:r w:rsidRPr="00B93EE1">
              <w:rPr>
                <w:sz w:val="16"/>
                <w:szCs w:val="16"/>
              </w:rPr>
              <w:t>416</w:t>
            </w:r>
          </w:p>
        </w:tc>
      </w:tr>
      <w:tr w:rsidR="00120717" w:rsidRPr="00B93EE1" w14:paraId="21BBA039"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2883" w:type="dxa"/>
            <w:noWrap/>
            <w:vAlign w:val="center"/>
            <w:hideMark/>
          </w:tcPr>
          <w:p w14:paraId="1CF8479A" w14:textId="77777777" w:rsidR="00120717" w:rsidRPr="00B93EE1" w:rsidRDefault="00120717" w:rsidP="00220A2F">
            <w:pPr>
              <w:ind w:left="159"/>
              <w:jc w:val="left"/>
              <w:rPr>
                <w:sz w:val="16"/>
                <w:szCs w:val="16"/>
              </w:rPr>
            </w:pPr>
            <w:r w:rsidRPr="00B93EE1">
              <w:rPr>
                <w:sz w:val="16"/>
                <w:szCs w:val="16"/>
              </w:rPr>
              <w:t>Food processing</w:t>
            </w:r>
          </w:p>
        </w:tc>
        <w:tc>
          <w:tcPr>
            <w:tcW w:w="1023" w:type="dxa"/>
            <w:noWrap/>
            <w:vAlign w:val="center"/>
            <w:hideMark/>
          </w:tcPr>
          <w:p w14:paraId="7BDF97F6" w14:textId="77777777" w:rsidR="00120717" w:rsidRPr="00B93EE1" w:rsidRDefault="00120717" w:rsidP="00083604">
            <w:pPr>
              <w:ind w:right="113"/>
              <w:jc w:val="right"/>
              <w:rPr>
                <w:sz w:val="16"/>
                <w:szCs w:val="16"/>
              </w:rPr>
            </w:pPr>
            <w:r w:rsidRPr="00B93EE1">
              <w:rPr>
                <w:sz w:val="16"/>
                <w:szCs w:val="16"/>
              </w:rPr>
              <w:t>2,437</w:t>
            </w:r>
          </w:p>
        </w:tc>
        <w:tc>
          <w:tcPr>
            <w:tcW w:w="1022" w:type="dxa"/>
            <w:noWrap/>
            <w:vAlign w:val="center"/>
            <w:hideMark/>
          </w:tcPr>
          <w:p w14:paraId="4BD5C156" w14:textId="77777777" w:rsidR="00120717" w:rsidRPr="00B93EE1" w:rsidRDefault="00120717" w:rsidP="00083604">
            <w:pPr>
              <w:ind w:right="113"/>
              <w:jc w:val="right"/>
              <w:rPr>
                <w:sz w:val="16"/>
                <w:szCs w:val="16"/>
              </w:rPr>
            </w:pPr>
            <w:r w:rsidRPr="00B93EE1">
              <w:rPr>
                <w:sz w:val="16"/>
                <w:szCs w:val="16"/>
              </w:rPr>
              <w:t>2,507</w:t>
            </w:r>
          </w:p>
        </w:tc>
        <w:tc>
          <w:tcPr>
            <w:tcW w:w="1022" w:type="dxa"/>
            <w:noWrap/>
            <w:vAlign w:val="center"/>
            <w:hideMark/>
          </w:tcPr>
          <w:p w14:paraId="6266DB94" w14:textId="77777777" w:rsidR="00120717" w:rsidRPr="00B93EE1" w:rsidRDefault="00120717" w:rsidP="00083604">
            <w:pPr>
              <w:ind w:right="113"/>
              <w:jc w:val="right"/>
              <w:rPr>
                <w:sz w:val="16"/>
                <w:szCs w:val="16"/>
              </w:rPr>
            </w:pPr>
            <w:r w:rsidRPr="00B93EE1">
              <w:rPr>
                <w:sz w:val="16"/>
                <w:szCs w:val="16"/>
              </w:rPr>
              <w:t>2,663</w:t>
            </w:r>
          </w:p>
        </w:tc>
        <w:tc>
          <w:tcPr>
            <w:tcW w:w="1022" w:type="dxa"/>
            <w:noWrap/>
            <w:vAlign w:val="center"/>
            <w:hideMark/>
          </w:tcPr>
          <w:p w14:paraId="1F02A6B7" w14:textId="77777777" w:rsidR="00120717" w:rsidRPr="00B93EE1" w:rsidRDefault="00120717" w:rsidP="00083604">
            <w:pPr>
              <w:ind w:right="113"/>
              <w:jc w:val="right"/>
              <w:rPr>
                <w:sz w:val="16"/>
                <w:szCs w:val="16"/>
              </w:rPr>
            </w:pPr>
            <w:r w:rsidRPr="00B93EE1">
              <w:rPr>
                <w:sz w:val="16"/>
                <w:szCs w:val="16"/>
              </w:rPr>
              <w:t>2,776</w:t>
            </w:r>
          </w:p>
        </w:tc>
        <w:tc>
          <w:tcPr>
            <w:tcW w:w="1022" w:type="dxa"/>
            <w:noWrap/>
            <w:vAlign w:val="center"/>
            <w:hideMark/>
          </w:tcPr>
          <w:p w14:paraId="43C28E2D" w14:textId="77777777" w:rsidR="00120717" w:rsidRPr="00B93EE1" w:rsidRDefault="00120717" w:rsidP="00083604">
            <w:pPr>
              <w:ind w:right="113"/>
              <w:jc w:val="right"/>
              <w:rPr>
                <w:sz w:val="16"/>
                <w:szCs w:val="16"/>
              </w:rPr>
            </w:pPr>
            <w:r w:rsidRPr="00B93EE1">
              <w:rPr>
                <w:sz w:val="16"/>
                <w:szCs w:val="16"/>
              </w:rPr>
              <w:t>2,807</w:t>
            </w:r>
          </w:p>
        </w:tc>
        <w:tc>
          <w:tcPr>
            <w:tcW w:w="1022" w:type="dxa"/>
            <w:noWrap/>
            <w:vAlign w:val="center"/>
            <w:hideMark/>
          </w:tcPr>
          <w:p w14:paraId="19D52A11" w14:textId="77777777" w:rsidR="00120717" w:rsidRPr="00B93EE1" w:rsidRDefault="00120717" w:rsidP="00083604">
            <w:pPr>
              <w:ind w:right="113"/>
              <w:jc w:val="right"/>
              <w:rPr>
                <w:sz w:val="16"/>
                <w:szCs w:val="16"/>
              </w:rPr>
            </w:pPr>
            <w:r w:rsidRPr="00B93EE1">
              <w:rPr>
                <w:sz w:val="16"/>
                <w:szCs w:val="16"/>
              </w:rPr>
              <w:t>2,873</w:t>
            </w:r>
          </w:p>
        </w:tc>
      </w:tr>
      <w:tr w:rsidR="00120717" w:rsidRPr="00B93EE1" w14:paraId="7DC5C42A" w14:textId="77777777" w:rsidTr="00083604">
        <w:trPr>
          <w:trHeight w:val="20"/>
        </w:trPr>
        <w:tc>
          <w:tcPr>
            <w:tcW w:w="2883" w:type="dxa"/>
            <w:noWrap/>
            <w:vAlign w:val="center"/>
            <w:hideMark/>
          </w:tcPr>
          <w:p w14:paraId="35FE8093" w14:textId="77777777" w:rsidR="00120717" w:rsidRPr="00B93EE1" w:rsidRDefault="00120717" w:rsidP="00220A2F">
            <w:pPr>
              <w:ind w:left="159"/>
              <w:jc w:val="left"/>
              <w:rPr>
                <w:sz w:val="16"/>
                <w:szCs w:val="16"/>
              </w:rPr>
            </w:pPr>
            <w:r w:rsidRPr="00B93EE1">
              <w:rPr>
                <w:sz w:val="16"/>
                <w:szCs w:val="16"/>
              </w:rPr>
              <w:t>Wood, pulp, paper and printing</w:t>
            </w:r>
          </w:p>
        </w:tc>
        <w:tc>
          <w:tcPr>
            <w:tcW w:w="1023" w:type="dxa"/>
            <w:noWrap/>
            <w:vAlign w:val="center"/>
            <w:hideMark/>
          </w:tcPr>
          <w:p w14:paraId="7F976762" w14:textId="77777777" w:rsidR="00120717" w:rsidRPr="00B93EE1" w:rsidRDefault="00120717" w:rsidP="00083604">
            <w:pPr>
              <w:ind w:right="113"/>
              <w:jc w:val="right"/>
              <w:rPr>
                <w:sz w:val="16"/>
                <w:szCs w:val="16"/>
              </w:rPr>
            </w:pPr>
            <w:r w:rsidRPr="00B93EE1">
              <w:rPr>
                <w:sz w:val="16"/>
                <w:szCs w:val="16"/>
              </w:rPr>
              <w:t>2,729</w:t>
            </w:r>
          </w:p>
        </w:tc>
        <w:tc>
          <w:tcPr>
            <w:tcW w:w="1022" w:type="dxa"/>
            <w:noWrap/>
            <w:vAlign w:val="center"/>
            <w:hideMark/>
          </w:tcPr>
          <w:p w14:paraId="6E660E97" w14:textId="77777777" w:rsidR="00120717" w:rsidRPr="00B93EE1" w:rsidRDefault="00120717" w:rsidP="00083604">
            <w:pPr>
              <w:ind w:right="113"/>
              <w:jc w:val="right"/>
              <w:rPr>
                <w:sz w:val="16"/>
                <w:szCs w:val="16"/>
              </w:rPr>
            </w:pPr>
            <w:r w:rsidRPr="00B93EE1">
              <w:rPr>
                <w:sz w:val="16"/>
                <w:szCs w:val="16"/>
              </w:rPr>
              <w:t>2,732</w:t>
            </w:r>
          </w:p>
        </w:tc>
        <w:tc>
          <w:tcPr>
            <w:tcW w:w="1022" w:type="dxa"/>
            <w:noWrap/>
            <w:vAlign w:val="center"/>
            <w:hideMark/>
          </w:tcPr>
          <w:p w14:paraId="5C4A9796" w14:textId="77777777" w:rsidR="00120717" w:rsidRPr="00B93EE1" w:rsidRDefault="00120717" w:rsidP="00083604">
            <w:pPr>
              <w:ind w:right="113"/>
              <w:jc w:val="right"/>
              <w:rPr>
                <w:sz w:val="16"/>
                <w:szCs w:val="16"/>
              </w:rPr>
            </w:pPr>
            <w:r w:rsidRPr="00B93EE1">
              <w:rPr>
                <w:sz w:val="16"/>
                <w:szCs w:val="16"/>
              </w:rPr>
              <w:t>2,698</w:t>
            </w:r>
          </w:p>
        </w:tc>
        <w:tc>
          <w:tcPr>
            <w:tcW w:w="1022" w:type="dxa"/>
            <w:noWrap/>
            <w:vAlign w:val="center"/>
            <w:hideMark/>
          </w:tcPr>
          <w:p w14:paraId="34A64284" w14:textId="77777777" w:rsidR="00120717" w:rsidRPr="00B93EE1" w:rsidRDefault="00120717" w:rsidP="00083604">
            <w:pPr>
              <w:ind w:right="113"/>
              <w:jc w:val="right"/>
              <w:rPr>
                <w:sz w:val="16"/>
                <w:szCs w:val="16"/>
              </w:rPr>
            </w:pPr>
            <w:r w:rsidRPr="00B93EE1">
              <w:rPr>
                <w:sz w:val="16"/>
                <w:szCs w:val="16"/>
              </w:rPr>
              <w:t>2,661</w:t>
            </w:r>
          </w:p>
        </w:tc>
        <w:tc>
          <w:tcPr>
            <w:tcW w:w="1022" w:type="dxa"/>
            <w:noWrap/>
            <w:vAlign w:val="center"/>
            <w:hideMark/>
          </w:tcPr>
          <w:p w14:paraId="69528071" w14:textId="77777777" w:rsidR="00120717" w:rsidRPr="00B93EE1" w:rsidRDefault="00120717" w:rsidP="00083604">
            <w:pPr>
              <w:ind w:right="113"/>
              <w:jc w:val="right"/>
              <w:rPr>
                <w:sz w:val="16"/>
                <w:szCs w:val="16"/>
              </w:rPr>
            </w:pPr>
            <w:r w:rsidRPr="00B93EE1">
              <w:rPr>
                <w:sz w:val="16"/>
                <w:szCs w:val="16"/>
              </w:rPr>
              <w:t>2,577</w:t>
            </w:r>
          </w:p>
        </w:tc>
        <w:tc>
          <w:tcPr>
            <w:tcW w:w="1022" w:type="dxa"/>
            <w:noWrap/>
            <w:vAlign w:val="center"/>
            <w:hideMark/>
          </w:tcPr>
          <w:p w14:paraId="1D165BA0" w14:textId="77777777" w:rsidR="00120717" w:rsidRPr="00B93EE1" w:rsidRDefault="00120717" w:rsidP="00083604">
            <w:pPr>
              <w:ind w:right="113"/>
              <w:jc w:val="right"/>
              <w:rPr>
                <w:sz w:val="16"/>
                <w:szCs w:val="16"/>
              </w:rPr>
            </w:pPr>
            <w:r w:rsidRPr="00B93EE1">
              <w:rPr>
                <w:sz w:val="16"/>
                <w:szCs w:val="16"/>
              </w:rPr>
              <w:t>2,084</w:t>
            </w:r>
          </w:p>
        </w:tc>
      </w:tr>
      <w:tr w:rsidR="00120717" w:rsidRPr="00B93EE1" w14:paraId="2DCDBB03"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2883" w:type="dxa"/>
            <w:noWrap/>
            <w:vAlign w:val="center"/>
            <w:hideMark/>
          </w:tcPr>
          <w:p w14:paraId="2703848F" w14:textId="77777777" w:rsidR="00120717" w:rsidRPr="00B93EE1" w:rsidRDefault="00120717" w:rsidP="00220A2F">
            <w:pPr>
              <w:ind w:left="159"/>
              <w:jc w:val="left"/>
              <w:rPr>
                <w:sz w:val="16"/>
                <w:szCs w:val="16"/>
              </w:rPr>
            </w:pPr>
            <w:r w:rsidRPr="00B93EE1">
              <w:rPr>
                <w:sz w:val="16"/>
                <w:szCs w:val="16"/>
              </w:rPr>
              <w:t>Chemicals</w:t>
            </w:r>
          </w:p>
        </w:tc>
        <w:tc>
          <w:tcPr>
            <w:tcW w:w="1023" w:type="dxa"/>
            <w:noWrap/>
            <w:vAlign w:val="center"/>
            <w:hideMark/>
          </w:tcPr>
          <w:p w14:paraId="4D011AD2" w14:textId="77777777" w:rsidR="00120717" w:rsidRPr="00B93EE1" w:rsidRDefault="00120717" w:rsidP="00083604">
            <w:pPr>
              <w:ind w:right="113"/>
              <w:jc w:val="right"/>
              <w:rPr>
                <w:sz w:val="16"/>
                <w:szCs w:val="16"/>
              </w:rPr>
            </w:pPr>
            <w:r w:rsidRPr="00B93EE1">
              <w:rPr>
                <w:sz w:val="16"/>
                <w:szCs w:val="16"/>
              </w:rPr>
              <w:t>775</w:t>
            </w:r>
          </w:p>
        </w:tc>
        <w:tc>
          <w:tcPr>
            <w:tcW w:w="1022" w:type="dxa"/>
            <w:noWrap/>
            <w:vAlign w:val="center"/>
            <w:hideMark/>
          </w:tcPr>
          <w:p w14:paraId="3E6EBEF5" w14:textId="77777777" w:rsidR="00120717" w:rsidRPr="00B93EE1" w:rsidRDefault="00120717" w:rsidP="00083604">
            <w:pPr>
              <w:ind w:right="113"/>
              <w:jc w:val="right"/>
              <w:rPr>
                <w:sz w:val="16"/>
                <w:szCs w:val="16"/>
              </w:rPr>
            </w:pPr>
            <w:r w:rsidRPr="00B93EE1">
              <w:rPr>
                <w:sz w:val="16"/>
                <w:szCs w:val="16"/>
              </w:rPr>
              <w:t>819</w:t>
            </w:r>
          </w:p>
        </w:tc>
        <w:tc>
          <w:tcPr>
            <w:tcW w:w="1022" w:type="dxa"/>
            <w:noWrap/>
            <w:vAlign w:val="center"/>
            <w:hideMark/>
          </w:tcPr>
          <w:p w14:paraId="39A0A096" w14:textId="77777777" w:rsidR="00120717" w:rsidRPr="00B93EE1" w:rsidRDefault="00120717" w:rsidP="00083604">
            <w:pPr>
              <w:ind w:right="113"/>
              <w:jc w:val="right"/>
              <w:rPr>
                <w:sz w:val="16"/>
                <w:szCs w:val="16"/>
              </w:rPr>
            </w:pPr>
            <w:r w:rsidRPr="00B93EE1">
              <w:rPr>
                <w:sz w:val="16"/>
                <w:szCs w:val="16"/>
              </w:rPr>
              <w:t>866</w:t>
            </w:r>
          </w:p>
        </w:tc>
        <w:tc>
          <w:tcPr>
            <w:tcW w:w="1022" w:type="dxa"/>
            <w:noWrap/>
            <w:vAlign w:val="center"/>
            <w:hideMark/>
          </w:tcPr>
          <w:p w14:paraId="623D5D54" w14:textId="77777777" w:rsidR="00120717" w:rsidRPr="00B93EE1" w:rsidRDefault="00120717" w:rsidP="00083604">
            <w:pPr>
              <w:ind w:right="113"/>
              <w:jc w:val="right"/>
              <w:rPr>
                <w:sz w:val="16"/>
                <w:szCs w:val="16"/>
              </w:rPr>
            </w:pPr>
            <w:r w:rsidRPr="00B93EE1">
              <w:rPr>
                <w:sz w:val="16"/>
                <w:szCs w:val="16"/>
              </w:rPr>
              <w:t>780</w:t>
            </w:r>
          </w:p>
        </w:tc>
        <w:tc>
          <w:tcPr>
            <w:tcW w:w="1022" w:type="dxa"/>
            <w:noWrap/>
            <w:vAlign w:val="center"/>
            <w:hideMark/>
          </w:tcPr>
          <w:p w14:paraId="67323A40" w14:textId="77777777" w:rsidR="00120717" w:rsidRPr="00B93EE1" w:rsidRDefault="00120717" w:rsidP="00083604">
            <w:pPr>
              <w:ind w:right="113"/>
              <w:jc w:val="right"/>
              <w:rPr>
                <w:sz w:val="16"/>
                <w:szCs w:val="16"/>
              </w:rPr>
            </w:pPr>
            <w:r w:rsidRPr="00B93EE1">
              <w:rPr>
                <w:sz w:val="16"/>
                <w:szCs w:val="16"/>
              </w:rPr>
              <w:t>801</w:t>
            </w:r>
          </w:p>
        </w:tc>
        <w:tc>
          <w:tcPr>
            <w:tcW w:w="1022" w:type="dxa"/>
            <w:noWrap/>
            <w:vAlign w:val="center"/>
            <w:hideMark/>
          </w:tcPr>
          <w:p w14:paraId="0CF1A82F" w14:textId="77777777" w:rsidR="00120717" w:rsidRPr="00B93EE1" w:rsidRDefault="00120717" w:rsidP="00083604">
            <w:pPr>
              <w:ind w:right="113"/>
              <w:jc w:val="right"/>
              <w:rPr>
                <w:sz w:val="16"/>
                <w:szCs w:val="16"/>
              </w:rPr>
            </w:pPr>
            <w:r w:rsidRPr="00B93EE1">
              <w:rPr>
                <w:sz w:val="16"/>
                <w:szCs w:val="16"/>
              </w:rPr>
              <w:t>764</w:t>
            </w:r>
          </w:p>
        </w:tc>
      </w:tr>
      <w:tr w:rsidR="00120717" w:rsidRPr="00B93EE1" w14:paraId="4E1E5E3C" w14:textId="77777777" w:rsidTr="00083604">
        <w:trPr>
          <w:trHeight w:val="20"/>
        </w:trPr>
        <w:tc>
          <w:tcPr>
            <w:tcW w:w="2883" w:type="dxa"/>
            <w:noWrap/>
            <w:vAlign w:val="center"/>
            <w:hideMark/>
          </w:tcPr>
          <w:p w14:paraId="488C34CF" w14:textId="77777777" w:rsidR="00120717" w:rsidRPr="00B93EE1" w:rsidRDefault="00120717" w:rsidP="00220A2F">
            <w:pPr>
              <w:ind w:left="159"/>
              <w:jc w:val="left"/>
              <w:rPr>
                <w:sz w:val="16"/>
                <w:szCs w:val="16"/>
              </w:rPr>
            </w:pPr>
            <w:r w:rsidRPr="00B93EE1">
              <w:rPr>
                <w:sz w:val="16"/>
                <w:szCs w:val="16"/>
              </w:rPr>
              <w:t>Basic metals</w:t>
            </w:r>
          </w:p>
        </w:tc>
        <w:tc>
          <w:tcPr>
            <w:tcW w:w="1023" w:type="dxa"/>
            <w:noWrap/>
            <w:vAlign w:val="center"/>
            <w:hideMark/>
          </w:tcPr>
          <w:p w14:paraId="45D2D76B" w14:textId="77777777" w:rsidR="00120717" w:rsidRPr="00B93EE1" w:rsidRDefault="00120717" w:rsidP="00083604">
            <w:pPr>
              <w:ind w:right="113"/>
              <w:jc w:val="right"/>
              <w:rPr>
                <w:sz w:val="16"/>
                <w:szCs w:val="16"/>
              </w:rPr>
            </w:pPr>
            <w:r w:rsidRPr="00B93EE1">
              <w:rPr>
                <w:sz w:val="16"/>
                <w:szCs w:val="16"/>
              </w:rPr>
              <w:t>6,524</w:t>
            </w:r>
          </w:p>
        </w:tc>
        <w:tc>
          <w:tcPr>
            <w:tcW w:w="1022" w:type="dxa"/>
            <w:noWrap/>
            <w:vAlign w:val="center"/>
            <w:hideMark/>
          </w:tcPr>
          <w:p w14:paraId="449F0521" w14:textId="77777777" w:rsidR="00120717" w:rsidRPr="00B93EE1" w:rsidRDefault="00120717" w:rsidP="00083604">
            <w:pPr>
              <w:ind w:right="113"/>
              <w:jc w:val="right"/>
              <w:rPr>
                <w:sz w:val="16"/>
                <w:szCs w:val="16"/>
              </w:rPr>
            </w:pPr>
            <w:r w:rsidRPr="00B93EE1">
              <w:rPr>
                <w:sz w:val="16"/>
                <w:szCs w:val="16"/>
              </w:rPr>
              <w:t>6,453</w:t>
            </w:r>
          </w:p>
        </w:tc>
        <w:tc>
          <w:tcPr>
            <w:tcW w:w="1022" w:type="dxa"/>
            <w:noWrap/>
            <w:vAlign w:val="center"/>
            <w:hideMark/>
          </w:tcPr>
          <w:p w14:paraId="239493FD" w14:textId="77777777" w:rsidR="00120717" w:rsidRPr="00B93EE1" w:rsidRDefault="00120717" w:rsidP="00083604">
            <w:pPr>
              <w:ind w:right="113"/>
              <w:jc w:val="right"/>
              <w:rPr>
                <w:sz w:val="16"/>
                <w:szCs w:val="16"/>
              </w:rPr>
            </w:pPr>
            <w:r w:rsidRPr="00B93EE1">
              <w:rPr>
                <w:sz w:val="16"/>
                <w:szCs w:val="16"/>
              </w:rPr>
              <w:t>6,357</w:t>
            </w:r>
          </w:p>
        </w:tc>
        <w:tc>
          <w:tcPr>
            <w:tcW w:w="1022" w:type="dxa"/>
            <w:noWrap/>
            <w:vAlign w:val="center"/>
            <w:hideMark/>
          </w:tcPr>
          <w:p w14:paraId="15FE11F3" w14:textId="77777777" w:rsidR="00120717" w:rsidRPr="00B93EE1" w:rsidRDefault="00120717" w:rsidP="00083604">
            <w:pPr>
              <w:ind w:right="113"/>
              <w:jc w:val="right"/>
              <w:rPr>
                <w:sz w:val="16"/>
                <w:szCs w:val="16"/>
              </w:rPr>
            </w:pPr>
            <w:r w:rsidRPr="00B93EE1">
              <w:rPr>
                <w:sz w:val="16"/>
                <w:szCs w:val="16"/>
              </w:rPr>
              <w:t>6,387</w:t>
            </w:r>
          </w:p>
        </w:tc>
        <w:tc>
          <w:tcPr>
            <w:tcW w:w="1022" w:type="dxa"/>
            <w:noWrap/>
            <w:vAlign w:val="center"/>
            <w:hideMark/>
          </w:tcPr>
          <w:p w14:paraId="4F03643A" w14:textId="77777777" w:rsidR="00120717" w:rsidRPr="00B93EE1" w:rsidRDefault="00120717" w:rsidP="00083604">
            <w:pPr>
              <w:ind w:right="113"/>
              <w:jc w:val="right"/>
              <w:rPr>
                <w:sz w:val="16"/>
                <w:szCs w:val="16"/>
              </w:rPr>
            </w:pPr>
            <w:r w:rsidRPr="00B93EE1">
              <w:rPr>
                <w:sz w:val="16"/>
                <w:szCs w:val="16"/>
              </w:rPr>
              <w:t>6,570</w:t>
            </w:r>
          </w:p>
        </w:tc>
        <w:tc>
          <w:tcPr>
            <w:tcW w:w="1022" w:type="dxa"/>
            <w:noWrap/>
            <w:vAlign w:val="center"/>
            <w:hideMark/>
          </w:tcPr>
          <w:p w14:paraId="5028F3D0" w14:textId="77777777" w:rsidR="00120717" w:rsidRPr="00B93EE1" w:rsidRDefault="00120717" w:rsidP="00083604">
            <w:pPr>
              <w:ind w:right="113"/>
              <w:jc w:val="right"/>
              <w:rPr>
                <w:sz w:val="16"/>
                <w:szCs w:val="16"/>
              </w:rPr>
            </w:pPr>
            <w:r w:rsidRPr="00B93EE1">
              <w:rPr>
                <w:sz w:val="16"/>
                <w:szCs w:val="16"/>
              </w:rPr>
              <w:t>6,240</w:t>
            </w:r>
          </w:p>
        </w:tc>
      </w:tr>
      <w:tr w:rsidR="00120717" w:rsidRPr="00B93EE1" w14:paraId="17229FFE"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2883" w:type="dxa"/>
            <w:noWrap/>
            <w:vAlign w:val="center"/>
            <w:hideMark/>
          </w:tcPr>
          <w:p w14:paraId="7E11FE4F" w14:textId="77777777" w:rsidR="00120717" w:rsidRPr="00B93EE1" w:rsidRDefault="00120717" w:rsidP="00220A2F">
            <w:pPr>
              <w:ind w:left="159"/>
              <w:jc w:val="left"/>
              <w:rPr>
                <w:sz w:val="16"/>
                <w:szCs w:val="16"/>
              </w:rPr>
            </w:pPr>
            <w:r w:rsidRPr="00B93EE1">
              <w:rPr>
                <w:sz w:val="16"/>
                <w:szCs w:val="16"/>
              </w:rPr>
              <w:t>Other minor sectors</w:t>
            </w:r>
          </w:p>
        </w:tc>
        <w:tc>
          <w:tcPr>
            <w:tcW w:w="1023" w:type="dxa"/>
            <w:noWrap/>
            <w:vAlign w:val="center"/>
            <w:hideMark/>
          </w:tcPr>
          <w:p w14:paraId="135606BA" w14:textId="77777777" w:rsidR="00120717" w:rsidRPr="00B93EE1" w:rsidRDefault="00120717" w:rsidP="00083604">
            <w:pPr>
              <w:ind w:right="113"/>
              <w:jc w:val="right"/>
              <w:rPr>
                <w:sz w:val="16"/>
                <w:szCs w:val="16"/>
              </w:rPr>
            </w:pPr>
            <w:r w:rsidRPr="00B93EE1">
              <w:rPr>
                <w:sz w:val="16"/>
                <w:szCs w:val="16"/>
              </w:rPr>
              <w:t>1,739</w:t>
            </w:r>
          </w:p>
        </w:tc>
        <w:tc>
          <w:tcPr>
            <w:tcW w:w="1022" w:type="dxa"/>
            <w:noWrap/>
            <w:vAlign w:val="center"/>
            <w:hideMark/>
          </w:tcPr>
          <w:p w14:paraId="664CC1F1" w14:textId="77777777" w:rsidR="00120717" w:rsidRPr="00B93EE1" w:rsidRDefault="00120717" w:rsidP="00083604">
            <w:pPr>
              <w:ind w:right="113"/>
              <w:jc w:val="right"/>
              <w:rPr>
                <w:sz w:val="16"/>
                <w:szCs w:val="16"/>
              </w:rPr>
            </w:pPr>
            <w:r w:rsidRPr="00B93EE1">
              <w:rPr>
                <w:sz w:val="16"/>
                <w:szCs w:val="16"/>
              </w:rPr>
              <w:t xml:space="preserve">1,674 </w:t>
            </w:r>
          </w:p>
        </w:tc>
        <w:tc>
          <w:tcPr>
            <w:tcW w:w="1022" w:type="dxa"/>
            <w:noWrap/>
            <w:vAlign w:val="center"/>
            <w:hideMark/>
          </w:tcPr>
          <w:p w14:paraId="29B9397B" w14:textId="77777777" w:rsidR="00120717" w:rsidRPr="00B93EE1" w:rsidRDefault="00120717" w:rsidP="00083604">
            <w:pPr>
              <w:ind w:right="113"/>
              <w:jc w:val="right"/>
              <w:rPr>
                <w:sz w:val="16"/>
                <w:szCs w:val="16"/>
              </w:rPr>
            </w:pPr>
            <w:r w:rsidRPr="00B93EE1">
              <w:rPr>
                <w:sz w:val="16"/>
                <w:szCs w:val="16"/>
              </w:rPr>
              <w:t>1,616</w:t>
            </w:r>
          </w:p>
        </w:tc>
        <w:tc>
          <w:tcPr>
            <w:tcW w:w="1022" w:type="dxa"/>
            <w:noWrap/>
            <w:vAlign w:val="center"/>
            <w:hideMark/>
          </w:tcPr>
          <w:p w14:paraId="41DEF1FC" w14:textId="77777777" w:rsidR="00120717" w:rsidRPr="00B93EE1" w:rsidRDefault="00120717" w:rsidP="00083604">
            <w:pPr>
              <w:ind w:right="113"/>
              <w:jc w:val="right"/>
              <w:rPr>
                <w:sz w:val="16"/>
                <w:szCs w:val="16"/>
              </w:rPr>
            </w:pPr>
            <w:r w:rsidRPr="00B93EE1">
              <w:rPr>
                <w:sz w:val="16"/>
                <w:szCs w:val="16"/>
              </w:rPr>
              <w:t>1,568</w:t>
            </w:r>
          </w:p>
        </w:tc>
        <w:tc>
          <w:tcPr>
            <w:tcW w:w="1022" w:type="dxa"/>
            <w:noWrap/>
            <w:vAlign w:val="center"/>
            <w:hideMark/>
          </w:tcPr>
          <w:p w14:paraId="20F62345" w14:textId="77777777" w:rsidR="00120717" w:rsidRPr="00B93EE1" w:rsidRDefault="00120717" w:rsidP="00083604">
            <w:pPr>
              <w:ind w:right="113"/>
              <w:jc w:val="right"/>
              <w:rPr>
                <w:sz w:val="16"/>
                <w:szCs w:val="16"/>
              </w:rPr>
            </w:pPr>
            <w:r w:rsidRPr="00B93EE1">
              <w:rPr>
                <w:sz w:val="16"/>
                <w:szCs w:val="16"/>
              </w:rPr>
              <w:t>1,624</w:t>
            </w:r>
          </w:p>
        </w:tc>
        <w:tc>
          <w:tcPr>
            <w:tcW w:w="1022" w:type="dxa"/>
            <w:noWrap/>
            <w:vAlign w:val="center"/>
            <w:hideMark/>
          </w:tcPr>
          <w:p w14:paraId="1DB3D5ED" w14:textId="77777777" w:rsidR="00120717" w:rsidRPr="00B93EE1" w:rsidRDefault="00120717" w:rsidP="00083604">
            <w:pPr>
              <w:ind w:right="113"/>
              <w:jc w:val="right"/>
              <w:rPr>
                <w:sz w:val="16"/>
                <w:szCs w:val="16"/>
              </w:rPr>
            </w:pPr>
            <w:r w:rsidRPr="00B93EE1">
              <w:rPr>
                <w:sz w:val="16"/>
                <w:szCs w:val="16"/>
              </w:rPr>
              <w:t>1,659</w:t>
            </w:r>
          </w:p>
        </w:tc>
      </w:tr>
      <w:tr w:rsidR="00120717" w:rsidRPr="00B93EE1" w14:paraId="6F909EDB" w14:textId="77777777" w:rsidTr="00083604">
        <w:trPr>
          <w:trHeight w:val="20"/>
        </w:trPr>
        <w:tc>
          <w:tcPr>
            <w:tcW w:w="2883" w:type="dxa"/>
            <w:noWrap/>
            <w:vAlign w:val="center"/>
            <w:hideMark/>
          </w:tcPr>
          <w:p w14:paraId="2660A446" w14:textId="77777777" w:rsidR="00120717" w:rsidRPr="00B93EE1" w:rsidRDefault="00120717" w:rsidP="00083604">
            <w:pPr>
              <w:jc w:val="left"/>
              <w:rPr>
                <w:b/>
                <w:bCs/>
                <w:sz w:val="16"/>
                <w:szCs w:val="16"/>
              </w:rPr>
            </w:pPr>
            <w:r w:rsidRPr="00B93EE1">
              <w:rPr>
                <w:b/>
                <w:bCs/>
                <w:sz w:val="16"/>
                <w:szCs w:val="16"/>
              </w:rPr>
              <w:t>Commercial</w:t>
            </w:r>
          </w:p>
        </w:tc>
        <w:tc>
          <w:tcPr>
            <w:tcW w:w="1023" w:type="dxa"/>
            <w:noWrap/>
            <w:vAlign w:val="center"/>
            <w:hideMark/>
          </w:tcPr>
          <w:p w14:paraId="648AD277" w14:textId="77777777" w:rsidR="00120717" w:rsidRPr="00B93EE1" w:rsidRDefault="00120717" w:rsidP="00083604">
            <w:pPr>
              <w:ind w:right="113"/>
              <w:jc w:val="right"/>
              <w:rPr>
                <w:sz w:val="16"/>
                <w:szCs w:val="16"/>
              </w:rPr>
            </w:pPr>
            <w:r w:rsidRPr="00B93EE1">
              <w:rPr>
                <w:sz w:val="16"/>
                <w:szCs w:val="16"/>
              </w:rPr>
              <w:t>9,456</w:t>
            </w:r>
          </w:p>
        </w:tc>
        <w:tc>
          <w:tcPr>
            <w:tcW w:w="1022" w:type="dxa"/>
            <w:noWrap/>
            <w:vAlign w:val="center"/>
            <w:hideMark/>
          </w:tcPr>
          <w:p w14:paraId="3CB9128C" w14:textId="77777777" w:rsidR="00120717" w:rsidRPr="00B93EE1" w:rsidRDefault="00120717" w:rsidP="00083604">
            <w:pPr>
              <w:ind w:right="113"/>
              <w:jc w:val="right"/>
              <w:rPr>
                <w:sz w:val="16"/>
                <w:szCs w:val="16"/>
              </w:rPr>
            </w:pPr>
            <w:r w:rsidRPr="00B93EE1">
              <w:rPr>
                <w:sz w:val="16"/>
                <w:szCs w:val="16"/>
              </w:rPr>
              <w:t>9,460</w:t>
            </w:r>
          </w:p>
        </w:tc>
        <w:tc>
          <w:tcPr>
            <w:tcW w:w="1022" w:type="dxa"/>
            <w:noWrap/>
            <w:vAlign w:val="center"/>
            <w:hideMark/>
          </w:tcPr>
          <w:p w14:paraId="23094D3E" w14:textId="77777777" w:rsidR="00120717" w:rsidRPr="00B93EE1" w:rsidRDefault="00120717" w:rsidP="00083604">
            <w:pPr>
              <w:ind w:right="113"/>
              <w:jc w:val="right"/>
              <w:rPr>
                <w:sz w:val="16"/>
                <w:szCs w:val="16"/>
              </w:rPr>
            </w:pPr>
            <w:r w:rsidRPr="00B93EE1">
              <w:rPr>
                <w:sz w:val="16"/>
                <w:szCs w:val="16"/>
              </w:rPr>
              <w:t>9,435</w:t>
            </w:r>
          </w:p>
        </w:tc>
        <w:tc>
          <w:tcPr>
            <w:tcW w:w="1022" w:type="dxa"/>
            <w:noWrap/>
            <w:vAlign w:val="center"/>
            <w:hideMark/>
          </w:tcPr>
          <w:p w14:paraId="36E508D5" w14:textId="77777777" w:rsidR="00120717" w:rsidRPr="00B93EE1" w:rsidRDefault="00120717" w:rsidP="00083604">
            <w:pPr>
              <w:ind w:right="113"/>
              <w:jc w:val="right"/>
              <w:rPr>
                <w:sz w:val="16"/>
                <w:szCs w:val="16"/>
              </w:rPr>
            </w:pPr>
            <w:r w:rsidRPr="00B93EE1">
              <w:rPr>
                <w:sz w:val="16"/>
                <w:szCs w:val="16"/>
              </w:rPr>
              <w:t>9,492</w:t>
            </w:r>
          </w:p>
        </w:tc>
        <w:tc>
          <w:tcPr>
            <w:tcW w:w="1022" w:type="dxa"/>
            <w:noWrap/>
            <w:vAlign w:val="center"/>
            <w:hideMark/>
          </w:tcPr>
          <w:p w14:paraId="0B90ADE5" w14:textId="77777777" w:rsidR="00120717" w:rsidRPr="00B93EE1" w:rsidRDefault="00120717" w:rsidP="00083604">
            <w:pPr>
              <w:ind w:right="113"/>
              <w:jc w:val="right"/>
              <w:rPr>
                <w:sz w:val="16"/>
                <w:szCs w:val="16"/>
              </w:rPr>
            </w:pPr>
            <w:r w:rsidRPr="00B93EE1">
              <w:rPr>
                <w:sz w:val="16"/>
                <w:szCs w:val="16"/>
              </w:rPr>
              <w:t>9,520</w:t>
            </w:r>
          </w:p>
        </w:tc>
        <w:tc>
          <w:tcPr>
            <w:tcW w:w="1022" w:type="dxa"/>
            <w:noWrap/>
            <w:vAlign w:val="center"/>
            <w:hideMark/>
          </w:tcPr>
          <w:p w14:paraId="486BEDDA" w14:textId="77777777" w:rsidR="00120717" w:rsidRPr="00B93EE1" w:rsidRDefault="00120717" w:rsidP="00083604">
            <w:pPr>
              <w:ind w:right="113"/>
              <w:jc w:val="right"/>
              <w:rPr>
                <w:sz w:val="16"/>
                <w:szCs w:val="16"/>
              </w:rPr>
            </w:pPr>
            <w:r w:rsidRPr="00B93EE1">
              <w:rPr>
                <w:sz w:val="16"/>
                <w:szCs w:val="16"/>
              </w:rPr>
              <w:t>9,175</w:t>
            </w:r>
          </w:p>
        </w:tc>
      </w:tr>
      <w:tr w:rsidR="00120717" w:rsidRPr="00B93EE1" w14:paraId="2C896004"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2883" w:type="dxa"/>
            <w:noWrap/>
            <w:vAlign w:val="center"/>
            <w:hideMark/>
          </w:tcPr>
          <w:p w14:paraId="1A2B2F85" w14:textId="77777777" w:rsidR="00120717" w:rsidRPr="00B93EE1" w:rsidRDefault="00120717" w:rsidP="00083604">
            <w:pPr>
              <w:jc w:val="left"/>
              <w:rPr>
                <w:b/>
                <w:bCs/>
                <w:sz w:val="16"/>
                <w:szCs w:val="16"/>
              </w:rPr>
            </w:pPr>
            <w:r w:rsidRPr="00B93EE1">
              <w:rPr>
                <w:b/>
                <w:bCs/>
                <w:sz w:val="16"/>
                <w:szCs w:val="16"/>
              </w:rPr>
              <w:t>Residential</w:t>
            </w:r>
          </w:p>
        </w:tc>
        <w:tc>
          <w:tcPr>
            <w:tcW w:w="1023" w:type="dxa"/>
            <w:noWrap/>
            <w:vAlign w:val="center"/>
            <w:hideMark/>
          </w:tcPr>
          <w:p w14:paraId="05CAD3D1" w14:textId="77777777" w:rsidR="00120717" w:rsidRPr="00B93EE1" w:rsidRDefault="00120717" w:rsidP="00083604">
            <w:pPr>
              <w:ind w:right="113"/>
              <w:jc w:val="right"/>
              <w:rPr>
                <w:sz w:val="16"/>
                <w:szCs w:val="16"/>
              </w:rPr>
            </w:pPr>
            <w:r w:rsidRPr="00B93EE1">
              <w:rPr>
                <w:sz w:val="16"/>
                <w:szCs w:val="16"/>
              </w:rPr>
              <w:t>12,469</w:t>
            </w:r>
          </w:p>
        </w:tc>
        <w:tc>
          <w:tcPr>
            <w:tcW w:w="1022" w:type="dxa"/>
            <w:noWrap/>
            <w:vAlign w:val="center"/>
            <w:hideMark/>
          </w:tcPr>
          <w:p w14:paraId="512CABE0" w14:textId="77777777" w:rsidR="00120717" w:rsidRPr="00B93EE1" w:rsidRDefault="00120717" w:rsidP="00083604">
            <w:pPr>
              <w:ind w:right="113"/>
              <w:jc w:val="right"/>
              <w:rPr>
                <w:sz w:val="16"/>
                <w:szCs w:val="16"/>
              </w:rPr>
            </w:pPr>
            <w:r w:rsidRPr="00B93EE1">
              <w:rPr>
                <w:sz w:val="16"/>
                <w:szCs w:val="16"/>
              </w:rPr>
              <w:t>12,377</w:t>
            </w:r>
          </w:p>
        </w:tc>
        <w:tc>
          <w:tcPr>
            <w:tcW w:w="1022" w:type="dxa"/>
            <w:noWrap/>
            <w:vAlign w:val="center"/>
            <w:hideMark/>
          </w:tcPr>
          <w:p w14:paraId="39CA9DFF" w14:textId="77777777" w:rsidR="00120717" w:rsidRPr="00B93EE1" w:rsidRDefault="00120717" w:rsidP="00083604">
            <w:pPr>
              <w:ind w:right="113"/>
              <w:jc w:val="right"/>
              <w:rPr>
                <w:sz w:val="16"/>
                <w:szCs w:val="16"/>
              </w:rPr>
            </w:pPr>
            <w:r w:rsidRPr="00B93EE1">
              <w:rPr>
                <w:sz w:val="16"/>
                <w:szCs w:val="16"/>
              </w:rPr>
              <w:t>12,381</w:t>
            </w:r>
          </w:p>
        </w:tc>
        <w:tc>
          <w:tcPr>
            <w:tcW w:w="1022" w:type="dxa"/>
            <w:noWrap/>
            <w:vAlign w:val="center"/>
            <w:hideMark/>
          </w:tcPr>
          <w:p w14:paraId="2D1C0F83" w14:textId="77777777" w:rsidR="00120717" w:rsidRPr="00B93EE1" w:rsidRDefault="00120717" w:rsidP="00083604">
            <w:pPr>
              <w:ind w:right="113"/>
              <w:jc w:val="right"/>
              <w:rPr>
                <w:sz w:val="16"/>
                <w:szCs w:val="16"/>
              </w:rPr>
            </w:pPr>
            <w:r w:rsidRPr="00B93EE1">
              <w:rPr>
                <w:sz w:val="16"/>
                <w:szCs w:val="16"/>
              </w:rPr>
              <w:t>12,703</w:t>
            </w:r>
          </w:p>
        </w:tc>
        <w:tc>
          <w:tcPr>
            <w:tcW w:w="1022" w:type="dxa"/>
            <w:noWrap/>
            <w:vAlign w:val="center"/>
            <w:hideMark/>
          </w:tcPr>
          <w:p w14:paraId="288BE032" w14:textId="77777777" w:rsidR="00120717" w:rsidRPr="00B93EE1" w:rsidRDefault="00120717" w:rsidP="00083604">
            <w:pPr>
              <w:ind w:right="113"/>
              <w:jc w:val="right"/>
              <w:rPr>
                <w:sz w:val="16"/>
                <w:szCs w:val="16"/>
              </w:rPr>
            </w:pPr>
            <w:r w:rsidRPr="00B93EE1">
              <w:rPr>
                <w:sz w:val="16"/>
                <w:szCs w:val="16"/>
              </w:rPr>
              <w:t>12,651</w:t>
            </w:r>
          </w:p>
        </w:tc>
        <w:tc>
          <w:tcPr>
            <w:tcW w:w="1022" w:type="dxa"/>
            <w:noWrap/>
            <w:vAlign w:val="center"/>
            <w:hideMark/>
          </w:tcPr>
          <w:p w14:paraId="19249C35" w14:textId="77777777" w:rsidR="00120717" w:rsidRPr="00B93EE1" w:rsidRDefault="00120717" w:rsidP="00083604">
            <w:pPr>
              <w:ind w:right="113"/>
              <w:jc w:val="right"/>
              <w:rPr>
                <w:sz w:val="16"/>
                <w:szCs w:val="16"/>
              </w:rPr>
            </w:pPr>
            <w:r w:rsidRPr="00B93EE1">
              <w:rPr>
                <w:sz w:val="16"/>
                <w:szCs w:val="16"/>
              </w:rPr>
              <w:t>12,877</w:t>
            </w:r>
          </w:p>
        </w:tc>
      </w:tr>
      <w:tr w:rsidR="00120717" w:rsidRPr="00B93EE1" w14:paraId="71956D12" w14:textId="77777777" w:rsidTr="00083604">
        <w:trPr>
          <w:trHeight w:val="20"/>
        </w:trPr>
        <w:tc>
          <w:tcPr>
            <w:tcW w:w="2883" w:type="dxa"/>
            <w:noWrap/>
            <w:vAlign w:val="center"/>
            <w:hideMark/>
          </w:tcPr>
          <w:p w14:paraId="2D354D39" w14:textId="77777777" w:rsidR="00120717" w:rsidRPr="00B93EE1" w:rsidRDefault="00120717" w:rsidP="00083604">
            <w:pPr>
              <w:jc w:val="left"/>
              <w:rPr>
                <w:b/>
                <w:bCs/>
                <w:sz w:val="16"/>
                <w:szCs w:val="16"/>
              </w:rPr>
            </w:pPr>
            <w:r w:rsidRPr="00B93EE1">
              <w:rPr>
                <w:b/>
                <w:bCs/>
                <w:sz w:val="16"/>
                <w:szCs w:val="16"/>
              </w:rPr>
              <w:t>Transport</w:t>
            </w:r>
          </w:p>
        </w:tc>
        <w:tc>
          <w:tcPr>
            <w:tcW w:w="1023" w:type="dxa"/>
            <w:noWrap/>
            <w:vAlign w:val="center"/>
            <w:hideMark/>
          </w:tcPr>
          <w:p w14:paraId="70E06064" w14:textId="77777777" w:rsidR="00120717" w:rsidRPr="00B93EE1" w:rsidRDefault="00120717" w:rsidP="00083604">
            <w:pPr>
              <w:ind w:right="113"/>
              <w:jc w:val="right"/>
              <w:rPr>
                <w:sz w:val="16"/>
                <w:szCs w:val="16"/>
              </w:rPr>
            </w:pPr>
            <w:r w:rsidRPr="00B93EE1">
              <w:rPr>
                <w:sz w:val="16"/>
                <w:szCs w:val="16"/>
              </w:rPr>
              <w:t>83</w:t>
            </w:r>
          </w:p>
        </w:tc>
        <w:tc>
          <w:tcPr>
            <w:tcW w:w="1022" w:type="dxa"/>
            <w:noWrap/>
            <w:vAlign w:val="center"/>
            <w:hideMark/>
          </w:tcPr>
          <w:p w14:paraId="6ADED09D" w14:textId="77777777" w:rsidR="00120717" w:rsidRPr="00B93EE1" w:rsidRDefault="00120717" w:rsidP="00083604">
            <w:pPr>
              <w:ind w:right="113"/>
              <w:jc w:val="right"/>
              <w:rPr>
                <w:sz w:val="16"/>
                <w:szCs w:val="16"/>
              </w:rPr>
            </w:pPr>
            <w:r w:rsidRPr="00B93EE1">
              <w:rPr>
                <w:sz w:val="16"/>
                <w:szCs w:val="16"/>
              </w:rPr>
              <w:t>91</w:t>
            </w:r>
          </w:p>
        </w:tc>
        <w:tc>
          <w:tcPr>
            <w:tcW w:w="1022" w:type="dxa"/>
            <w:noWrap/>
            <w:vAlign w:val="center"/>
            <w:hideMark/>
          </w:tcPr>
          <w:p w14:paraId="00F613A5" w14:textId="77777777" w:rsidR="00120717" w:rsidRPr="00B93EE1" w:rsidRDefault="00120717" w:rsidP="00083604">
            <w:pPr>
              <w:ind w:right="113"/>
              <w:jc w:val="right"/>
              <w:rPr>
                <w:sz w:val="16"/>
                <w:szCs w:val="16"/>
              </w:rPr>
            </w:pPr>
            <w:r w:rsidRPr="00B93EE1">
              <w:rPr>
                <w:sz w:val="16"/>
                <w:szCs w:val="16"/>
              </w:rPr>
              <w:t>91</w:t>
            </w:r>
          </w:p>
        </w:tc>
        <w:tc>
          <w:tcPr>
            <w:tcW w:w="1022" w:type="dxa"/>
            <w:noWrap/>
            <w:vAlign w:val="center"/>
            <w:hideMark/>
          </w:tcPr>
          <w:p w14:paraId="7B5C571C" w14:textId="77777777" w:rsidR="00120717" w:rsidRPr="00B93EE1" w:rsidRDefault="00120717" w:rsidP="00083604">
            <w:pPr>
              <w:ind w:right="113"/>
              <w:jc w:val="right"/>
              <w:rPr>
                <w:sz w:val="16"/>
                <w:szCs w:val="16"/>
              </w:rPr>
            </w:pPr>
            <w:r w:rsidRPr="00B93EE1">
              <w:rPr>
                <w:sz w:val="16"/>
                <w:szCs w:val="16"/>
              </w:rPr>
              <w:t>94</w:t>
            </w:r>
          </w:p>
        </w:tc>
        <w:tc>
          <w:tcPr>
            <w:tcW w:w="1022" w:type="dxa"/>
            <w:noWrap/>
            <w:vAlign w:val="center"/>
            <w:hideMark/>
          </w:tcPr>
          <w:p w14:paraId="2086D9E4" w14:textId="77777777" w:rsidR="00120717" w:rsidRPr="00B93EE1" w:rsidRDefault="00120717" w:rsidP="00083604">
            <w:pPr>
              <w:ind w:right="113"/>
              <w:jc w:val="right"/>
              <w:rPr>
                <w:sz w:val="16"/>
                <w:szCs w:val="16"/>
              </w:rPr>
            </w:pPr>
            <w:r w:rsidRPr="00B93EE1">
              <w:rPr>
                <w:sz w:val="16"/>
                <w:szCs w:val="16"/>
              </w:rPr>
              <w:t>110</w:t>
            </w:r>
          </w:p>
        </w:tc>
        <w:tc>
          <w:tcPr>
            <w:tcW w:w="1022" w:type="dxa"/>
            <w:noWrap/>
            <w:vAlign w:val="center"/>
            <w:hideMark/>
          </w:tcPr>
          <w:p w14:paraId="7061C37C" w14:textId="77777777" w:rsidR="00120717" w:rsidRPr="00B93EE1" w:rsidRDefault="00120717" w:rsidP="00083604">
            <w:pPr>
              <w:ind w:right="113"/>
              <w:jc w:val="right"/>
              <w:rPr>
                <w:sz w:val="16"/>
                <w:szCs w:val="16"/>
              </w:rPr>
            </w:pPr>
            <w:r w:rsidRPr="00B93EE1">
              <w:rPr>
                <w:sz w:val="16"/>
                <w:szCs w:val="16"/>
              </w:rPr>
              <w:t>100</w:t>
            </w:r>
          </w:p>
        </w:tc>
      </w:tr>
      <w:tr w:rsidR="00120717" w:rsidRPr="00B93EE1" w14:paraId="6FCBD273"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2883" w:type="dxa"/>
            <w:noWrap/>
            <w:vAlign w:val="center"/>
            <w:hideMark/>
          </w:tcPr>
          <w:p w14:paraId="0C8643A7" w14:textId="77777777" w:rsidR="00120717" w:rsidRPr="00B93EE1" w:rsidRDefault="00120717" w:rsidP="004C261D">
            <w:pPr>
              <w:ind w:left="32"/>
              <w:jc w:val="left"/>
              <w:rPr>
                <w:b/>
                <w:bCs/>
                <w:sz w:val="16"/>
                <w:szCs w:val="16"/>
              </w:rPr>
            </w:pPr>
            <w:r w:rsidRPr="00B93EE1">
              <w:rPr>
                <w:b/>
                <w:bCs/>
                <w:sz w:val="16"/>
                <w:szCs w:val="16"/>
              </w:rPr>
              <w:t>Unallocated onsite generation</w:t>
            </w:r>
          </w:p>
        </w:tc>
        <w:tc>
          <w:tcPr>
            <w:tcW w:w="1023" w:type="dxa"/>
            <w:noWrap/>
            <w:vAlign w:val="center"/>
            <w:hideMark/>
          </w:tcPr>
          <w:p w14:paraId="15DE17BE" w14:textId="77777777" w:rsidR="00120717" w:rsidRPr="00B93EE1" w:rsidRDefault="00120717" w:rsidP="00083604">
            <w:pPr>
              <w:ind w:right="113"/>
              <w:jc w:val="right"/>
              <w:rPr>
                <w:sz w:val="16"/>
                <w:szCs w:val="16"/>
              </w:rPr>
            </w:pPr>
            <w:r w:rsidRPr="00B93EE1">
              <w:rPr>
                <w:sz w:val="16"/>
                <w:szCs w:val="16"/>
              </w:rPr>
              <w:t>1,309</w:t>
            </w:r>
          </w:p>
        </w:tc>
        <w:tc>
          <w:tcPr>
            <w:tcW w:w="1022" w:type="dxa"/>
            <w:noWrap/>
            <w:vAlign w:val="center"/>
            <w:hideMark/>
          </w:tcPr>
          <w:p w14:paraId="04417EBD" w14:textId="77777777" w:rsidR="00120717" w:rsidRPr="00B93EE1" w:rsidRDefault="00120717" w:rsidP="00083604">
            <w:pPr>
              <w:ind w:right="113"/>
              <w:jc w:val="right"/>
              <w:rPr>
                <w:sz w:val="16"/>
                <w:szCs w:val="16"/>
              </w:rPr>
            </w:pPr>
            <w:r w:rsidRPr="00B93EE1">
              <w:rPr>
                <w:sz w:val="16"/>
                <w:szCs w:val="16"/>
              </w:rPr>
              <w:t>1,233</w:t>
            </w:r>
          </w:p>
        </w:tc>
        <w:tc>
          <w:tcPr>
            <w:tcW w:w="1022" w:type="dxa"/>
            <w:noWrap/>
            <w:vAlign w:val="center"/>
            <w:hideMark/>
          </w:tcPr>
          <w:p w14:paraId="5FA7BA4D" w14:textId="77777777" w:rsidR="00120717" w:rsidRPr="00B93EE1" w:rsidRDefault="00120717" w:rsidP="00083604">
            <w:pPr>
              <w:ind w:right="113"/>
              <w:jc w:val="right"/>
              <w:rPr>
                <w:sz w:val="16"/>
                <w:szCs w:val="16"/>
              </w:rPr>
            </w:pPr>
            <w:r w:rsidRPr="00B93EE1">
              <w:rPr>
                <w:sz w:val="16"/>
                <w:szCs w:val="16"/>
              </w:rPr>
              <w:t>821</w:t>
            </w:r>
          </w:p>
        </w:tc>
        <w:tc>
          <w:tcPr>
            <w:tcW w:w="1022" w:type="dxa"/>
            <w:noWrap/>
            <w:vAlign w:val="center"/>
            <w:hideMark/>
          </w:tcPr>
          <w:p w14:paraId="40A30B2B" w14:textId="77777777" w:rsidR="00120717" w:rsidRPr="00B93EE1" w:rsidRDefault="00120717" w:rsidP="00083604">
            <w:pPr>
              <w:ind w:right="113"/>
              <w:jc w:val="right"/>
              <w:rPr>
                <w:sz w:val="16"/>
                <w:szCs w:val="16"/>
              </w:rPr>
            </w:pPr>
            <w:r w:rsidRPr="00B93EE1">
              <w:rPr>
                <w:sz w:val="16"/>
                <w:szCs w:val="16"/>
              </w:rPr>
              <w:t>772</w:t>
            </w:r>
          </w:p>
        </w:tc>
        <w:tc>
          <w:tcPr>
            <w:tcW w:w="1022" w:type="dxa"/>
            <w:noWrap/>
            <w:vAlign w:val="center"/>
            <w:hideMark/>
          </w:tcPr>
          <w:p w14:paraId="49F03960" w14:textId="77777777" w:rsidR="00120717" w:rsidRPr="00B93EE1" w:rsidRDefault="00120717" w:rsidP="00083604">
            <w:pPr>
              <w:ind w:right="113"/>
              <w:jc w:val="right"/>
              <w:rPr>
                <w:sz w:val="16"/>
                <w:szCs w:val="16"/>
              </w:rPr>
            </w:pPr>
            <w:r w:rsidRPr="00B93EE1">
              <w:rPr>
                <w:sz w:val="16"/>
                <w:szCs w:val="16"/>
              </w:rPr>
              <w:t>665</w:t>
            </w:r>
          </w:p>
        </w:tc>
        <w:tc>
          <w:tcPr>
            <w:tcW w:w="1022" w:type="dxa"/>
            <w:noWrap/>
            <w:vAlign w:val="center"/>
            <w:hideMark/>
          </w:tcPr>
          <w:p w14:paraId="1FD60007" w14:textId="77777777" w:rsidR="00120717" w:rsidRPr="00B93EE1" w:rsidRDefault="00120717" w:rsidP="00083604">
            <w:pPr>
              <w:ind w:right="113"/>
              <w:jc w:val="right"/>
              <w:rPr>
                <w:sz w:val="16"/>
                <w:szCs w:val="16"/>
              </w:rPr>
            </w:pPr>
            <w:r w:rsidRPr="00B93EE1">
              <w:rPr>
                <w:sz w:val="16"/>
                <w:szCs w:val="16"/>
              </w:rPr>
              <w:t>566</w:t>
            </w:r>
          </w:p>
        </w:tc>
      </w:tr>
    </w:tbl>
    <w:p w14:paraId="795571AC" w14:textId="77777777" w:rsidR="00120717" w:rsidRPr="00B93EE1" w:rsidRDefault="00120717" w:rsidP="00FD7477">
      <w:pPr>
        <w:pStyle w:val="NoteText"/>
        <w:spacing w:before="120" w:after="240"/>
      </w:pPr>
      <w:r w:rsidRPr="00B93EE1">
        <w:t>Source:</w:t>
      </w:r>
      <w:r w:rsidRPr="00B93EE1">
        <w:tab/>
        <w:t>Information provided by the authorities.</w:t>
      </w:r>
    </w:p>
    <w:p w14:paraId="5DF6C2E7" w14:textId="77777777" w:rsidR="00120717" w:rsidRPr="00F64A35" w:rsidRDefault="00120717" w:rsidP="008B54EB">
      <w:pPr>
        <w:pStyle w:val="BodyText"/>
      </w:pPr>
      <w:r w:rsidRPr="00B93EE1">
        <w:t>The Ministry of Business, Innovation and Employment (</w:t>
      </w:r>
      <w:proofErr w:type="spellStart"/>
      <w:r w:rsidRPr="00B93EE1">
        <w:t>MBIE</w:t>
      </w:r>
      <w:proofErr w:type="spellEnd"/>
      <w:r w:rsidRPr="00B93EE1">
        <w:t>) is in charge of formulating and implementing New Zealand's energy policy. The Energy Efficiency and Conservation Authority (</w:t>
      </w:r>
      <w:proofErr w:type="spellStart"/>
      <w:r w:rsidRPr="00B93EE1">
        <w:t>EECA</w:t>
      </w:r>
      <w:proofErr w:type="spellEnd"/>
      <w:r w:rsidRPr="00B93EE1">
        <w:t xml:space="preserve">) is a public entity that encourages, promotes, and supports energy efficiency, energy conservation, and the use of renewable energy sources, as prescribed by the Energy Efficiency and Conservation Act 2000. Its activities include working with businesses to improve their energy productivity and use of sustainable energy to contribute to New Zealand's GHG emission reduction targets and assist New Zealanders and public sector agencies to make smarter use of sustainable energy. According to the authorities, the </w:t>
      </w:r>
      <w:proofErr w:type="spellStart"/>
      <w:r w:rsidRPr="00B93EE1">
        <w:t>EECA</w:t>
      </w:r>
      <w:proofErr w:type="spellEnd"/>
      <w:r w:rsidRPr="00B93EE1">
        <w:t xml:space="preserve"> administers an NZD 219.5 million government fund to reduce GHG emissions and improve energy efficiency in the public sector. It also administers the Technology Demonstration Fund, which provides co-investment to help businesses test new or under-utilized energy saving technologies and process improvements that could also benefit the wider sector.</w:t>
      </w:r>
    </w:p>
    <w:p w14:paraId="5E9FF5A7" w14:textId="77777777" w:rsidR="00120717" w:rsidRPr="00F64A35" w:rsidRDefault="00120717" w:rsidP="008B54EB">
      <w:pPr>
        <w:pStyle w:val="BodyText"/>
      </w:pPr>
      <w:r w:rsidRPr="00B93EE1">
        <w:t xml:space="preserve">New Zealand's international commitments, in the context of the 2015 Paris Climate Change Agreement, consist of a target to reduce GHG emissions by 30% below 2005 levels by 2030. The country updated its pledge in 2021 and committed to reducing net emissions by 50% </w:t>
      </w:r>
      <w:r w:rsidRPr="00B93EE1">
        <w:lastRenderedPageBreak/>
        <w:t>below gross 2005 levels by 2030.</w:t>
      </w:r>
      <w:r w:rsidRPr="00B93EE1">
        <w:rPr>
          <w:rStyle w:val="FootnoteReference"/>
        </w:rPr>
        <w:footnoteReference w:id="369"/>
      </w:r>
      <w:r w:rsidRPr="00B93EE1">
        <w:t xml:space="preserve"> Various strategies are also in place to serve its domestic targets (Section 4.1.6), including a goal to transition to net zero carbon emissions by 2050.</w:t>
      </w:r>
      <w:r w:rsidRPr="00B93EE1">
        <w:rPr>
          <w:rStyle w:val="FootnoteReference"/>
        </w:rPr>
        <w:footnoteReference w:id="370"/>
      </w:r>
      <w:r w:rsidRPr="00B93EE1">
        <w:t xml:space="preserve"> The direction of the energy policy is set out in the New Zealand Energy Strategy 2011-2021. According to the authorities, development of a replacement energy strategy is expected to commence in 2022.</w:t>
      </w:r>
    </w:p>
    <w:p w14:paraId="399FEA6D" w14:textId="77777777" w:rsidR="00120717" w:rsidRPr="00F64A35" w:rsidRDefault="00120717" w:rsidP="008B54EB">
      <w:pPr>
        <w:pStyle w:val="BodyText"/>
      </w:pPr>
      <w:r w:rsidRPr="00B93EE1">
        <w:t>The New Zealand Energy Efficiency and Conservation Strategy 2017-2022 (</w:t>
      </w:r>
      <w:proofErr w:type="spellStart"/>
      <w:r w:rsidRPr="00B93EE1">
        <w:t>NZEECS</w:t>
      </w:r>
      <w:proofErr w:type="spellEnd"/>
      <w:r w:rsidRPr="00B93EE1">
        <w:t>) is the national strategy on energy efficiency.</w:t>
      </w:r>
      <w:r w:rsidRPr="00B93EE1">
        <w:rPr>
          <w:rStyle w:val="FootnoteReference"/>
        </w:rPr>
        <w:footnoteReference w:id="371"/>
      </w:r>
      <w:r w:rsidRPr="00B93EE1">
        <w:t xml:space="preserve"> The strategy builds on the New Zealand Energy Strategy, the primary strategic plan, and provides a unified framework for government support and interventions over five years. Under the Strategy, specific targets are set for three priority areas: (</w:t>
      </w:r>
      <w:proofErr w:type="spellStart"/>
      <w:r w:rsidRPr="00B93EE1">
        <w:t>i</w:t>
      </w:r>
      <w:proofErr w:type="spellEnd"/>
      <w:r w:rsidRPr="00B93EE1">
        <w:t>) a decrease in industrial emissions intensity of at least 1% per annum on average between 2017 and 2022, through renewable and efficient use of process heat; (ii) the widespread use of electric vehicles so they make up 2% of the vehicle fleet by the end of 2021, to promote efficient and low</w:t>
      </w:r>
      <w:r w:rsidRPr="00B93EE1">
        <w:noBreakHyphen/>
        <w:t>emissions transport; (iii) and generation of 90% of electricity from renewable energy sources by 2025, through innovative and efficient use of electricity.</w:t>
      </w:r>
    </w:p>
    <w:p w14:paraId="46F11A82" w14:textId="77777777" w:rsidR="00120717" w:rsidRPr="00F64A35" w:rsidRDefault="00120717" w:rsidP="008B54EB">
      <w:pPr>
        <w:pStyle w:val="BodyText"/>
      </w:pPr>
      <w:r w:rsidRPr="00B93EE1">
        <w:t>In 2019, the New Zealand Government published a "Hydrogen Vision" to harness its hydrogen potential as a clean alternative to hydrocarbons in the pursuit of decarbonization.</w:t>
      </w:r>
    </w:p>
    <w:p w14:paraId="2A92CEEF" w14:textId="77777777" w:rsidR="00120717" w:rsidRPr="00F64A35" w:rsidRDefault="00120717" w:rsidP="008B54EB">
      <w:pPr>
        <w:pStyle w:val="BodyText"/>
      </w:pPr>
      <w:r w:rsidRPr="00B93EE1">
        <w:t xml:space="preserve">The </w:t>
      </w:r>
      <w:proofErr w:type="spellStart"/>
      <w:r w:rsidRPr="00B93EE1">
        <w:t>NZETS</w:t>
      </w:r>
      <w:proofErr w:type="spellEnd"/>
      <w:r w:rsidRPr="00B93EE1">
        <w:t xml:space="preserve"> continues to be a key part of New Zealand's overall energy emissions reduction strategy. During the review period, the Government made changes to the </w:t>
      </w:r>
      <w:proofErr w:type="spellStart"/>
      <w:r w:rsidRPr="00B93EE1">
        <w:t>NZETS</w:t>
      </w:r>
      <w:proofErr w:type="spellEnd"/>
      <w:r w:rsidRPr="00B93EE1">
        <w:t xml:space="preserve"> through the Climate Change Response (Emissions Trading Reform) Amendment Act 2020, which came into law on 22 June 2020. Among its novelties, the Amendment introduces a cap on GHG emissions under the </w:t>
      </w:r>
      <w:proofErr w:type="spellStart"/>
      <w:r w:rsidRPr="00B93EE1">
        <w:t>NZETS</w:t>
      </w:r>
      <w:proofErr w:type="spellEnd"/>
      <w:r w:rsidRPr="00B93EE1">
        <w:t xml:space="preserve">, in alignment with New Zealand's long-term targets. This means that every five years, the authorities will set a limit on the supply of the total GHG emission rights available under the </w:t>
      </w:r>
      <w:proofErr w:type="spellStart"/>
      <w:r w:rsidRPr="00B93EE1">
        <w:t>NZETS</w:t>
      </w:r>
      <w:proofErr w:type="spellEnd"/>
      <w:r w:rsidRPr="00B93EE1">
        <w:t>.</w:t>
      </w:r>
    </w:p>
    <w:p w14:paraId="5D197B44" w14:textId="77777777" w:rsidR="00120717" w:rsidRPr="00F64A35" w:rsidRDefault="00120717" w:rsidP="00E962FF">
      <w:pPr>
        <w:pStyle w:val="Heading3"/>
        <w:numPr>
          <w:ilvl w:val="2"/>
          <w:numId w:val="40"/>
        </w:numPr>
      </w:pPr>
      <w:bookmarkStart w:id="228" w:name="_Toc97800199"/>
      <w:r w:rsidRPr="00B93EE1">
        <w:t>Electricity</w:t>
      </w:r>
      <w:bookmarkEnd w:id="228"/>
    </w:p>
    <w:p w14:paraId="359AD4BE" w14:textId="77777777" w:rsidR="00120717" w:rsidRPr="00F64A35" w:rsidRDefault="00120717" w:rsidP="00622556">
      <w:pPr>
        <w:pStyle w:val="BodyText"/>
      </w:pPr>
      <w:r w:rsidRPr="00B93EE1">
        <w:t>In 2020, New Zealand's installed power generation capacity was 9,758 MW (almost unchanged since 2015). Hydropower plants account for over half of the country's total capacity (</w:t>
      </w:r>
      <w:bookmarkStart w:id="229" w:name="_Hlk95406185"/>
      <w:r w:rsidRPr="00B93EE1">
        <w:t>Table 4.4</w:t>
      </w:r>
      <w:bookmarkEnd w:id="229"/>
      <w:r w:rsidRPr="00B93EE1">
        <w:t>). As in the case of total energy consumption, the industrial and residential sectors are the main electricity consumers.</w:t>
      </w:r>
    </w:p>
    <w:p w14:paraId="0FE04C3A" w14:textId="551C092D" w:rsidR="00120717" w:rsidRDefault="00D37A97" w:rsidP="00D37A97">
      <w:pPr>
        <w:pStyle w:val="Caption"/>
      </w:pPr>
      <w:bookmarkStart w:id="230" w:name="_Toc97793408"/>
      <w:r>
        <w:t xml:space="preserve">Table </w:t>
      </w:r>
      <w:r w:rsidR="0012793B">
        <w:fldChar w:fldCharType="begin"/>
      </w:r>
      <w:r w:rsidR="0012793B">
        <w:instrText xml:space="preserve"> STYLEREF 1 \s </w:instrText>
      </w:r>
      <w:r w:rsidR="0012793B">
        <w:fldChar w:fldCharType="separate"/>
      </w:r>
      <w:r>
        <w:rPr>
          <w:noProof/>
        </w:rPr>
        <w:t>4</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4</w:t>
      </w:r>
      <w:r w:rsidR="0012793B">
        <w:rPr>
          <w:noProof/>
        </w:rPr>
        <w:fldChar w:fldCharType="end"/>
      </w:r>
      <w:r>
        <w:t xml:space="preserve"> </w:t>
      </w:r>
      <w:r w:rsidR="00120717" w:rsidRPr="00B93EE1">
        <w:t>New Zealand's installed power generation capacity, 2015-20</w:t>
      </w:r>
      <w:bookmarkEnd w:id="230"/>
    </w:p>
    <w:p w14:paraId="4A39EA3E" w14:textId="1A69423D" w:rsidR="000504F9" w:rsidRPr="00150FE8" w:rsidRDefault="000504F9" w:rsidP="00150FE8">
      <w:pPr>
        <w:rPr>
          <w:sz w:val="16"/>
        </w:rPr>
      </w:pPr>
      <w:r w:rsidRPr="00150FE8">
        <w:rPr>
          <w:sz w:val="16"/>
          <w:szCs w:val="20"/>
          <w:lang w:eastAsia="en-GB"/>
        </w:rPr>
        <w:t>(MW)</w:t>
      </w:r>
    </w:p>
    <w:tbl>
      <w:tblPr>
        <w:tblStyle w:val="WTOTable11"/>
        <w:tblW w:w="0" w:type="auto"/>
        <w:tblInd w:w="0" w:type="dxa"/>
        <w:tblLook w:val="04A0" w:firstRow="1" w:lastRow="0" w:firstColumn="1" w:lastColumn="0" w:noHBand="0" w:noVBand="1"/>
      </w:tblPr>
      <w:tblGrid>
        <w:gridCol w:w="1960"/>
        <w:gridCol w:w="1312"/>
        <w:gridCol w:w="1148"/>
        <w:gridCol w:w="1149"/>
        <w:gridCol w:w="1149"/>
        <w:gridCol w:w="1149"/>
        <w:gridCol w:w="1149"/>
      </w:tblGrid>
      <w:tr w:rsidR="00120717" w:rsidRPr="00B93EE1" w14:paraId="25B96646" w14:textId="77777777" w:rsidTr="00D25FB6">
        <w:trPr>
          <w:cnfStyle w:val="100000000000" w:firstRow="1" w:lastRow="0" w:firstColumn="0" w:lastColumn="0" w:oddVBand="0" w:evenVBand="0" w:oddHBand="0" w:evenHBand="0" w:firstRowFirstColumn="0" w:firstRowLastColumn="0" w:lastRowFirstColumn="0" w:lastRowLastColumn="0"/>
          <w:tblHeader/>
        </w:trPr>
        <w:tc>
          <w:tcPr>
            <w:tcW w:w="1960" w:type="dxa"/>
            <w:vAlign w:val="center"/>
          </w:tcPr>
          <w:p w14:paraId="2AD90053" w14:textId="77777777" w:rsidR="00120717" w:rsidRPr="00B93EE1" w:rsidRDefault="00120717" w:rsidP="00FD0250">
            <w:pPr>
              <w:jc w:val="left"/>
              <w:rPr>
                <w:rFonts w:eastAsiaTheme="minorHAnsi" w:cstheme="minorBidi"/>
                <w:color w:val="FFFFFF" w:themeColor="background1"/>
                <w:sz w:val="16"/>
                <w:szCs w:val="16"/>
              </w:rPr>
            </w:pPr>
            <w:r w:rsidRPr="00B93EE1">
              <w:rPr>
                <w:rFonts w:eastAsiaTheme="minorHAnsi" w:cstheme="minorBidi"/>
                <w:color w:val="FFFFFF" w:themeColor="background1"/>
                <w:sz w:val="16"/>
                <w:szCs w:val="16"/>
              </w:rPr>
              <w:t>Year-end</w:t>
            </w:r>
          </w:p>
        </w:tc>
        <w:tc>
          <w:tcPr>
            <w:tcW w:w="1312" w:type="dxa"/>
            <w:vAlign w:val="center"/>
          </w:tcPr>
          <w:p w14:paraId="61EE2CEB" w14:textId="77777777" w:rsidR="00120717" w:rsidRPr="00B93EE1" w:rsidRDefault="00120717" w:rsidP="00FD7477">
            <w:pPr>
              <w:ind w:right="240"/>
              <w:jc w:val="right"/>
              <w:rPr>
                <w:rFonts w:eastAsiaTheme="minorHAnsi" w:cstheme="minorBidi"/>
                <w:color w:val="FFFFFF" w:themeColor="background1"/>
                <w:sz w:val="16"/>
                <w:szCs w:val="16"/>
              </w:rPr>
            </w:pPr>
            <w:r w:rsidRPr="00B93EE1">
              <w:rPr>
                <w:rFonts w:eastAsiaTheme="minorHAnsi" w:cstheme="minorBidi"/>
                <w:color w:val="FFFFFF" w:themeColor="background1"/>
                <w:sz w:val="16"/>
                <w:szCs w:val="16"/>
              </w:rPr>
              <w:t>2015</w:t>
            </w:r>
          </w:p>
        </w:tc>
        <w:tc>
          <w:tcPr>
            <w:tcW w:w="1148" w:type="dxa"/>
            <w:vAlign w:val="center"/>
          </w:tcPr>
          <w:p w14:paraId="093E1921" w14:textId="77777777" w:rsidR="00120717" w:rsidRPr="00B93EE1" w:rsidRDefault="00120717" w:rsidP="00FD7477">
            <w:pPr>
              <w:ind w:right="240"/>
              <w:jc w:val="right"/>
              <w:rPr>
                <w:rFonts w:eastAsiaTheme="minorHAnsi" w:cstheme="minorBidi"/>
                <w:color w:val="FFFFFF" w:themeColor="background1"/>
                <w:sz w:val="16"/>
                <w:szCs w:val="16"/>
              </w:rPr>
            </w:pPr>
            <w:r w:rsidRPr="00B93EE1">
              <w:rPr>
                <w:rFonts w:eastAsiaTheme="minorHAnsi" w:cstheme="minorBidi"/>
                <w:color w:val="FFFFFF" w:themeColor="background1"/>
                <w:sz w:val="16"/>
                <w:szCs w:val="16"/>
              </w:rPr>
              <w:t>2016</w:t>
            </w:r>
          </w:p>
        </w:tc>
        <w:tc>
          <w:tcPr>
            <w:tcW w:w="1149" w:type="dxa"/>
            <w:vAlign w:val="center"/>
          </w:tcPr>
          <w:p w14:paraId="2E56ADBA" w14:textId="77777777" w:rsidR="00120717" w:rsidRPr="00B93EE1" w:rsidRDefault="00120717" w:rsidP="00FD7477">
            <w:pPr>
              <w:ind w:right="240"/>
              <w:jc w:val="right"/>
              <w:rPr>
                <w:rFonts w:eastAsiaTheme="minorHAnsi" w:cstheme="minorBidi"/>
                <w:color w:val="FFFFFF" w:themeColor="background1"/>
                <w:sz w:val="16"/>
                <w:szCs w:val="16"/>
              </w:rPr>
            </w:pPr>
            <w:r w:rsidRPr="00B93EE1">
              <w:rPr>
                <w:rFonts w:eastAsiaTheme="minorHAnsi" w:cstheme="minorBidi"/>
                <w:color w:val="FFFFFF" w:themeColor="background1"/>
                <w:sz w:val="16"/>
                <w:szCs w:val="16"/>
              </w:rPr>
              <w:t>2017</w:t>
            </w:r>
          </w:p>
        </w:tc>
        <w:tc>
          <w:tcPr>
            <w:tcW w:w="1149" w:type="dxa"/>
            <w:vAlign w:val="center"/>
          </w:tcPr>
          <w:p w14:paraId="4E538EE3" w14:textId="77777777" w:rsidR="00120717" w:rsidRPr="00B93EE1" w:rsidRDefault="00120717" w:rsidP="00FD7477">
            <w:pPr>
              <w:ind w:right="240"/>
              <w:jc w:val="right"/>
              <w:rPr>
                <w:rFonts w:eastAsiaTheme="minorHAnsi" w:cstheme="minorBidi"/>
                <w:color w:val="FFFFFF" w:themeColor="background1"/>
                <w:sz w:val="16"/>
                <w:szCs w:val="16"/>
              </w:rPr>
            </w:pPr>
            <w:r w:rsidRPr="00B93EE1">
              <w:rPr>
                <w:rFonts w:eastAsiaTheme="minorHAnsi" w:cstheme="minorBidi"/>
                <w:color w:val="FFFFFF" w:themeColor="background1"/>
                <w:sz w:val="16"/>
                <w:szCs w:val="16"/>
              </w:rPr>
              <w:t>2018</w:t>
            </w:r>
          </w:p>
        </w:tc>
        <w:tc>
          <w:tcPr>
            <w:tcW w:w="1149" w:type="dxa"/>
            <w:vAlign w:val="center"/>
          </w:tcPr>
          <w:p w14:paraId="769D7DE4" w14:textId="77777777" w:rsidR="00120717" w:rsidRPr="00B93EE1" w:rsidRDefault="00120717" w:rsidP="00FD7477">
            <w:pPr>
              <w:ind w:right="240"/>
              <w:jc w:val="right"/>
              <w:rPr>
                <w:rFonts w:eastAsiaTheme="minorHAnsi" w:cstheme="minorBidi"/>
                <w:color w:val="FFFFFF" w:themeColor="background1"/>
                <w:sz w:val="16"/>
                <w:szCs w:val="16"/>
              </w:rPr>
            </w:pPr>
            <w:r w:rsidRPr="00B93EE1">
              <w:rPr>
                <w:rFonts w:eastAsiaTheme="minorHAnsi" w:cstheme="minorBidi"/>
                <w:color w:val="FFFFFF" w:themeColor="background1"/>
                <w:sz w:val="16"/>
                <w:szCs w:val="16"/>
              </w:rPr>
              <w:t>2019</w:t>
            </w:r>
          </w:p>
        </w:tc>
        <w:tc>
          <w:tcPr>
            <w:tcW w:w="1149" w:type="dxa"/>
            <w:vAlign w:val="center"/>
          </w:tcPr>
          <w:p w14:paraId="12F39575" w14:textId="77777777" w:rsidR="00120717" w:rsidRPr="00B93EE1" w:rsidRDefault="00120717" w:rsidP="00FD7477">
            <w:pPr>
              <w:ind w:right="240"/>
              <w:jc w:val="right"/>
              <w:rPr>
                <w:rFonts w:eastAsiaTheme="minorHAnsi" w:cstheme="minorBidi"/>
                <w:color w:val="FFFFFF" w:themeColor="background1"/>
                <w:sz w:val="16"/>
                <w:szCs w:val="16"/>
              </w:rPr>
            </w:pPr>
            <w:r w:rsidRPr="00B93EE1">
              <w:rPr>
                <w:rFonts w:eastAsiaTheme="minorHAnsi" w:cstheme="minorBidi"/>
                <w:color w:val="FFFFFF" w:themeColor="background1"/>
                <w:sz w:val="16"/>
                <w:szCs w:val="16"/>
              </w:rPr>
              <w:t>2020</w:t>
            </w:r>
          </w:p>
        </w:tc>
      </w:tr>
      <w:tr w:rsidR="00120717" w:rsidRPr="00B93EE1" w14:paraId="7E642763" w14:textId="77777777" w:rsidTr="00083604">
        <w:tc>
          <w:tcPr>
            <w:tcW w:w="9016" w:type="dxa"/>
            <w:gridSpan w:val="7"/>
          </w:tcPr>
          <w:p w14:paraId="54954AD1" w14:textId="77777777" w:rsidR="00120717" w:rsidRPr="00B93EE1" w:rsidRDefault="00120717" w:rsidP="00FD0250">
            <w:pPr>
              <w:ind w:right="113"/>
              <w:jc w:val="left"/>
              <w:rPr>
                <w:rFonts w:eastAsiaTheme="minorHAnsi" w:cstheme="minorBidi"/>
                <w:sz w:val="16"/>
                <w:szCs w:val="16"/>
              </w:rPr>
            </w:pPr>
            <w:r w:rsidRPr="00B93EE1">
              <w:rPr>
                <w:rFonts w:eastAsiaTheme="minorHAnsi" w:cstheme="minorBidi"/>
                <w:b/>
                <w:bCs/>
                <w:sz w:val="16"/>
                <w:szCs w:val="16"/>
              </w:rPr>
              <w:t>Electricity-only plants</w:t>
            </w:r>
          </w:p>
        </w:tc>
      </w:tr>
      <w:tr w:rsidR="00120717" w:rsidRPr="00B93EE1" w14:paraId="67D3CB8C" w14:textId="77777777" w:rsidTr="00D25FB6">
        <w:trPr>
          <w:cnfStyle w:val="000000010000" w:firstRow="0" w:lastRow="0" w:firstColumn="0" w:lastColumn="0" w:oddVBand="0" w:evenVBand="0" w:oddHBand="0" w:evenHBand="1" w:firstRowFirstColumn="0" w:firstRowLastColumn="0" w:lastRowFirstColumn="0" w:lastRowLastColumn="0"/>
        </w:trPr>
        <w:tc>
          <w:tcPr>
            <w:tcW w:w="1960" w:type="dxa"/>
          </w:tcPr>
          <w:p w14:paraId="6347FDA5" w14:textId="77777777" w:rsidR="00120717" w:rsidRPr="00B93EE1" w:rsidRDefault="00120717" w:rsidP="00FD0250">
            <w:pPr>
              <w:rPr>
                <w:rFonts w:eastAsiaTheme="minorHAnsi" w:cstheme="minorBidi"/>
                <w:sz w:val="16"/>
                <w:szCs w:val="16"/>
              </w:rPr>
            </w:pPr>
            <w:r w:rsidRPr="00B93EE1">
              <w:rPr>
                <w:rFonts w:eastAsiaTheme="minorHAnsi" w:cstheme="minorBidi"/>
                <w:sz w:val="16"/>
                <w:szCs w:val="16"/>
              </w:rPr>
              <w:t>Hydro</w:t>
            </w:r>
          </w:p>
        </w:tc>
        <w:tc>
          <w:tcPr>
            <w:tcW w:w="1312" w:type="dxa"/>
            <w:vAlign w:val="center"/>
          </w:tcPr>
          <w:p w14:paraId="5BDA865F"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5,426</w:t>
            </w:r>
          </w:p>
        </w:tc>
        <w:tc>
          <w:tcPr>
            <w:tcW w:w="1148" w:type="dxa"/>
            <w:vAlign w:val="center"/>
          </w:tcPr>
          <w:p w14:paraId="6961C5C6"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5,426</w:t>
            </w:r>
          </w:p>
        </w:tc>
        <w:tc>
          <w:tcPr>
            <w:tcW w:w="1149" w:type="dxa"/>
            <w:vAlign w:val="center"/>
          </w:tcPr>
          <w:p w14:paraId="66ED1FE8"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5,426</w:t>
            </w:r>
          </w:p>
        </w:tc>
        <w:tc>
          <w:tcPr>
            <w:tcW w:w="1149" w:type="dxa"/>
            <w:vAlign w:val="center"/>
          </w:tcPr>
          <w:p w14:paraId="31EE0576"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5,426</w:t>
            </w:r>
          </w:p>
        </w:tc>
        <w:tc>
          <w:tcPr>
            <w:tcW w:w="1149" w:type="dxa"/>
            <w:vAlign w:val="center"/>
          </w:tcPr>
          <w:p w14:paraId="13545537"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5,434</w:t>
            </w:r>
          </w:p>
        </w:tc>
        <w:tc>
          <w:tcPr>
            <w:tcW w:w="1149" w:type="dxa"/>
            <w:vAlign w:val="center"/>
          </w:tcPr>
          <w:p w14:paraId="2555CE30"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5,434</w:t>
            </w:r>
          </w:p>
        </w:tc>
      </w:tr>
      <w:tr w:rsidR="00120717" w:rsidRPr="00B93EE1" w14:paraId="51D208B5" w14:textId="77777777" w:rsidTr="00D25FB6">
        <w:tc>
          <w:tcPr>
            <w:tcW w:w="1960" w:type="dxa"/>
          </w:tcPr>
          <w:p w14:paraId="433497F8" w14:textId="77777777" w:rsidR="00120717" w:rsidRPr="00B93EE1" w:rsidRDefault="00120717" w:rsidP="00FD0250">
            <w:pPr>
              <w:rPr>
                <w:rFonts w:eastAsiaTheme="minorHAnsi" w:cstheme="minorBidi"/>
                <w:sz w:val="16"/>
                <w:szCs w:val="16"/>
              </w:rPr>
            </w:pPr>
            <w:r w:rsidRPr="00B93EE1">
              <w:rPr>
                <w:rFonts w:eastAsiaTheme="minorHAnsi" w:cstheme="minorBidi"/>
                <w:sz w:val="16"/>
                <w:szCs w:val="16"/>
              </w:rPr>
              <w:t>Geothermal</w:t>
            </w:r>
          </w:p>
        </w:tc>
        <w:tc>
          <w:tcPr>
            <w:tcW w:w="1312" w:type="dxa"/>
            <w:vAlign w:val="center"/>
          </w:tcPr>
          <w:p w14:paraId="53B6E454"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1,212</w:t>
            </w:r>
          </w:p>
        </w:tc>
        <w:tc>
          <w:tcPr>
            <w:tcW w:w="1148" w:type="dxa"/>
            <w:vAlign w:val="center"/>
          </w:tcPr>
          <w:p w14:paraId="2A623F30"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1,207</w:t>
            </w:r>
          </w:p>
        </w:tc>
        <w:tc>
          <w:tcPr>
            <w:tcW w:w="1149" w:type="dxa"/>
            <w:vAlign w:val="center"/>
          </w:tcPr>
          <w:p w14:paraId="161ED1A8"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1,207</w:t>
            </w:r>
          </w:p>
        </w:tc>
        <w:tc>
          <w:tcPr>
            <w:tcW w:w="1149" w:type="dxa"/>
            <w:vAlign w:val="center"/>
          </w:tcPr>
          <w:p w14:paraId="375DDCDE"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1,231</w:t>
            </w:r>
          </w:p>
        </w:tc>
        <w:tc>
          <w:tcPr>
            <w:tcW w:w="1149" w:type="dxa"/>
            <w:vAlign w:val="center"/>
          </w:tcPr>
          <w:p w14:paraId="26EF0B63"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1,231</w:t>
            </w:r>
          </w:p>
        </w:tc>
        <w:tc>
          <w:tcPr>
            <w:tcW w:w="1149" w:type="dxa"/>
            <w:vAlign w:val="center"/>
          </w:tcPr>
          <w:p w14:paraId="3B94AD88"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1,265</w:t>
            </w:r>
          </w:p>
        </w:tc>
      </w:tr>
      <w:tr w:rsidR="00120717" w:rsidRPr="00B93EE1" w14:paraId="625AB66C" w14:textId="77777777" w:rsidTr="00D25FB6">
        <w:trPr>
          <w:cnfStyle w:val="000000010000" w:firstRow="0" w:lastRow="0" w:firstColumn="0" w:lastColumn="0" w:oddVBand="0" w:evenVBand="0" w:oddHBand="0" w:evenHBand="1" w:firstRowFirstColumn="0" w:firstRowLastColumn="0" w:lastRowFirstColumn="0" w:lastRowLastColumn="0"/>
        </w:trPr>
        <w:tc>
          <w:tcPr>
            <w:tcW w:w="1960" w:type="dxa"/>
          </w:tcPr>
          <w:p w14:paraId="01A4DA7B" w14:textId="77777777" w:rsidR="00120717" w:rsidRPr="00B93EE1" w:rsidRDefault="00120717" w:rsidP="00FD0250">
            <w:pPr>
              <w:rPr>
                <w:rFonts w:eastAsiaTheme="minorHAnsi" w:cstheme="minorBidi"/>
                <w:sz w:val="16"/>
                <w:szCs w:val="16"/>
              </w:rPr>
            </w:pPr>
            <w:r w:rsidRPr="00B93EE1">
              <w:rPr>
                <w:rFonts w:eastAsiaTheme="minorHAnsi" w:cstheme="minorBidi"/>
                <w:sz w:val="16"/>
                <w:szCs w:val="16"/>
              </w:rPr>
              <w:t>Biogas</w:t>
            </w:r>
          </w:p>
        </w:tc>
        <w:tc>
          <w:tcPr>
            <w:tcW w:w="1312" w:type="dxa"/>
            <w:vAlign w:val="center"/>
          </w:tcPr>
          <w:p w14:paraId="2C5E422E"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37</w:t>
            </w:r>
          </w:p>
        </w:tc>
        <w:tc>
          <w:tcPr>
            <w:tcW w:w="1148" w:type="dxa"/>
            <w:vAlign w:val="center"/>
          </w:tcPr>
          <w:p w14:paraId="371D999B"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33</w:t>
            </w:r>
          </w:p>
        </w:tc>
        <w:tc>
          <w:tcPr>
            <w:tcW w:w="1149" w:type="dxa"/>
            <w:vAlign w:val="center"/>
          </w:tcPr>
          <w:p w14:paraId="059AABD0"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33</w:t>
            </w:r>
          </w:p>
        </w:tc>
        <w:tc>
          <w:tcPr>
            <w:tcW w:w="1149" w:type="dxa"/>
            <w:vAlign w:val="center"/>
          </w:tcPr>
          <w:p w14:paraId="19BDF3ED"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33</w:t>
            </w:r>
          </w:p>
        </w:tc>
        <w:tc>
          <w:tcPr>
            <w:tcW w:w="1149" w:type="dxa"/>
            <w:vAlign w:val="center"/>
          </w:tcPr>
          <w:p w14:paraId="274388C4"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33</w:t>
            </w:r>
          </w:p>
        </w:tc>
        <w:tc>
          <w:tcPr>
            <w:tcW w:w="1149" w:type="dxa"/>
            <w:vAlign w:val="center"/>
          </w:tcPr>
          <w:p w14:paraId="64E28D7C"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33</w:t>
            </w:r>
          </w:p>
        </w:tc>
      </w:tr>
      <w:tr w:rsidR="00120717" w:rsidRPr="00B93EE1" w14:paraId="180706F8" w14:textId="77777777" w:rsidTr="00D25FB6">
        <w:tc>
          <w:tcPr>
            <w:tcW w:w="1960" w:type="dxa"/>
          </w:tcPr>
          <w:p w14:paraId="4D15280C" w14:textId="77777777" w:rsidR="00120717" w:rsidRPr="00B93EE1" w:rsidRDefault="00120717" w:rsidP="00FD0250">
            <w:pPr>
              <w:rPr>
                <w:rFonts w:eastAsiaTheme="minorHAnsi" w:cstheme="minorBidi"/>
                <w:sz w:val="16"/>
                <w:szCs w:val="16"/>
              </w:rPr>
            </w:pPr>
            <w:r w:rsidRPr="00B93EE1">
              <w:rPr>
                <w:rFonts w:eastAsiaTheme="minorHAnsi" w:cstheme="minorBidi"/>
                <w:sz w:val="16"/>
                <w:szCs w:val="16"/>
              </w:rPr>
              <w:t>Wind</w:t>
            </w:r>
          </w:p>
        </w:tc>
        <w:tc>
          <w:tcPr>
            <w:tcW w:w="1312" w:type="dxa"/>
            <w:vAlign w:val="center"/>
          </w:tcPr>
          <w:p w14:paraId="3FAE33E5"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688</w:t>
            </w:r>
          </w:p>
        </w:tc>
        <w:tc>
          <w:tcPr>
            <w:tcW w:w="1148" w:type="dxa"/>
            <w:vAlign w:val="center"/>
          </w:tcPr>
          <w:p w14:paraId="1909A260"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689</w:t>
            </w:r>
          </w:p>
        </w:tc>
        <w:tc>
          <w:tcPr>
            <w:tcW w:w="1149" w:type="dxa"/>
            <w:vAlign w:val="center"/>
          </w:tcPr>
          <w:p w14:paraId="21A6E99C"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689</w:t>
            </w:r>
          </w:p>
        </w:tc>
        <w:tc>
          <w:tcPr>
            <w:tcW w:w="1149" w:type="dxa"/>
            <w:vAlign w:val="center"/>
          </w:tcPr>
          <w:p w14:paraId="1B5CCA02"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689</w:t>
            </w:r>
          </w:p>
        </w:tc>
        <w:tc>
          <w:tcPr>
            <w:tcW w:w="1149" w:type="dxa"/>
            <w:vAlign w:val="center"/>
          </w:tcPr>
          <w:p w14:paraId="51BE7B61"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689</w:t>
            </w:r>
          </w:p>
        </w:tc>
        <w:tc>
          <w:tcPr>
            <w:tcW w:w="1149" w:type="dxa"/>
            <w:vAlign w:val="center"/>
          </w:tcPr>
          <w:p w14:paraId="13900B1D"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689</w:t>
            </w:r>
          </w:p>
        </w:tc>
      </w:tr>
      <w:tr w:rsidR="00120717" w:rsidRPr="00B93EE1" w14:paraId="0935C03B" w14:textId="77777777" w:rsidTr="00D25FB6">
        <w:trPr>
          <w:cnfStyle w:val="000000010000" w:firstRow="0" w:lastRow="0" w:firstColumn="0" w:lastColumn="0" w:oddVBand="0" w:evenVBand="0" w:oddHBand="0" w:evenHBand="1" w:firstRowFirstColumn="0" w:firstRowLastColumn="0" w:lastRowFirstColumn="0" w:lastRowLastColumn="0"/>
        </w:trPr>
        <w:tc>
          <w:tcPr>
            <w:tcW w:w="1960" w:type="dxa"/>
          </w:tcPr>
          <w:p w14:paraId="60A30ABE" w14:textId="77777777" w:rsidR="00120717" w:rsidRPr="00B93EE1" w:rsidRDefault="00120717" w:rsidP="00FD0250">
            <w:pPr>
              <w:rPr>
                <w:rFonts w:eastAsiaTheme="minorHAnsi" w:cstheme="minorBidi"/>
                <w:sz w:val="16"/>
                <w:szCs w:val="16"/>
              </w:rPr>
            </w:pPr>
            <w:r w:rsidRPr="00B93EE1">
              <w:rPr>
                <w:rFonts w:eastAsiaTheme="minorHAnsi" w:cstheme="minorBidi"/>
                <w:sz w:val="16"/>
                <w:szCs w:val="16"/>
              </w:rPr>
              <w:t>Diesel</w:t>
            </w:r>
          </w:p>
        </w:tc>
        <w:tc>
          <w:tcPr>
            <w:tcW w:w="1312" w:type="dxa"/>
            <w:vAlign w:val="center"/>
          </w:tcPr>
          <w:p w14:paraId="69E01322"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180</w:t>
            </w:r>
          </w:p>
        </w:tc>
        <w:tc>
          <w:tcPr>
            <w:tcW w:w="1148" w:type="dxa"/>
            <w:vAlign w:val="center"/>
          </w:tcPr>
          <w:p w14:paraId="544ADFB5"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180</w:t>
            </w:r>
          </w:p>
        </w:tc>
        <w:tc>
          <w:tcPr>
            <w:tcW w:w="1149" w:type="dxa"/>
            <w:vAlign w:val="center"/>
          </w:tcPr>
          <w:p w14:paraId="57751338"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180</w:t>
            </w:r>
          </w:p>
        </w:tc>
        <w:tc>
          <w:tcPr>
            <w:tcW w:w="1149" w:type="dxa"/>
            <w:vAlign w:val="center"/>
          </w:tcPr>
          <w:p w14:paraId="416F3DD6"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183</w:t>
            </w:r>
          </w:p>
        </w:tc>
        <w:tc>
          <w:tcPr>
            <w:tcW w:w="1149" w:type="dxa"/>
            <w:vAlign w:val="center"/>
          </w:tcPr>
          <w:p w14:paraId="63A40332"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183</w:t>
            </w:r>
          </w:p>
        </w:tc>
        <w:tc>
          <w:tcPr>
            <w:tcW w:w="1149" w:type="dxa"/>
            <w:vAlign w:val="center"/>
          </w:tcPr>
          <w:p w14:paraId="261B87CE"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191</w:t>
            </w:r>
          </w:p>
        </w:tc>
      </w:tr>
      <w:tr w:rsidR="00120717" w:rsidRPr="00B93EE1" w14:paraId="77CEC46E" w14:textId="77777777" w:rsidTr="00D25FB6">
        <w:tc>
          <w:tcPr>
            <w:tcW w:w="1960" w:type="dxa"/>
          </w:tcPr>
          <w:p w14:paraId="6E1C5B77" w14:textId="77777777" w:rsidR="00120717" w:rsidRPr="00B93EE1" w:rsidRDefault="00120717" w:rsidP="00FD0250">
            <w:pPr>
              <w:rPr>
                <w:rFonts w:eastAsiaTheme="minorHAnsi" w:cstheme="minorBidi"/>
                <w:sz w:val="16"/>
                <w:szCs w:val="16"/>
              </w:rPr>
            </w:pPr>
            <w:r w:rsidRPr="00B93EE1">
              <w:rPr>
                <w:rFonts w:eastAsiaTheme="minorHAnsi" w:cstheme="minorBidi"/>
                <w:sz w:val="16"/>
                <w:szCs w:val="16"/>
              </w:rPr>
              <w:t>Coal/gas</w:t>
            </w:r>
          </w:p>
        </w:tc>
        <w:tc>
          <w:tcPr>
            <w:tcW w:w="1312" w:type="dxa"/>
            <w:vAlign w:val="center"/>
          </w:tcPr>
          <w:p w14:paraId="50EDE1BC"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500</w:t>
            </w:r>
          </w:p>
        </w:tc>
        <w:tc>
          <w:tcPr>
            <w:tcW w:w="1148" w:type="dxa"/>
            <w:vAlign w:val="center"/>
          </w:tcPr>
          <w:p w14:paraId="50F9CCBA"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500</w:t>
            </w:r>
          </w:p>
        </w:tc>
        <w:tc>
          <w:tcPr>
            <w:tcW w:w="1149" w:type="dxa"/>
            <w:vAlign w:val="center"/>
          </w:tcPr>
          <w:p w14:paraId="1A2FD6D6"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500</w:t>
            </w:r>
          </w:p>
        </w:tc>
        <w:tc>
          <w:tcPr>
            <w:tcW w:w="1149" w:type="dxa"/>
            <w:vAlign w:val="center"/>
          </w:tcPr>
          <w:p w14:paraId="38518C5C"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500</w:t>
            </w:r>
          </w:p>
        </w:tc>
        <w:tc>
          <w:tcPr>
            <w:tcW w:w="1149" w:type="dxa"/>
            <w:vAlign w:val="center"/>
          </w:tcPr>
          <w:p w14:paraId="2B827D3D"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500</w:t>
            </w:r>
          </w:p>
        </w:tc>
        <w:tc>
          <w:tcPr>
            <w:tcW w:w="1149" w:type="dxa"/>
            <w:vAlign w:val="center"/>
          </w:tcPr>
          <w:p w14:paraId="480B6281"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500</w:t>
            </w:r>
          </w:p>
        </w:tc>
      </w:tr>
      <w:tr w:rsidR="00120717" w:rsidRPr="00B93EE1" w14:paraId="6168734E" w14:textId="77777777" w:rsidTr="00D25FB6">
        <w:trPr>
          <w:cnfStyle w:val="000000010000" w:firstRow="0" w:lastRow="0" w:firstColumn="0" w:lastColumn="0" w:oddVBand="0" w:evenVBand="0" w:oddHBand="0" w:evenHBand="1" w:firstRowFirstColumn="0" w:firstRowLastColumn="0" w:lastRowFirstColumn="0" w:lastRowLastColumn="0"/>
        </w:trPr>
        <w:tc>
          <w:tcPr>
            <w:tcW w:w="1960" w:type="dxa"/>
          </w:tcPr>
          <w:p w14:paraId="52529A6F" w14:textId="77777777" w:rsidR="00120717" w:rsidRPr="00B93EE1" w:rsidRDefault="00120717" w:rsidP="00FD0250">
            <w:pPr>
              <w:rPr>
                <w:rFonts w:eastAsiaTheme="minorHAnsi" w:cstheme="minorBidi"/>
                <w:sz w:val="16"/>
                <w:szCs w:val="16"/>
              </w:rPr>
            </w:pPr>
            <w:r w:rsidRPr="00B93EE1">
              <w:rPr>
                <w:rFonts w:eastAsiaTheme="minorHAnsi" w:cstheme="minorBidi"/>
                <w:sz w:val="16"/>
                <w:szCs w:val="16"/>
              </w:rPr>
              <w:t>Gas</w:t>
            </w:r>
          </w:p>
        </w:tc>
        <w:tc>
          <w:tcPr>
            <w:tcW w:w="1312" w:type="dxa"/>
            <w:vAlign w:val="center"/>
          </w:tcPr>
          <w:p w14:paraId="45FB7282"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1,130</w:t>
            </w:r>
          </w:p>
        </w:tc>
        <w:tc>
          <w:tcPr>
            <w:tcW w:w="1148" w:type="dxa"/>
            <w:vAlign w:val="center"/>
          </w:tcPr>
          <w:p w14:paraId="5A64CB6D"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1,130</w:t>
            </w:r>
          </w:p>
        </w:tc>
        <w:tc>
          <w:tcPr>
            <w:tcW w:w="1149" w:type="dxa"/>
            <w:vAlign w:val="center"/>
          </w:tcPr>
          <w:p w14:paraId="67DD0B82"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1,130</w:t>
            </w:r>
          </w:p>
        </w:tc>
        <w:tc>
          <w:tcPr>
            <w:tcW w:w="1149" w:type="dxa"/>
            <w:vAlign w:val="center"/>
          </w:tcPr>
          <w:p w14:paraId="260F5E2F"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1,130</w:t>
            </w:r>
          </w:p>
        </w:tc>
        <w:tc>
          <w:tcPr>
            <w:tcW w:w="1149" w:type="dxa"/>
            <w:vAlign w:val="center"/>
          </w:tcPr>
          <w:p w14:paraId="369CF064"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1,130</w:t>
            </w:r>
          </w:p>
        </w:tc>
        <w:tc>
          <w:tcPr>
            <w:tcW w:w="1149" w:type="dxa"/>
            <w:vAlign w:val="center"/>
          </w:tcPr>
          <w:p w14:paraId="3DBEF276"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sz w:val="16"/>
                <w:szCs w:val="16"/>
              </w:rPr>
              <w:t>1,130</w:t>
            </w:r>
          </w:p>
        </w:tc>
      </w:tr>
      <w:tr w:rsidR="00120717" w:rsidRPr="00B93EE1" w14:paraId="32AB391E" w14:textId="77777777" w:rsidTr="00D25FB6">
        <w:tc>
          <w:tcPr>
            <w:tcW w:w="1960" w:type="dxa"/>
          </w:tcPr>
          <w:p w14:paraId="7F1C5A63" w14:textId="77777777" w:rsidR="00120717" w:rsidRPr="00B93EE1" w:rsidRDefault="00120717" w:rsidP="00FD0250">
            <w:pPr>
              <w:rPr>
                <w:rFonts w:eastAsiaTheme="minorHAnsi" w:cstheme="minorBidi"/>
                <w:sz w:val="16"/>
                <w:szCs w:val="16"/>
              </w:rPr>
            </w:pPr>
            <w:r w:rsidRPr="00B93EE1">
              <w:rPr>
                <w:rFonts w:eastAsiaTheme="minorHAnsi" w:cstheme="minorBidi"/>
                <w:b/>
                <w:bCs/>
                <w:sz w:val="16"/>
                <w:szCs w:val="16"/>
              </w:rPr>
              <w:t>Subtotal</w:t>
            </w:r>
          </w:p>
        </w:tc>
        <w:tc>
          <w:tcPr>
            <w:tcW w:w="1312" w:type="dxa"/>
            <w:vAlign w:val="center"/>
          </w:tcPr>
          <w:p w14:paraId="7DC48D1C"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b/>
                <w:bCs/>
                <w:sz w:val="16"/>
                <w:szCs w:val="16"/>
              </w:rPr>
              <w:t>9,173</w:t>
            </w:r>
          </w:p>
        </w:tc>
        <w:tc>
          <w:tcPr>
            <w:tcW w:w="1148" w:type="dxa"/>
            <w:vAlign w:val="center"/>
          </w:tcPr>
          <w:p w14:paraId="786662D4"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b/>
                <w:bCs/>
                <w:sz w:val="16"/>
                <w:szCs w:val="16"/>
              </w:rPr>
              <w:t>9,166</w:t>
            </w:r>
          </w:p>
        </w:tc>
        <w:tc>
          <w:tcPr>
            <w:tcW w:w="1149" w:type="dxa"/>
            <w:vAlign w:val="center"/>
          </w:tcPr>
          <w:p w14:paraId="0AEA625E"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b/>
                <w:bCs/>
                <w:sz w:val="16"/>
                <w:szCs w:val="16"/>
              </w:rPr>
              <w:t>9,165</w:t>
            </w:r>
          </w:p>
        </w:tc>
        <w:tc>
          <w:tcPr>
            <w:tcW w:w="1149" w:type="dxa"/>
            <w:vAlign w:val="center"/>
          </w:tcPr>
          <w:p w14:paraId="5CCC73A8"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b/>
                <w:bCs/>
                <w:sz w:val="16"/>
                <w:szCs w:val="16"/>
              </w:rPr>
              <w:t>9,192</w:t>
            </w:r>
          </w:p>
        </w:tc>
        <w:tc>
          <w:tcPr>
            <w:tcW w:w="1149" w:type="dxa"/>
            <w:vAlign w:val="center"/>
          </w:tcPr>
          <w:p w14:paraId="2A7DE71F"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b/>
                <w:bCs/>
                <w:sz w:val="16"/>
                <w:szCs w:val="16"/>
              </w:rPr>
              <w:t>9,200</w:t>
            </w:r>
          </w:p>
        </w:tc>
        <w:tc>
          <w:tcPr>
            <w:tcW w:w="1149" w:type="dxa"/>
            <w:vAlign w:val="center"/>
          </w:tcPr>
          <w:p w14:paraId="3B186A1A" w14:textId="77777777" w:rsidR="00120717" w:rsidRPr="00B93EE1" w:rsidRDefault="00120717" w:rsidP="00FD7477">
            <w:pPr>
              <w:ind w:right="240"/>
              <w:jc w:val="right"/>
              <w:rPr>
                <w:rFonts w:eastAsiaTheme="minorHAnsi" w:cstheme="minorBidi"/>
                <w:sz w:val="16"/>
                <w:szCs w:val="16"/>
              </w:rPr>
            </w:pPr>
            <w:r w:rsidRPr="00B93EE1">
              <w:rPr>
                <w:rFonts w:eastAsiaTheme="minorHAnsi" w:cstheme="minorBidi"/>
                <w:b/>
                <w:bCs/>
                <w:sz w:val="16"/>
                <w:szCs w:val="16"/>
              </w:rPr>
              <w:t>9,342</w:t>
            </w:r>
          </w:p>
        </w:tc>
      </w:tr>
      <w:tr w:rsidR="00120717" w:rsidRPr="00B93EE1" w14:paraId="3BF99E1C" w14:textId="77777777" w:rsidTr="00083604">
        <w:trPr>
          <w:cnfStyle w:val="000000010000" w:firstRow="0" w:lastRow="0" w:firstColumn="0" w:lastColumn="0" w:oddVBand="0" w:evenVBand="0" w:oddHBand="0" w:evenHBand="1" w:firstRowFirstColumn="0" w:firstRowLastColumn="0" w:lastRowFirstColumn="0" w:lastRowLastColumn="0"/>
        </w:trPr>
        <w:tc>
          <w:tcPr>
            <w:tcW w:w="9016" w:type="dxa"/>
            <w:gridSpan w:val="7"/>
          </w:tcPr>
          <w:p w14:paraId="6DBB0D49" w14:textId="77777777" w:rsidR="00120717" w:rsidRPr="00B93EE1" w:rsidRDefault="00120717" w:rsidP="002A1503">
            <w:pPr>
              <w:keepNext/>
              <w:keepLines/>
              <w:ind w:right="113"/>
              <w:jc w:val="left"/>
              <w:rPr>
                <w:rFonts w:eastAsiaTheme="minorHAnsi" w:cstheme="minorBidi"/>
                <w:sz w:val="16"/>
                <w:szCs w:val="16"/>
              </w:rPr>
            </w:pPr>
            <w:r w:rsidRPr="00B93EE1">
              <w:rPr>
                <w:rFonts w:eastAsiaTheme="minorHAnsi" w:cstheme="minorBidi"/>
                <w:b/>
                <w:bCs/>
                <w:sz w:val="16"/>
                <w:szCs w:val="16"/>
              </w:rPr>
              <w:t>Cogeneration</w:t>
            </w:r>
          </w:p>
        </w:tc>
      </w:tr>
      <w:tr w:rsidR="00120717" w:rsidRPr="00B93EE1" w14:paraId="746766CF" w14:textId="77777777" w:rsidTr="00D25FB6">
        <w:tc>
          <w:tcPr>
            <w:tcW w:w="1960" w:type="dxa"/>
          </w:tcPr>
          <w:p w14:paraId="723363EC" w14:textId="77777777" w:rsidR="00120717" w:rsidRPr="00B93EE1" w:rsidRDefault="00120717" w:rsidP="002A1503">
            <w:pPr>
              <w:keepNext/>
              <w:keepLines/>
              <w:rPr>
                <w:rFonts w:eastAsiaTheme="minorHAnsi" w:cstheme="minorBidi"/>
                <w:sz w:val="16"/>
                <w:szCs w:val="16"/>
              </w:rPr>
            </w:pPr>
            <w:proofErr w:type="spellStart"/>
            <w:r w:rsidRPr="00B93EE1">
              <w:rPr>
                <w:rFonts w:eastAsiaTheme="minorHAnsi" w:cstheme="minorBidi"/>
                <w:sz w:val="16"/>
                <w:szCs w:val="16"/>
              </w:rPr>
              <w:t>Gas</w:t>
            </w:r>
            <w:r w:rsidRPr="00B93EE1">
              <w:rPr>
                <w:sz w:val="16"/>
                <w:szCs w:val="16"/>
                <w:vertAlign w:val="superscript"/>
              </w:rPr>
              <w:t>a</w:t>
            </w:r>
            <w:proofErr w:type="spellEnd"/>
            <w:r w:rsidRPr="00B93EE1">
              <w:rPr>
                <w:sz w:val="16"/>
                <w:szCs w:val="16"/>
                <w:vertAlign w:val="superscript"/>
              </w:rPr>
              <w:t xml:space="preserve"> </w:t>
            </w:r>
          </w:p>
        </w:tc>
        <w:tc>
          <w:tcPr>
            <w:tcW w:w="1312" w:type="dxa"/>
            <w:vAlign w:val="center"/>
          </w:tcPr>
          <w:p w14:paraId="388D4713"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327</w:t>
            </w:r>
          </w:p>
        </w:tc>
        <w:tc>
          <w:tcPr>
            <w:tcW w:w="1148" w:type="dxa"/>
            <w:vAlign w:val="center"/>
          </w:tcPr>
          <w:p w14:paraId="1EEC84F0"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157</w:t>
            </w:r>
          </w:p>
        </w:tc>
        <w:tc>
          <w:tcPr>
            <w:tcW w:w="1149" w:type="dxa"/>
            <w:vAlign w:val="center"/>
          </w:tcPr>
          <w:p w14:paraId="72B4A747"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157</w:t>
            </w:r>
          </w:p>
        </w:tc>
        <w:tc>
          <w:tcPr>
            <w:tcW w:w="1149" w:type="dxa"/>
            <w:vAlign w:val="center"/>
          </w:tcPr>
          <w:p w14:paraId="1782428F"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157</w:t>
            </w:r>
          </w:p>
        </w:tc>
        <w:tc>
          <w:tcPr>
            <w:tcW w:w="1149" w:type="dxa"/>
            <w:vAlign w:val="center"/>
          </w:tcPr>
          <w:p w14:paraId="7B4033D9"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157</w:t>
            </w:r>
          </w:p>
        </w:tc>
        <w:tc>
          <w:tcPr>
            <w:tcW w:w="1149" w:type="dxa"/>
            <w:vAlign w:val="center"/>
          </w:tcPr>
          <w:p w14:paraId="69120C1B"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159</w:t>
            </w:r>
          </w:p>
        </w:tc>
      </w:tr>
      <w:tr w:rsidR="00120717" w:rsidRPr="00B93EE1" w14:paraId="593BD9DA" w14:textId="77777777" w:rsidTr="00D25FB6">
        <w:trPr>
          <w:cnfStyle w:val="000000010000" w:firstRow="0" w:lastRow="0" w:firstColumn="0" w:lastColumn="0" w:oddVBand="0" w:evenVBand="0" w:oddHBand="0" w:evenHBand="1" w:firstRowFirstColumn="0" w:firstRowLastColumn="0" w:lastRowFirstColumn="0" w:lastRowLastColumn="0"/>
        </w:trPr>
        <w:tc>
          <w:tcPr>
            <w:tcW w:w="1960" w:type="dxa"/>
          </w:tcPr>
          <w:p w14:paraId="3DE00ED5" w14:textId="77777777" w:rsidR="00120717" w:rsidRPr="00B93EE1" w:rsidRDefault="00120717" w:rsidP="002A1503">
            <w:pPr>
              <w:keepNext/>
              <w:keepLines/>
              <w:rPr>
                <w:rFonts w:eastAsiaTheme="minorHAnsi" w:cstheme="minorBidi"/>
                <w:sz w:val="16"/>
                <w:szCs w:val="16"/>
              </w:rPr>
            </w:pPr>
            <w:proofErr w:type="spellStart"/>
            <w:r w:rsidRPr="00B93EE1">
              <w:rPr>
                <w:rFonts w:eastAsiaTheme="minorHAnsi" w:cstheme="minorBidi"/>
                <w:sz w:val="16"/>
                <w:szCs w:val="16"/>
              </w:rPr>
              <w:t>Other</w:t>
            </w:r>
            <w:r w:rsidRPr="00B93EE1">
              <w:rPr>
                <w:sz w:val="16"/>
                <w:szCs w:val="16"/>
                <w:vertAlign w:val="superscript"/>
              </w:rPr>
              <w:t>b</w:t>
            </w:r>
            <w:proofErr w:type="spellEnd"/>
          </w:p>
        </w:tc>
        <w:tc>
          <w:tcPr>
            <w:tcW w:w="1312" w:type="dxa"/>
            <w:vAlign w:val="center"/>
          </w:tcPr>
          <w:p w14:paraId="57A5D021"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259</w:t>
            </w:r>
          </w:p>
        </w:tc>
        <w:tc>
          <w:tcPr>
            <w:tcW w:w="1148" w:type="dxa"/>
            <w:vAlign w:val="center"/>
          </w:tcPr>
          <w:p w14:paraId="0F2E5829"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259</w:t>
            </w:r>
          </w:p>
        </w:tc>
        <w:tc>
          <w:tcPr>
            <w:tcW w:w="1149" w:type="dxa"/>
            <w:vAlign w:val="center"/>
          </w:tcPr>
          <w:p w14:paraId="7FF8CC05"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263</w:t>
            </w:r>
          </w:p>
        </w:tc>
        <w:tc>
          <w:tcPr>
            <w:tcW w:w="1149" w:type="dxa"/>
            <w:vAlign w:val="center"/>
          </w:tcPr>
          <w:p w14:paraId="06B7E5B0"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263</w:t>
            </w:r>
          </w:p>
        </w:tc>
        <w:tc>
          <w:tcPr>
            <w:tcW w:w="1149" w:type="dxa"/>
            <w:vAlign w:val="center"/>
          </w:tcPr>
          <w:p w14:paraId="57F34CCE"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263</w:t>
            </w:r>
          </w:p>
        </w:tc>
        <w:tc>
          <w:tcPr>
            <w:tcW w:w="1149" w:type="dxa"/>
            <w:vAlign w:val="center"/>
          </w:tcPr>
          <w:p w14:paraId="2BD659B2"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sz w:val="16"/>
                <w:szCs w:val="16"/>
              </w:rPr>
              <w:t>257</w:t>
            </w:r>
          </w:p>
        </w:tc>
      </w:tr>
      <w:tr w:rsidR="00120717" w:rsidRPr="00B93EE1" w14:paraId="64C1E900" w14:textId="77777777" w:rsidTr="00D25FB6">
        <w:tc>
          <w:tcPr>
            <w:tcW w:w="1960" w:type="dxa"/>
          </w:tcPr>
          <w:p w14:paraId="68217861" w14:textId="77777777" w:rsidR="00120717" w:rsidRPr="00B93EE1" w:rsidRDefault="00120717" w:rsidP="002A1503">
            <w:pPr>
              <w:keepNext/>
              <w:keepLines/>
              <w:rPr>
                <w:rFonts w:eastAsiaTheme="minorHAnsi" w:cstheme="minorBidi"/>
                <w:sz w:val="16"/>
                <w:szCs w:val="16"/>
              </w:rPr>
            </w:pPr>
            <w:r w:rsidRPr="00B93EE1">
              <w:rPr>
                <w:rFonts w:eastAsiaTheme="minorHAnsi" w:cstheme="minorBidi"/>
                <w:b/>
                <w:bCs/>
                <w:sz w:val="16"/>
                <w:szCs w:val="16"/>
              </w:rPr>
              <w:t>Subtotal</w:t>
            </w:r>
          </w:p>
        </w:tc>
        <w:tc>
          <w:tcPr>
            <w:tcW w:w="1312" w:type="dxa"/>
            <w:vAlign w:val="center"/>
          </w:tcPr>
          <w:p w14:paraId="67140890"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586</w:t>
            </w:r>
          </w:p>
        </w:tc>
        <w:tc>
          <w:tcPr>
            <w:tcW w:w="1148" w:type="dxa"/>
            <w:vAlign w:val="center"/>
          </w:tcPr>
          <w:p w14:paraId="069968AA"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416</w:t>
            </w:r>
          </w:p>
        </w:tc>
        <w:tc>
          <w:tcPr>
            <w:tcW w:w="1149" w:type="dxa"/>
            <w:vAlign w:val="center"/>
          </w:tcPr>
          <w:p w14:paraId="4650E7E5"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420</w:t>
            </w:r>
          </w:p>
        </w:tc>
        <w:tc>
          <w:tcPr>
            <w:tcW w:w="1149" w:type="dxa"/>
            <w:vAlign w:val="center"/>
          </w:tcPr>
          <w:p w14:paraId="28DD277E"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420</w:t>
            </w:r>
          </w:p>
        </w:tc>
        <w:tc>
          <w:tcPr>
            <w:tcW w:w="1149" w:type="dxa"/>
            <w:vAlign w:val="center"/>
          </w:tcPr>
          <w:p w14:paraId="4740C472"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420</w:t>
            </w:r>
          </w:p>
        </w:tc>
        <w:tc>
          <w:tcPr>
            <w:tcW w:w="1149" w:type="dxa"/>
            <w:vAlign w:val="center"/>
          </w:tcPr>
          <w:p w14:paraId="1ABD21AF"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416</w:t>
            </w:r>
          </w:p>
        </w:tc>
      </w:tr>
      <w:tr w:rsidR="00120717" w:rsidRPr="00B93EE1" w14:paraId="54F177B4" w14:textId="77777777" w:rsidTr="00D25FB6">
        <w:trPr>
          <w:cnfStyle w:val="000000010000" w:firstRow="0" w:lastRow="0" w:firstColumn="0" w:lastColumn="0" w:oddVBand="0" w:evenVBand="0" w:oddHBand="0" w:evenHBand="1" w:firstRowFirstColumn="0" w:firstRowLastColumn="0" w:lastRowFirstColumn="0" w:lastRowLastColumn="0"/>
        </w:trPr>
        <w:tc>
          <w:tcPr>
            <w:tcW w:w="1960" w:type="dxa"/>
          </w:tcPr>
          <w:p w14:paraId="7E148834" w14:textId="77777777" w:rsidR="00120717" w:rsidRPr="00B93EE1" w:rsidRDefault="00120717" w:rsidP="002A1503">
            <w:pPr>
              <w:keepNext/>
              <w:keepLines/>
              <w:rPr>
                <w:rFonts w:eastAsiaTheme="minorHAnsi" w:cstheme="minorBidi"/>
                <w:sz w:val="16"/>
                <w:szCs w:val="16"/>
              </w:rPr>
            </w:pPr>
            <w:r w:rsidRPr="00B93EE1">
              <w:rPr>
                <w:rFonts w:eastAsiaTheme="minorHAnsi" w:cstheme="minorBidi"/>
                <w:b/>
                <w:bCs/>
                <w:sz w:val="16"/>
                <w:szCs w:val="16"/>
              </w:rPr>
              <w:t>Total</w:t>
            </w:r>
          </w:p>
        </w:tc>
        <w:tc>
          <w:tcPr>
            <w:tcW w:w="1312" w:type="dxa"/>
            <w:vAlign w:val="center"/>
          </w:tcPr>
          <w:p w14:paraId="74BA1F9C"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9,759</w:t>
            </w:r>
          </w:p>
        </w:tc>
        <w:tc>
          <w:tcPr>
            <w:tcW w:w="1148" w:type="dxa"/>
            <w:vAlign w:val="center"/>
          </w:tcPr>
          <w:p w14:paraId="235B9318"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9,581</w:t>
            </w:r>
          </w:p>
        </w:tc>
        <w:tc>
          <w:tcPr>
            <w:tcW w:w="1149" w:type="dxa"/>
            <w:vAlign w:val="center"/>
          </w:tcPr>
          <w:p w14:paraId="0B26B718"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9,585</w:t>
            </w:r>
          </w:p>
        </w:tc>
        <w:tc>
          <w:tcPr>
            <w:tcW w:w="1149" w:type="dxa"/>
            <w:vAlign w:val="center"/>
          </w:tcPr>
          <w:p w14:paraId="674AD01C"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9,612</w:t>
            </w:r>
          </w:p>
        </w:tc>
        <w:tc>
          <w:tcPr>
            <w:tcW w:w="1149" w:type="dxa"/>
            <w:vAlign w:val="center"/>
          </w:tcPr>
          <w:p w14:paraId="3C1EAB72"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9,620</w:t>
            </w:r>
          </w:p>
        </w:tc>
        <w:tc>
          <w:tcPr>
            <w:tcW w:w="1149" w:type="dxa"/>
            <w:vAlign w:val="center"/>
          </w:tcPr>
          <w:p w14:paraId="7FA4161E" w14:textId="77777777" w:rsidR="00120717" w:rsidRPr="00B93EE1" w:rsidRDefault="00120717" w:rsidP="00FD7477">
            <w:pPr>
              <w:keepNext/>
              <w:keepLines/>
              <w:ind w:right="240"/>
              <w:jc w:val="right"/>
              <w:rPr>
                <w:rFonts w:eastAsiaTheme="minorHAnsi" w:cstheme="minorBidi"/>
                <w:sz w:val="16"/>
                <w:szCs w:val="16"/>
              </w:rPr>
            </w:pPr>
            <w:r w:rsidRPr="00B93EE1">
              <w:rPr>
                <w:rFonts w:eastAsiaTheme="minorHAnsi" w:cstheme="minorBidi"/>
                <w:b/>
                <w:bCs/>
                <w:sz w:val="16"/>
                <w:szCs w:val="16"/>
              </w:rPr>
              <w:t>9,758</w:t>
            </w:r>
          </w:p>
        </w:tc>
      </w:tr>
    </w:tbl>
    <w:p w14:paraId="4E8A2981" w14:textId="77777777" w:rsidR="00120717" w:rsidRPr="00B93EE1" w:rsidRDefault="00120717" w:rsidP="00FD7477">
      <w:pPr>
        <w:pStyle w:val="NoteText"/>
        <w:spacing w:before="120"/>
      </w:pPr>
      <w:r w:rsidRPr="00B93EE1">
        <w:t>a</w:t>
      </w:r>
      <w:r w:rsidRPr="00B93EE1">
        <w:tab/>
        <w:t>Plants that run solely on natural gas are listed under "gas". Multi-fuelled plants that run partly on natural gas are listed under "other".</w:t>
      </w:r>
    </w:p>
    <w:p w14:paraId="25671008" w14:textId="77777777" w:rsidR="00120717" w:rsidRPr="00B93EE1" w:rsidRDefault="00120717" w:rsidP="00514B16">
      <w:pPr>
        <w:pStyle w:val="NoteText"/>
      </w:pPr>
      <w:r w:rsidRPr="00B93EE1">
        <w:t>b</w:t>
      </w:r>
      <w:r w:rsidRPr="00B93EE1">
        <w:tab/>
        <w:t>Includes cogeneration by some multi-fuel or single-fuel biomass, coal, liquid fuel, and geothermal plants. It also includes multi-fuelled plants running partly on natural gas.</w:t>
      </w:r>
    </w:p>
    <w:p w14:paraId="7DDED865" w14:textId="77777777" w:rsidR="00120717" w:rsidRPr="00B93EE1" w:rsidRDefault="00120717" w:rsidP="00FD7477">
      <w:pPr>
        <w:pStyle w:val="NoteText"/>
        <w:spacing w:before="120" w:after="240"/>
      </w:pPr>
      <w:r w:rsidRPr="00B93EE1">
        <w:t>Source:</w:t>
      </w:r>
      <w:r w:rsidRPr="00B93EE1">
        <w:tab/>
        <w:t>Information provided by the authorities.</w:t>
      </w:r>
    </w:p>
    <w:p w14:paraId="6920A48F" w14:textId="77777777" w:rsidR="00120717" w:rsidRPr="00F64A35" w:rsidRDefault="00120717" w:rsidP="00622556">
      <w:pPr>
        <w:pStyle w:val="BodyText"/>
      </w:pPr>
      <w:r w:rsidRPr="00B93EE1">
        <w:lastRenderedPageBreak/>
        <w:t>The electricity regulatory framework remained largely unchanged during the review period. The Electricity Industry Act 2010 (EIA), together with its implementing regulations</w:t>
      </w:r>
      <w:r w:rsidRPr="00B93EE1">
        <w:rPr>
          <w:rStyle w:val="FootnoteReference"/>
        </w:rPr>
        <w:footnoteReference w:id="372"/>
      </w:r>
      <w:r w:rsidRPr="00B93EE1">
        <w:t>, provides a framework for the regulation of the electricity industry. The Electricity Industry Participation Code 2010 sets out the duties and responsibilities of industry participants and the regulator. The Commerce Act 1986 (Part 4) provides price-quality regulation for Transpower and other large distribution companies (i.e. 17 non-community owned distributors). Under the same Act, Transpower and all distributors are subject to information disclosure requirements.</w:t>
      </w:r>
    </w:p>
    <w:p w14:paraId="2455E42F" w14:textId="77777777" w:rsidR="00120717" w:rsidRPr="00F64A35" w:rsidRDefault="00120717" w:rsidP="00622556">
      <w:pPr>
        <w:pStyle w:val="BodyText"/>
      </w:pPr>
      <w:r w:rsidRPr="00B93EE1">
        <w:t xml:space="preserve">New Zealand's electricity industry has four main components: generation, transmission, distribution, and retail. Around 95% of the country's electricity is generated by five companies. Three of these companies (Meridian Energy, Genesis Energy, and Mighty River Power) operate under a mixed ownership model in which the Government holds a majority 51% stake, while Contact and </w:t>
      </w:r>
      <w:proofErr w:type="spellStart"/>
      <w:r w:rsidRPr="00B93EE1">
        <w:t>Trustpower</w:t>
      </w:r>
      <w:proofErr w:type="spellEnd"/>
      <w:r w:rsidRPr="00B93EE1">
        <w:t xml:space="preserve"> are privately owned. There are no restrictions on private participation in the generation sector. Foreign investment in electricity generation is subject to the general provisions of the Overseas Investment Act 2005.</w:t>
      </w:r>
    </w:p>
    <w:p w14:paraId="0E1F9793" w14:textId="77777777" w:rsidR="00120717" w:rsidRPr="00F64A35" w:rsidRDefault="00120717" w:rsidP="00622556">
      <w:pPr>
        <w:pStyle w:val="BodyText"/>
      </w:pPr>
      <w:r w:rsidRPr="00B93EE1">
        <w:t>The state-owned enterprise Transpower owns and operates New Zealand's national electricity transmission system. The authorities indicate that any business may own and operate high voltage transmission assets, but Transpower's role as the electricity system operator is specified in the EIA. Transpower transmits most of New Zealand's electrical energy to 27 distribution companies throughout New Zealand. The electricity distribution sector has diverse ownership, including consumer cooperatives, territorial authorities, and private investment (including foreign owners). Foreign ownership is subject to the general provisions of the Overseas Investment Act 2005. Transpower also supplies electricity directly to some large industrial companies.</w:t>
      </w:r>
    </w:p>
    <w:p w14:paraId="6D06943A" w14:textId="77777777" w:rsidR="00120717" w:rsidRPr="00F64A35" w:rsidRDefault="00120717" w:rsidP="00622556">
      <w:pPr>
        <w:pStyle w:val="BodyText"/>
      </w:pPr>
      <w:r w:rsidRPr="00B93EE1">
        <w:t>There are currently 31 electricity retailers in New Zealand, of which 5 are owned by the dominant electricity generating companies. However, these generator-retailers continue to dominate the retail market, with a 90% market share. A recent review of the electricity sector, the 2019 Electricity Price Review (EPR), indicated that the many independent retailers that have entered the sector face barriers to expanding their market share.</w:t>
      </w:r>
      <w:r w:rsidRPr="00B93EE1">
        <w:rPr>
          <w:rStyle w:val="FootnoteReference"/>
        </w:rPr>
        <w:footnoteReference w:id="373"/>
      </w:r>
      <w:r w:rsidRPr="00B93EE1">
        <w:t xml:space="preserve"> Rules governing retail market conduct and wholesale contract market liquidity were subsequently amended to address this concern.</w:t>
      </w:r>
    </w:p>
    <w:p w14:paraId="30716D42" w14:textId="77777777" w:rsidR="00120717" w:rsidRPr="00F64A35" w:rsidRDefault="00120717" w:rsidP="00622556">
      <w:pPr>
        <w:pStyle w:val="BodyText"/>
      </w:pPr>
      <w:r w:rsidRPr="00B93EE1">
        <w:t>Electricity is traded on the wholesale market, which is coordinated by the Electricity Authority (the government regulator) and other organizations undertaking various roles (e.g. market administrator, pricing manager, clearing manager). The Electricity Authority is in charge of developing policy, code provisions, and systems for the buying and selling of wholesale electricity and for managing security of its supply. Generators make offers to supply electricity at approximately 52 grid injection points (where their power stations connect to the national grid), and retailers and major industrial users make bids to buy electricity at approximately 200 grid exit points.</w:t>
      </w:r>
    </w:p>
    <w:p w14:paraId="0A793DF1" w14:textId="77777777" w:rsidR="00120717" w:rsidRPr="00F64A35" w:rsidRDefault="00120717" w:rsidP="00622556">
      <w:pPr>
        <w:pStyle w:val="BodyText"/>
      </w:pPr>
      <w:r w:rsidRPr="00B93EE1">
        <w:t>Findings by the recent EPR show that residential power prices in New Zealand has risen by 48% since 2000 after adjusting for inflation, while prices for industrial and commercial clients remained largely flat during that period. These residential price increases were largely explained by increases in distribution charges.</w:t>
      </w:r>
      <w:r w:rsidRPr="00B93EE1">
        <w:rPr>
          <w:rStyle w:val="FootnoteReference"/>
        </w:rPr>
        <w:footnoteReference w:id="374"/>
      </w:r>
      <w:r w:rsidRPr="00B93EE1">
        <w:t xml:space="preserve"> Wholesale and retail electricity prices are unregulated for all classes of consumers, except that retailers must offer households with below-average consumption a fixed charge tariff component not exceeding NZD 0.30 per day (variable tariff components are not regulated). These regulations are to be phased out over five years beginning in 2022. Electricity distribution enterprises are subject to price-quality regulation by the Commerce Commission, except 12 consumer-owned businesses that are exempt.</w:t>
      </w:r>
    </w:p>
    <w:p w14:paraId="684A0C88" w14:textId="77777777" w:rsidR="00120717" w:rsidRPr="00F64A35" w:rsidRDefault="00120717" w:rsidP="001C0F1E">
      <w:pPr>
        <w:pStyle w:val="Heading3"/>
      </w:pPr>
      <w:bookmarkStart w:id="232" w:name="_Toc97800200"/>
      <w:r w:rsidRPr="00B93EE1">
        <w:t>Hydrocarbons</w:t>
      </w:r>
      <w:bookmarkEnd w:id="232"/>
    </w:p>
    <w:p w14:paraId="7BCFB045" w14:textId="77777777" w:rsidR="00120717" w:rsidRPr="00F64A35" w:rsidRDefault="00120717" w:rsidP="008B54EB">
      <w:pPr>
        <w:pStyle w:val="BodyText"/>
      </w:pPr>
      <w:r w:rsidRPr="00B93EE1">
        <w:t>Hydrocarbons continue to be New Zealand's main source of primary energy and an important source of GHG emissions.</w:t>
      </w:r>
    </w:p>
    <w:p w14:paraId="69AA325D" w14:textId="77777777" w:rsidR="00120717" w:rsidRPr="00F64A35" w:rsidRDefault="00120717" w:rsidP="00622556">
      <w:pPr>
        <w:pStyle w:val="BodyText"/>
      </w:pPr>
      <w:r w:rsidRPr="00B93EE1">
        <w:lastRenderedPageBreak/>
        <w:t>Oil production in New Zealand comes from both offshore and onshore fields. The country exports most of its oil production and imports a significant proportion of its oil requirement (Table 4.5). Its higher quality oil is sold at higher prices on the international market, mostly to Australia and Singapore. Crude oil is transported, either by pipe, ship, or truck, for export to refineries (predominately in Australia and Singapore) or for further processing and/or distribution in New Zealand.</w:t>
      </w:r>
    </w:p>
    <w:p w14:paraId="415AF7D2" w14:textId="2120C653" w:rsidR="00120717" w:rsidRPr="00B93EE1" w:rsidRDefault="00D37A97" w:rsidP="00D37A97">
      <w:pPr>
        <w:pStyle w:val="Caption"/>
      </w:pPr>
      <w:bookmarkStart w:id="233" w:name="_Toc97793409"/>
      <w:r>
        <w:t xml:space="preserve">Table </w:t>
      </w:r>
      <w:r w:rsidR="0012793B">
        <w:fldChar w:fldCharType="begin"/>
      </w:r>
      <w:r w:rsidR="0012793B">
        <w:instrText xml:space="preserve"> STYLEREF 1 \s </w:instrText>
      </w:r>
      <w:r w:rsidR="0012793B">
        <w:fldChar w:fldCharType="separate"/>
      </w:r>
      <w:r>
        <w:rPr>
          <w:noProof/>
        </w:rPr>
        <w:t>4</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5</w:t>
      </w:r>
      <w:r w:rsidR="0012793B">
        <w:rPr>
          <w:noProof/>
        </w:rPr>
        <w:fldChar w:fldCharType="end"/>
      </w:r>
      <w:r>
        <w:t xml:space="preserve"> </w:t>
      </w:r>
      <w:r w:rsidR="00120717" w:rsidRPr="00B93EE1">
        <w:t>New Zealand's production, imports, and exports of oil and gas, 2015-20</w:t>
      </w:r>
      <w:bookmarkEnd w:id="233"/>
    </w:p>
    <w:tbl>
      <w:tblPr>
        <w:tblStyle w:val="WTOTable12"/>
        <w:tblW w:w="0" w:type="auto"/>
        <w:tblLayout w:type="fixed"/>
        <w:tblLook w:val="04A0" w:firstRow="1" w:lastRow="0" w:firstColumn="1" w:lastColumn="0" w:noHBand="0" w:noVBand="1"/>
      </w:tblPr>
      <w:tblGrid>
        <w:gridCol w:w="3265"/>
        <w:gridCol w:w="958"/>
        <w:gridCol w:w="959"/>
        <w:gridCol w:w="958"/>
        <w:gridCol w:w="959"/>
        <w:gridCol w:w="958"/>
        <w:gridCol w:w="959"/>
      </w:tblGrid>
      <w:tr w:rsidR="00120717" w:rsidRPr="00B93EE1" w14:paraId="2CBF40BB" w14:textId="77777777" w:rsidTr="00083604">
        <w:trPr>
          <w:cnfStyle w:val="100000000000" w:firstRow="1" w:lastRow="0" w:firstColumn="0" w:lastColumn="0" w:oddVBand="0" w:evenVBand="0" w:oddHBand="0" w:evenHBand="0" w:firstRowFirstColumn="0" w:firstRowLastColumn="0" w:lastRowFirstColumn="0" w:lastRowLastColumn="0"/>
          <w:trHeight w:val="20"/>
        </w:trPr>
        <w:tc>
          <w:tcPr>
            <w:tcW w:w="3265" w:type="dxa"/>
            <w:noWrap/>
            <w:hideMark/>
          </w:tcPr>
          <w:p w14:paraId="59E20B8E" w14:textId="77777777" w:rsidR="00120717" w:rsidRPr="00B93EE1" w:rsidRDefault="00120717" w:rsidP="00220A2F">
            <w:pPr>
              <w:jc w:val="left"/>
              <w:rPr>
                <w:bCs/>
                <w:sz w:val="16"/>
                <w:szCs w:val="16"/>
              </w:rPr>
            </w:pPr>
          </w:p>
        </w:tc>
        <w:tc>
          <w:tcPr>
            <w:tcW w:w="958" w:type="dxa"/>
            <w:noWrap/>
            <w:vAlign w:val="center"/>
            <w:hideMark/>
          </w:tcPr>
          <w:p w14:paraId="4FE21F60" w14:textId="77777777" w:rsidR="00120717" w:rsidRPr="00B93EE1" w:rsidRDefault="00120717" w:rsidP="00F57414">
            <w:pPr>
              <w:ind w:right="113"/>
              <w:jc w:val="right"/>
              <w:rPr>
                <w:bCs/>
                <w:sz w:val="16"/>
                <w:szCs w:val="16"/>
              </w:rPr>
            </w:pPr>
            <w:r w:rsidRPr="00B93EE1">
              <w:rPr>
                <w:bCs/>
                <w:sz w:val="16"/>
                <w:szCs w:val="16"/>
              </w:rPr>
              <w:t>2015</w:t>
            </w:r>
          </w:p>
        </w:tc>
        <w:tc>
          <w:tcPr>
            <w:tcW w:w="959" w:type="dxa"/>
            <w:noWrap/>
            <w:vAlign w:val="center"/>
            <w:hideMark/>
          </w:tcPr>
          <w:p w14:paraId="30DA8915" w14:textId="77777777" w:rsidR="00120717" w:rsidRPr="00B93EE1" w:rsidRDefault="00120717" w:rsidP="00F57414">
            <w:pPr>
              <w:ind w:right="113"/>
              <w:jc w:val="right"/>
              <w:rPr>
                <w:bCs/>
                <w:sz w:val="16"/>
                <w:szCs w:val="16"/>
              </w:rPr>
            </w:pPr>
            <w:r w:rsidRPr="00B93EE1">
              <w:rPr>
                <w:bCs/>
                <w:sz w:val="16"/>
                <w:szCs w:val="16"/>
              </w:rPr>
              <w:t>2016</w:t>
            </w:r>
          </w:p>
        </w:tc>
        <w:tc>
          <w:tcPr>
            <w:tcW w:w="958" w:type="dxa"/>
            <w:noWrap/>
            <w:vAlign w:val="center"/>
            <w:hideMark/>
          </w:tcPr>
          <w:p w14:paraId="4AC9B0FC" w14:textId="77777777" w:rsidR="00120717" w:rsidRPr="00B93EE1" w:rsidRDefault="00120717" w:rsidP="00F57414">
            <w:pPr>
              <w:ind w:right="113"/>
              <w:jc w:val="right"/>
              <w:rPr>
                <w:bCs/>
                <w:sz w:val="16"/>
                <w:szCs w:val="16"/>
              </w:rPr>
            </w:pPr>
            <w:r w:rsidRPr="00B93EE1">
              <w:rPr>
                <w:bCs/>
                <w:sz w:val="16"/>
                <w:szCs w:val="16"/>
              </w:rPr>
              <w:t>2017</w:t>
            </w:r>
          </w:p>
        </w:tc>
        <w:tc>
          <w:tcPr>
            <w:tcW w:w="959" w:type="dxa"/>
            <w:noWrap/>
            <w:vAlign w:val="center"/>
            <w:hideMark/>
          </w:tcPr>
          <w:p w14:paraId="3697A2E4" w14:textId="77777777" w:rsidR="00120717" w:rsidRPr="00B93EE1" w:rsidRDefault="00120717" w:rsidP="00F57414">
            <w:pPr>
              <w:ind w:right="113"/>
              <w:jc w:val="right"/>
              <w:rPr>
                <w:bCs/>
                <w:sz w:val="16"/>
                <w:szCs w:val="16"/>
              </w:rPr>
            </w:pPr>
            <w:r w:rsidRPr="00B93EE1">
              <w:rPr>
                <w:bCs/>
                <w:sz w:val="16"/>
                <w:szCs w:val="16"/>
              </w:rPr>
              <w:t>2018</w:t>
            </w:r>
          </w:p>
        </w:tc>
        <w:tc>
          <w:tcPr>
            <w:tcW w:w="958" w:type="dxa"/>
            <w:noWrap/>
            <w:vAlign w:val="center"/>
            <w:hideMark/>
          </w:tcPr>
          <w:p w14:paraId="7250DB84" w14:textId="77777777" w:rsidR="00120717" w:rsidRPr="00B93EE1" w:rsidRDefault="00120717" w:rsidP="00F57414">
            <w:pPr>
              <w:ind w:right="113"/>
              <w:jc w:val="right"/>
              <w:rPr>
                <w:bCs/>
                <w:sz w:val="16"/>
                <w:szCs w:val="16"/>
              </w:rPr>
            </w:pPr>
            <w:r w:rsidRPr="00B93EE1">
              <w:rPr>
                <w:bCs/>
                <w:sz w:val="16"/>
                <w:szCs w:val="16"/>
              </w:rPr>
              <w:t>2019</w:t>
            </w:r>
          </w:p>
        </w:tc>
        <w:tc>
          <w:tcPr>
            <w:tcW w:w="959" w:type="dxa"/>
            <w:noWrap/>
            <w:vAlign w:val="center"/>
            <w:hideMark/>
          </w:tcPr>
          <w:p w14:paraId="23025D3A" w14:textId="77777777" w:rsidR="00120717" w:rsidRPr="00B93EE1" w:rsidRDefault="00120717" w:rsidP="00F57414">
            <w:pPr>
              <w:ind w:right="113"/>
              <w:jc w:val="right"/>
              <w:rPr>
                <w:bCs/>
                <w:sz w:val="16"/>
                <w:szCs w:val="16"/>
              </w:rPr>
            </w:pPr>
            <w:r w:rsidRPr="00B93EE1">
              <w:rPr>
                <w:bCs/>
                <w:sz w:val="16"/>
                <w:szCs w:val="16"/>
              </w:rPr>
              <w:t>2020</w:t>
            </w:r>
          </w:p>
        </w:tc>
      </w:tr>
      <w:tr w:rsidR="00120717" w:rsidRPr="00B93EE1" w14:paraId="1A6D8FCF" w14:textId="77777777" w:rsidTr="000930E2">
        <w:trPr>
          <w:cnfStyle w:val="000000100000" w:firstRow="0" w:lastRow="0" w:firstColumn="0" w:lastColumn="0" w:oddVBand="0" w:evenVBand="0" w:oddHBand="1" w:evenHBand="0" w:firstRowFirstColumn="0" w:firstRowLastColumn="0" w:lastRowFirstColumn="0" w:lastRowLastColumn="0"/>
          <w:trHeight w:val="20"/>
        </w:trPr>
        <w:tc>
          <w:tcPr>
            <w:tcW w:w="9016" w:type="dxa"/>
            <w:gridSpan w:val="7"/>
            <w:noWrap/>
          </w:tcPr>
          <w:p w14:paraId="4023046D" w14:textId="563F54ED" w:rsidR="00120717" w:rsidRPr="00B93EE1" w:rsidRDefault="00120717" w:rsidP="00172256">
            <w:pPr>
              <w:ind w:right="113"/>
              <w:jc w:val="left"/>
              <w:rPr>
                <w:sz w:val="16"/>
                <w:szCs w:val="16"/>
              </w:rPr>
            </w:pPr>
            <w:r w:rsidRPr="00B93EE1">
              <w:rPr>
                <w:b/>
                <w:sz w:val="16"/>
                <w:szCs w:val="16"/>
              </w:rPr>
              <w:t>Crude, condensate, naphtha</w:t>
            </w:r>
            <w:r w:rsidR="000504F9">
              <w:rPr>
                <w:b/>
                <w:sz w:val="16"/>
                <w:szCs w:val="16"/>
              </w:rPr>
              <w:t>,</w:t>
            </w:r>
            <w:r w:rsidRPr="00B93EE1">
              <w:rPr>
                <w:b/>
                <w:sz w:val="16"/>
                <w:szCs w:val="16"/>
              </w:rPr>
              <w:t xml:space="preserve"> and natural gas liquids (kt)</w:t>
            </w:r>
          </w:p>
        </w:tc>
      </w:tr>
      <w:tr w:rsidR="00120717" w:rsidRPr="00B93EE1" w14:paraId="4A2821BD"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3265" w:type="dxa"/>
            <w:noWrap/>
            <w:hideMark/>
          </w:tcPr>
          <w:p w14:paraId="7832B33D" w14:textId="77777777" w:rsidR="00120717" w:rsidRPr="00B93EE1" w:rsidRDefault="00120717" w:rsidP="00172256">
            <w:pPr>
              <w:ind w:left="173"/>
              <w:rPr>
                <w:sz w:val="16"/>
                <w:szCs w:val="16"/>
              </w:rPr>
            </w:pPr>
            <w:r w:rsidRPr="00B93EE1">
              <w:rPr>
                <w:sz w:val="16"/>
                <w:szCs w:val="16"/>
              </w:rPr>
              <w:t>Gross production</w:t>
            </w:r>
          </w:p>
        </w:tc>
        <w:tc>
          <w:tcPr>
            <w:tcW w:w="958" w:type="dxa"/>
            <w:noWrap/>
            <w:vAlign w:val="center"/>
            <w:hideMark/>
          </w:tcPr>
          <w:p w14:paraId="4C133075" w14:textId="77777777" w:rsidR="00120717" w:rsidRPr="00B93EE1" w:rsidRDefault="00120717" w:rsidP="00F57414">
            <w:pPr>
              <w:ind w:right="113"/>
              <w:jc w:val="right"/>
              <w:rPr>
                <w:sz w:val="16"/>
                <w:szCs w:val="16"/>
              </w:rPr>
            </w:pPr>
            <w:r w:rsidRPr="00B93EE1">
              <w:rPr>
                <w:sz w:val="16"/>
                <w:szCs w:val="16"/>
              </w:rPr>
              <w:t>1,862</w:t>
            </w:r>
          </w:p>
        </w:tc>
        <w:tc>
          <w:tcPr>
            <w:tcW w:w="959" w:type="dxa"/>
            <w:noWrap/>
            <w:vAlign w:val="center"/>
            <w:hideMark/>
          </w:tcPr>
          <w:p w14:paraId="1736D7BE" w14:textId="77777777" w:rsidR="00120717" w:rsidRPr="00B93EE1" w:rsidRDefault="00120717" w:rsidP="00F57414">
            <w:pPr>
              <w:ind w:right="113"/>
              <w:jc w:val="right"/>
              <w:rPr>
                <w:sz w:val="16"/>
                <w:szCs w:val="16"/>
              </w:rPr>
            </w:pPr>
            <w:r w:rsidRPr="00B93EE1">
              <w:rPr>
                <w:sz w:val="16"/>
                <w:szCs w:val="16"/>
              </w:rPr>
              <w:t>1,572</w:t>
            </w:r>
          </w:p>
        </w:tc>
        <w:tc>
          <w:tcPr>
            <w:tcW w:w="958" w:type="dxa"/>
            <w:noWrap/>
            <w:vAlign w:val="center"/>
            <w:hideMark/>
          </w:tcPr>
          <w:p w14:paraId="2DFF4255" w14:textId="77777777" w:rsidR="00120717" w:rsidRPr="00B93EE1" w:rsidRDefault="00120717" w:rsidP="00F57414">
            <w:pPr>
              <w:ind w:right="113"/>
              <w:jc w:val="right"/>
              <w:rPr>
                <w:sz w:val="16"/>
                <w:szCs w:val="16"/>
              </w:rPr>
            </w:pPr>
            <w:r w:rsidRPr="00B93EE1">
              <w:rPr>
                <w:sz w:val="16"/>
                <w:szCs w:val="16"/>
              </w:rPr>
              <w:t>1,400</w:t>
            </w:r>
          </w:p>
        </w:tc>
        <w:tc>
          <w:tcPr>
            <w:tcW w:w="959" w:type="dxa"/>
            <w:noWrap/>
            <w:vAlign w:val="center"/>
            <w:hideMark/>
          </w:tcPr>
          <w:p w14:paraId="34A07419" w14:textId="77777777" w:rsidR="00120717" w:rsidRPr="00B93EE1" w:rsidRDefault="00120717" w:rsidP="00F57414">
            <w:pPr>
              <w:ind w:right="113"/>
              <w:jc w:val="right"/>
              <w:rPr>
                <w:sz w:val="16"/>
                <w:szCs w:val="16"/>
              </w:rPr>
            </w:pPr>
            <w:r w:rsidRPr="00B93EE1">
              <w:rPr>
                <w:sz w:val="16"/>
                <w:szCs w:val="16"/>
              </w:rPr>
              <w:t>1,085</w:t>
            </w:r>
          </w:p>
        </w:tc>
        <w:tc>
          <w:tcPr>
            <w:tcW w:w="958" w:type="dxa"/>
            <w:noWrap/>
            <w:vAlign w:val="center"/>
            <w:hideMark/>
          </w:tcPr>
          <w:p w14:paraId="0A92A5EC" w14:textId="77777777" w:rsidR="00120717" w:rsidRPr="00B93EE1" w:rsidRDefault="00120717" w:rsidP="00F57414">
            <w:pPr>
              <w:ind w:right="113"/>
              <w:jc w:val="right"/>
              <w:rPr>
                <w:sz w:val="16"/>
                <w:szCs w:val="16"/>
              </w:rPr>
            </w:pPr>
            <w:r w:rsidRPr="00B93EE1">
              <w:rPr>
                <w:sz w:val="16"/>
                <w:szCs w:val="16"/>
              </w:rPr>
              <w:t>1,121</w:t>
            </w:r>
          </w:p>
        </w:tc>
        <w:tc>
          <w:tcPr>
            <w:tcW w:w="959" w:type="dxa"/>
            <w:noWrap/>
            <w:vAlign w:val="center"/>
            <w:hideMark/>
          </w:tcPr>
          <w:p w14:paraId="36F4031C" w14:textId="77777777" w:rsidR="00120717" w:rsidRPr="00B93EE1" w:rsidRDefault="00120717" w:rsidP="00F57414">
            <w:pPr>
              <w:ind w:right="113"/>
              <w:jc w:val="right"/>
              <w:rPr>
                <w:sz w:val="16"/>
                <w:szCs w:val="16"/>
              </w:rPr>
            </w:pPr>
            <w:r w:rsidRPr="00B93EE1">
              <w:rPr>
                <w:sz w:val="16"/>
                <w:szCs w:val="16"/>
              </w:rPr>
              <w:t>964</w:t>
            </w:r>
          </w:p>
        </w:tc>
      </w:tr>
      <w:tr w:rsidR="00120717" w:rsidRPr="00B93EE1" w14:paraId="14CA59FE" w14:textId="77777777" w:rsidTr="00083604">
        <w:trPr>
          <w:cnfStyle w:val="000000100000" w:firstRow="0" w:lastRow="0" w:firstColumn="0" w:lastColumn="0" w:oddVBand="0" w:evenVBand="0" w:oddHBand="1" w:evenHBand="0" w:firstRowFirstColumn="0" w:firstRowLastColumn="0" w:lastRowFirstColumn="0" w:lastRowLastColumn="0"/>
          <w:trHeight w:val="20"/>
        </w:trPr>
        <w:tc>
          <w:tcPr>
            <w:tcW w:w="3265" w:type="dxa"/>
            <w:noWrap/>
            <w:hideMark/>
          </w:tcPr>
          <w:p w14:paraId="00A31DF7" w14:textId="77777777" w:rsidR="00120717" w:rsidRPr="00B93EE1" w:rsidRDefault="00120717" w:rsidP="00172256">
            <w:pPr>
              <w:ind w:left="173"/>
              <w:rPr>
                <w:sz w:val="16"/>
                <w:szCs w:val="16"/>
              </w:rPr>
            </w:pPr>
            <w:r w:rsidRPr="00B93EE1">
              <w:rPr>
                <w:sz w:val="16"/>
                <w:szCs w:val="16"/>
              </w:rPr>
              <w:t>Imports</w:t>
            </w:r>
          </w:p>
        </w:tc>
        <w:tc>
          <w:tcPr>
            <w:tcW w:w="958" w:type="dxa"/>
            <w:noWrap/>
            <w:vAlign w:val="center"/>
            <w:hideMark/>
          </w:tcPr>
          <w:p w14:paraId="0CC13917" w14:textId="77777777" w:rsidR="00120717" w:rsidRPr="00B93EE1" w:rsidRDefault="00120717" w:rsidP="00F57414">
            <w:pPr>
              <w:ind w:right="113"/>
              <w:jc w:val="right"/>
              <w:rPr>
                <w:sz w:val="16"/>
                <w:szCs w:val="16"/>
              </w:rPr>
            </w:pPr>
            <w:r w:rsidRPr="00B93EE1">
              <w:rPr>
                <w:sz w:val="16"/>
                <w:szCs w:val="16"/>
              </w:rPr>
              <w:t>5,120</w:t>
            </w:r>
          </w:p>
        </w:tc>
        <w:tc>
          <w:tcPr>
            <w:tcW w:w="959" w:type="dxa"/>
            <w:noWrap/>
            <w:vAlign w:val="center"/>
            <w:hideMark/>
          </w:tcPr>
          <w:p w14:paraId="6BB7EF36" w14:textId="77777777" w:rsidR="00120717" w:rsidRPr="00B93EE1" w:rsidRDefault="00120717" w:rsidP="00F57414">
            <w:pPr>
              <w:ind w:right="113"/>
              <w:jc w:val="right"/>
              <w:rPr>
                <w:sz w:val="16"/>
                <w:szCs w:val="16"/>
              </w:rPr>
            </w:pPr>
            <w:r w:rsidRPr="00B93EE1">
              <w:rPr>
                <w:sz w:val="16"/>
                <w:szCs w:val="16"/>
              </w:rPr>
              <w:t>5,291</w:t>
            </w:r>
          </w:p>
        </w:tc>
        <w:tc>
          <w:tcPr>
            <w:tcW w:w="958" w:type="dxa"/>
            <w:noWrap/>
            <w:vAlign w:val="center"/>
            <w:hideMark/>
          </w:tcPr>
          <w:p w14:paraId="0A60D761" w14:textId="77777777" w:rsidR="00120717" w:rsidRPr="00B93EE1" w:rsidRDefault="00120717" w:rsidP="00F57414">
            <w:pPr>
              <w:ind w:right="113"/>
              <w:jc w:val="right"/>
              <w:rPr>
                <w:sz w:val="16"/>
                <w:szCs w:val="16"/>
              </w:rPr>
            </w:pPr>
            <w:r w:rsidRPr="00B93EE1">
              <w:rPr>
                <w:sz w:val="16"/>
                <w:szCs w:val="16"/>
              </w:rPr>
              <w:t>5,491</w:t>
            </w:r>
          </w:p>
        </w:tc>
        <w:tc>
          <w:tcPr>
            <w:tcW w:w="959" w:type="dxa"/>
            <w:noWrap/>
            <w:vAlign w:val="center"/>
            <w:hideMark/>
          </w:tcPr>
          <w:p w14:paraId="40335D8F" w14:textId="77777777" w:rsidR="00120717" w:rsidRPr="00B93EE1" w:rsidRDefault="00120717" w:rsidP="00F57414">
            <w:pPr>
              <w:ind w:right="113"/>
              <w:jc w:val="right"/>
              <w:rPr>
                <w:sz w:val="16"/>
                <w:szCs w:val="16"/>
              </w:rPr>
            </w:pPr>
            <w:r w:rsidRPr="00B93EE1">
              <w:rPr>
                <w:sz w:val="16"/>
                <w:szCs w:val="16"/>
              </w:rPr>
              <w:t>4,949</w:t>
            </w:r>
          </w:p>
        </w:tc>
        <w:tc>
          <w:tcPr>
            <w:tcW w:w="958" w:type="dxa"/>
            <w:noWrap/>
            <w:vAlign w:val="center"/>
            <w:hideMark/>
          </w:tcPr>
          <w:p w14:paraId="0D990F11" w14:textId="77777777" w:rsidR="00120717" w:rsidRPr="00B93EE1" w:rsidRDefault="00120717" w:rsidP="00F57414">
            <w:pPr>
              <w:ind w:right="113"/>
              <w:jc w:val="right"/>
              <w:rPr>
                <w:sz w:val="16"/>
                <w:szCs w:val="16"/>
              </w:rPr>
            </w:pPr>
            <w:r w:rsidRPr="00B93EE1">
              <w:rPr>
                <w:sz w:val="16"/>
                <w:szCs w:val="16"/>
              </w:rPr>
              <w:t>5,127</w:t>
            </w:r>
          </w:p>
        </w:tc>
        <w:tc>
          <w:tcPr>
            <w:tcW w:w="959" w:type="dxa"/>
            <w:noWrap/>
            <w:vAlign w:val="center"/>
            <w:hideMark/>
          </w:tcPr>
          <w:p w14:paraId="43E3CA07" w14:textId="77777777" w:rsidR="00120717" w:rsidRPr="00B93EE1" w:rsidRDefault="00120717" w:rsidP="00F57414">
            <w:pPr>
              <w:ind w:right="113"/>
              <w:jc w:val="right"/>
              <w:rPr>
                <w:sz w:val="16"/>
                <w:szCs w:val="16"/>
              </w:rPr>
            </w:pPr>
            <w:r w:rsidRPr="00B93EE1">
              <w:rPr>
                <w:sz w:val="16"/>
                <w:szCs w:val="16"/>
              </w:rPr>
              <w:t>3,728</w:t>
            </w:r>
          </w:p>
        </w:tc>
      </w:tr>
      <w:tr w:rsidR="00120717" w:rsidRPr="00B93EE1" w14:paraId="01F45671"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3265" w:type="dxa"/>
            <w:noWrap/>
            <w:hideMark/>
          </w:tcPr>
          <w:p w14:paraId="31EB2AE2" w14:textId="77777777" w:rsidR="00120717" w:rsidRPr="00B93EE1" w:rsidRDefault="00120717" w:rsidP="00172256">
            <w:pPr>
              <w:ind w:left="173"/>
              <w:rPr>
                <w:sz w:val="16"/>
                <w:szCs w:val="16"/>
              </w:rPr>
            </w:pPr>
            <w:r w:rsidRPr="00B93EE1">
              <w:rPr>
                <w:sz w:val="16"/>
                <w:szCs w:val="16"/>
              </w:rPr>
              <w:t>Exports</w:t>
            </w:r>
          </w:p>
        </w:tc>
        <w:tc>
          <w:tcPr>
            <w:tcW w:w="958" w:type="dxa"/>
            <w:noWrap/>
            <w:vAlign w:val="center"/>
            <w:hideMark/>
          </w:tcPr>
          <w:p w14:paraId="25D8F020" w14:textId="77777777" w:rsidR="00120717" w:rsidRPr="00B93EE1" w:rsidRDefault="00120717" w:rsidP="00F57414">
            <w:pPr>
              <w:ind w:right="113"/>
              <w:jc w:val="right"/>
              <w:rPr>
                <w:sz w:val="16"/>
                <w:szCs w:val="16"/>
              </w:rPr>
            </w:pPr>
            <w:r w:rsidRPr="00B93EE1">
              <w:rPr>
                <w:sz w:val="16"/>
                <w:szCs w:val="16"/>
              </w:rPr>
              <w:t>1,966</w:t>
            </w:r>
          </w:p>
        </w:tc>
        <w:tc>
          <w:tcPr>
            <w:tcW w:w="959" w:type="dxa"/>
            <w:noWrap/>
            <w:vAlign w:val="center"/>
            <w:hideMark/>
          </w:tcPr>
          <w:p w14:paraId="0E80D52B" w14:textId="77777777" w:rsidR="00120717" w:rsidRPr="00B93EE1" w:rsidRDefault="00120717" w:rsidP="00F57414">
            <w:pPr>
              <w:ind w:right="113"/>
              <w:jc w:val="right"/>
              <w:rPr>
                <w:sz w:val="16"/>
                <w:szCs w:val="16"/>
              </w:rPr>
            </w:pPr>
            <w:r w:rsidRPr="00B93EE1">
              <w:rPr>
                <w:sz w:val="16"/>
                <w:szCs w:val="16"/>
              </w:rPr>
              <w:t>1,530</w:t>
            </w:r>
          </w:p>
        </w:tc>
        <w:tc>
          <w:tcPr>
            <w:tcW w:w="958" w:type="dxa"/>
            <w:noWrap/>
            <w:vAlign w:val="center"/>
            <w:hideMark/>
          </w:tcPr>
          <w:p w14:paraId="7F7E886B" w14:textId="77777777" w:rsidR="00120717" w:rsidRPr="00B93EE1" w:rsidRDefault="00120717" w:rsidP="00F57414">
            <w:pPr>
              <w:ind w:right="113"/>
              <w:jc w:val="right"/>
              <w:rPr>
                <w:sz w:val="16"/>
                <w:szCs w:val="16"/>
              </w:rPr>
            </w:pPr>
            <w:r w:rsidRPr="00B93EE1">
              <w:rPr>
                <w:sz w:val="16"/>
                <w:szCs w:val="16"/>
              </w:rPr>
              <w:t>1,312</w:t>
            </w:r>
          </w:p>
        </w:tc>
        <w:tc>
          <w:tcPr>
            <w:tcW w:w="959" w:type="dxa"/>
            <w:noWrap/>
            <w:vAlign w:val="center"/>
            <w:hideMark/>
          </w:tcPr>
          <w:p w14:paraId="34445ABF" w14:textId="77777777" w:rsidR="00120717" w:rsidRPr="00B93EE1" w:rsidRDefault="00120717" w:rsidP="00F57414">
            <w:pPr>
              <w:ind w:right="113"/>
              <w:jc w:val="right"/>
              <w:rPr>
                <w:sz w:val="16"/>
                <w:szCs w:val="16"/>
              </w:rPr>
            </w:pPr>
            <w:r w:rsidRPr="00B93EE1">
              <w:rPr>
                <w:sz w:val="16"/>
                <w:szCs w:val="16"/>
              </w:rPr>
              <w:t>1,078</w:t>
            </w:r>
          </w:p>
        </w:tc>
        <w:tc>
          <w:tcPr>
            <w:tcW w:w="958" w:type="dxa"/>
            <w:noWrap/>
            <w:vAlign w:val="center"/>
            <w:hideMark/>
          </w:tcPr>
          <w:p w14:paraId="3D5A1E30" w14:textId="77777777" w:rsidR="00120717" w:rsidRPr="00B93EE1" w:rsidRDefault="00120717" w:rsidP="00F57414">
            <w:pPr>
              <w:ind w:right="113"/>
              <w:jc w:val="right"/>
              <w:rPr>
                <w:sz w:val="16"/>
                <w:szCs w:val="16"/>
              </w:rPr>
            </w:pPr>
            <w:r w:rsidRPr="00B93EE1">
              <w:rPr>
                <w:sz w:val="16"/>
                <w:szCs w:val="16"/>
              </w:rPr>
              <w:t>1,091</w:t>
            </w:r>
          </w:p>
        </w:tc>
        <w:tc>
          <w:tcPr>
            <w:tcW w:w="959" w:type="dxa"/>
            <w:noWrap/>
            <w:vAlign w:val="center"/>
            <w:hideMark/>
          </w:tcPr>
          <w:p w14:paraId="4544F83F" w14:textId="77777777" w:rsidR="00120717" w:rsidRPr="00B93EE1" w:rsidRDefault="00120717" w:rsidP="00F57414">
            <w:pPr>
              <w:ind w:right="113"/>
              <w:jc w:val="right"/>
              <w:rPr>
                <w:sz w:val="16"/>
                <w:szCs w:val="16"/>
              </w:rPr>
            </w:pPr>
            <w:r w:rsidRPr="00B93EE1">
              <w:rPr>
                <w:sz w:val="16"/>
                <w:szCs w:val="16"/>
              </w:rPr>
              <w:t>901</w:t>
            </w:r>
          </w:p>
        </w:tc>
      </w:tr>
      <w:tr w:rsidR="00120717" w:rsidRPr="00B93EE1" w14:paraId="71438CD8" w14:textId="77777777" w:rsidTr="00E02791">
        <w:trPr>
          <w:cnfStyle w:val="000000100000" w:firstRow="0" w:lastRow="0" w:firstColumn="0" w:lastColumn="0" w:oddVBand="0" w:evenVBand="0" w:oddHBand="1" w:evenHBand="0" w:firstRowFirstColumn="0" w:firstRowLastColumn="0" w:lastRowFirstColumn="0" w:lastRowLastColumn="0"/>
          <w:trHeight w:val="20"/>
        </w:trPr>
        <w:tc>
          <w:tcPr>
            <w:tcW w:w="9016" w:type="dxa"/>
            <w:gridSpan w:val="7"/>
            <w:noWrap/>
          </w:tcPr>
          <w:p w14:paraId="15A4E074" w14:textId="77777777" w:rsidR="00120717" w:rsidRPr="00B93EE1" w:rsidRDefault="00120717" w:rsidP="00172256">
            <w:pPr>
              <w:ind w:right="113"/>
              <w:jc w:val="left"/>
              <w:rPr>
                <w:bCs/>
                <w:sz w:val="16"/>
                <w:szCs w:val="16"/>
              </w:rPr>
            </w:pPr>
            <w:r w:rsidRPr="00B93EE1">
              <w:rPr>
                <w:b/>
                <w:sz w:val="16"/>
                <w:szCs w:val="16"/>
              </w:rPr>
              <w:t>Natural gas (PJ)</w:t>
            </w:r>
          </w:p>
        </w:tc>
      </w:tr>
      <w:tr w:rsidR="00120717" w:rsidRPr="00B93EE1" w14:paraId="03D3D40F"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3265" w:type="dxa"/>
            <w:noWrap/>
            <w:hideMark/>
          </w:tcPr>
          <w:p w14:paraId="477F2EFB" w14:textId="77777777" w:rsidR="00120717" w:rsidRPr="00B93EE1" w:rsidRDefault="00120717" w:rsidP="00172256">
            <w:pPr>
              <w:ind w:left="173"/>
              <w:rPr>
                <w:sz w:val="16"/>
                <w:szCs w:val="16"/>
              </w:rPr>
            </w:pPr>
            <w:r w:rsidRPr="00B93EE1">
              <w:rPr>
                <w:sz w:val="16"/>
                <w:szCs w:val="16"/>
              </w:rPr>
              <w:t>Gross production</w:t>
            </w:r>
          </w:p>
        </w:tc>
        <w:tc>
          <w:tcPr>
            <w:tcW w:w="958" w:type="dxa"/>
            <w:noWrap/>
            <w:vAlign w:val="center"/>
            <w:hideMark/>
          </w:tcPr>
          <w:p w14:paraId="753A3E67" w14:textId="77777777" w:rsidR="00120717" w:rsidRPr="00B93EE1" w:rsidRDefault="00120717" w:rsidP="00F57414">
            <w:pPr>
              <w:ind w:right="113"/>
              <w:jc w:val="right"/>
              <w:rPr>
                <w:sz w:val="16"/>
                <w:szCs w:val="16"/>
              </w:rPr>
            </w:pPr>
            <w:r w:rsidRPr="00B93EE1">
              <w:rPr>
                <w:sz w:val="16"/>
                <w:szCs w:val="16"/>
              </w:rPr>
              <w:t>217</w:t>
            </w:r>
          </w:p>
        </w:tc>
        <w:tc>
          <w:tcPr>
            <w:tcW w:w="959" w:type="dxa"/>
            <w:noWrap/>
            <w:vAlign w:val="center"/>
            <w:hideMark/>
          </w:tcPr>
          <w:p w14:paraId="5678F2D9" w14:textId="77777777" w:rsidR="00120717" w:rsidRPr="00B93EE1" w:rsidRDefault="00120717" w:rsidP="00F57414">
            <w:pPr>
              <w:ind w:right="113"/>
              <w:jc w:val="right"/>
              <w:rPr>
                <w:sz w:val="16"/>
                <w:szCs w:val="16"/>
              </w:rPr>
            </w:pPr>
            <w:r w:rsidRPr="00B93EE1">
              <w:rPr>
                <w:sz w:val="16"/>
                <w:szCs w:val="16"/>
              </w:rPr>
              <w:t>221</w:t>
            </w:r>
          </w:p>
        </w:tc>
        <w:tc>
          <w:tcPr>
            <w:tcW w:w="958" w:type="dxa"/>
            <w:noWrap/>
            <w:vAlign w:val="center"/>
            <w:hideMark/>
          </w:tcPr>
          <w:p w14:paraId="79094B5E" w14:textId="77777777" w:rsidR="00120717" w:rsidRPr="00B93EE1" w:rsidRDefault="00120717" w:rsidP="00F57414">
            <w:pPr>
              <w:ind w:right="113"/>
              <w:jc w:val="right"/>
              <w:rPr>
                <w:sz w:val="16"/>
                <w:szCs w:val="16"/>
              </w:rPr>
            </w:pPr>
            <w:r w:rsidRPr="00B93EE1">
              <w:rPr>
                <w:sz w:val="16"/>
                <w:szCs w:val="16"/>
              </w:rPr>
              <w:t>216</w:t>
            </w:r>
          </w:p>
        </w:tc>
        <w:tc>
          <w:tcPr>
            <w:tcW w:w="959" w:type="dxa"/>
            <w:noWrap/>
            <w:vAlign w:val="center"/>
            <w:hideMark/>
          </w:tcPr>
          <w:p w14:paraId="749D3B7F" w14:textId="77777777" w:rsidR="00120717" w:rsidRPr="00B93EE1" w:rsidRDefault="00120717" w:rsidP="00F57414">
            <w:pPr>
              <w:ind w:right="113"/>
              <w:jc w:val="right"/>
              <w:rPr>
                <w:sz w:val="16"/>
                <w:szCs w:val="16"/>
              </w:rPr>
            </w:pPr>
            <w:r w:rsidRPr="00B93EE1">
              <w:rPr>
                <w:sz w:val="16"/>
                <w:szCs w:val="16"/>
              </w:rPr>
              <w:t>187</w:t>
            </w:r>
          </w:p>
        </w:tc>
        <w:tc>
          <w:tcPr>
            <w:tcW w:w="958" w:type="dxa"/>
            <w:noWrap/>
            <w:vAlign w:val="center"/>
            <w:hideMark/>
          </w:tcPr>
          <w:p w14:paraId="4F007C22" w14:textId="77777777" w:rsidR="00120717" w:rsidRPr="00B93EE1" w:rsidRDefault="00120717" w:rsidP="00F57414">
            <w:pPr>
              <w:ind w:right="113"/>
              <w:jc w:val="right"/>
              <w:rPr>
                <w:sz w:val="16"/>
                <w:szCs w:val="16"/>
              </w:rPr>
            </w:pPr>
            <w:r w:rsidRPr="00B93EE1">
              <w:rPr>
                <w:sz w:val="16"/>
                <w:szCs w:val="16"/>
              </w:rPr>
              <w:t>195</w:t>
            </w:r>
          </w:p>
        </w:tc>
        <w:tc>
          <w:tcPr>
            <w:tcW w:w="959" w:type="dxa"/>
            <w:noWrap/>
            <w:vAlign w:val="center"/>
            <w:hideMark/>
          </w:tcPr>
          <w:p w14:paraId="60A70E13" w14:textId="77777777" w:rsidR="00120717" w:rsidRPr="00B93EE1" w:rsidRDefault="00120717" w:rsidP="00F57414">
            <w:pPr>
              <w:ind w:right="113"/>
              <w:jc w:val="right"/>
              <w:rPr>
                <w:sz w:val="16"/>
                <w:szCs w:val="16"/>
              </w:rPr>
            </w:pPr>
            <w:r w:rsidRPr="00B93EE1">
              <w:rPr>
                <w:sz w:val="16"/>
                <w:szCs w:val="16"/>
              </w:rPr>
              <w:t>190</w:t>
            </w:r>
          </w:p>
        </w:tc>
      </w:tr>
      <w:tr w:rsidR="00120717" w:rsidRPr="00B93EE1" w14:paraId="3275DF64" w14:textId="77777777" w:rsidTr="00083604">
        <w:trPr>
          <w:cnfStyle w:val="000000100000" w:firstRow="0" w:lastRow="0" w:firstColumn="0" w:lastColumn="0" w:oddVBand="0" w:evenVBand="0" w:oddHBand="1" w:evenHBand="0" w:firstRowFirstColumn="0" w:firstRowLastColumn="0" w:lastRowFirstColumn="0" w:lastRowLastColumn="0"/>
          <w:trHeight w:val="20"/>
        </w:trPr>
        <w:tc>
          <w:tcPr>
            <w:tcW w:w="3265" w:type="dxa"/>
            <w:noWrap/>
            <w:hideMark/>
          </w:tcPr>
          <w:p w14:paraId="707AFF2A" w14:textId="77777777" w:rsidR="00120717" w:rsidRPr="00B93EE1" w:rsidRDefault="00120717" w:rsidP="00172256">
            <w:pPr>
              <w:ind w:left="173"/>
              <w:rPr>
                <w:sz w:val="16"/>
                <w:szCs w:val="16"/>
              </w:rPr>
            </w:pPr>
            <w:r w:rsidRPr="00B93EE1">
              <w:rPr>
                <w:sz w:val="16"/>
                <w:szCs w:val="16"/>
              </w:rPr>
              <w:t>Imports</w:t>
            </w:r>
          </w:p>
        </w:tc>
        <w:tc>
          <w:tcPr>
            <w:tcW w:w="958" w:type="dxa"/>
            <w:noWrap/>
            <w:vAlign w:val="center"/>
            <w:hideMark/>
          </w:tcPr>
          <w:p w14:paraId="399BE58B" w14:textId="77777777" w:rsidR="00120717" w:rsidRPr="00B93EE1" w:rsidRDefault="00120717" w:rsidP="00F57414">
            <w:pPr>
              <w:ind w:right="113"/>
              <w:jc w:val="right"/>
              <w:rPr>
                <w:sz w:val="16"/>
                <w:szCs w:val="16"/>
              </w:rPr>
            </w:pPr>
            <w:r w:rsidRPr="00B93EE1">
              <w:rPr>
                <w:sz w:val="16"/>
                <w:szCs w:val="16"/>
              </w:rPr>
              <w:t>0</w:t>
            </w:r>
          </w:p>
        </w:tc>
        <w:tc>
          <w:tcPr>
            <w:tcW w:w="959" w:type="dxa"/>
            <w:noWrap/>
            <w:vAlign w:val="center"/>
            <w:hideMark/>
          </w:tcPr>
          <w:p w14:paraId="2CC1E5EE" w14:textId="77777777" w:rsidR="00120717" w:rsidRPr="00B93EE1" w:rsidRDefault="00120717" w:rsidP="00F57414">
            <w:pPr>
              <w:ind w:right="113"/>
              <w:jc w:val="right"/>
              <w:rPr>
                <w:sz w:val="16"/>
                <w:szCs w:val="16"/>
              </w:rPr>
            </w:pPr>
            <w:r w:rsidRPr="00B93EE1">
              <w:rPr>
                <w:sz w:val="16"/>
                <w:szCs w:val="16"/>
              </w:rPr>
              <w:t>0</w:t>
            </w:r>
          </w:p>
        </w:tc>
        <w:tc>
          <w:tcPr>
            <w:tcW w:w="958" w:type="dxa"/>
            <w:noWrap/>
            <w:vAlign w:val="center"/>
            <w:hideMark/>
          </w:tcPr>
          <w:p w14:paraId="259EAC89" w14:textId="77777777" w:rsidR="00120717" w:rsidRPr="00B93EE1" w:rsidRDefault="00120717" w:rsidP="00F57414">
            <w:pPr>
              <w:ind w:right="113"/>
              <w:jc w:val="right"/>
              <w:rPr>
                <w:sz w:val="16"/>
                <w:szCs w:val="16"/>
              </w:rPr>
            </w:pPr>
            <w:r w:rsidRPr="00B93EE1">
              <w:rPr>
                <w:sz w:val="16"/>
                <w:szCs w:val="16"/>
              </w:rPr>
              <w:t>0</w:t>
            </w:r>
          </w:p>
        </w:tc>
        <w:tc>
          <w:tcPr>
            <w:tcW w:w="959" w:type="dxa"/>
            <w:noWrap/>
            <w:vAlign w:val="center"/>
            <w:hideMark/>
          </w:tcPr>
          <w:p w14:paraId="534DCBC6" w14:textId="77777777" w:rsidR="00120717" w:rsidRPr="00B93EE1" w:rsidRDefault="00120717" w:rsidP="00F57414">
            <w:pPr>
              <w:ind w:right="113"/>
              <w:jc w:val="right"/>
              <w:rPr>
                <w:sz w:val="16"/>
                <w:szCs w:val="16"/>
              </w:rPr>
            </w:pPr>
            <w:r w:rsidRPr="00B93EE1">
              <w:rPr>
                <w:sz w:val="16"/>
                <w:szCs w:val="16"/>
              </w:rPr>
              <w:t>0</w:t>
            </w:r>
          </w:p>
        </w:tc>
        <w:tc>
          <w:tcPr>
            <w:tcW w:w="958" w:type="dxa"/>
            <w:noWrap/>
            <w:vAlign w:val="center"/>
            <w:hideMark/>
          </w:tcPr>
          <w:p w14:paraId="6A8F5A1F" w14:textId="77777777" w:rsidR="00120717" w:rsidRPr="00B93EE1" w:rsidRDefault="00120717" w:rsidP="00F57414">
            <w:pPr>
              <w:ind w:right="113"/>
              <w:jc w:val="right"/>
              <w:rPr>
                <w:sz w:val="16"/>
                <w:szCs w:val="16"/>
              </w:rPr>
            </w:pPr>
            <w:r w:rsidRPr="00B93EE1">
              <w:rPr>
                <w:sz w:val="16"/>
                <w:szCs w:val="16"/>
              </w:rPr>
              <w:t>0</w:t>
            </w:r>
          </w:p>
        </w:tc>
        <w:tc>
          <w:tcPr>
            <w:tcW w:w="959" w:type="dxa"/>
            <w:noWrap/>
            <w:vAlign w:val="center"/>
            <w:hideMark/>
          </w:tcPr>
          <w:p w14:paraId="18814662" w14:textId="77777777" w:rsidR="00120717" w:rsidRPr="00B93EE1" w:rsidRDefault="00120717" w:rsidP="00F57414">
            <w:pPr>
              <w:ind w:right="113"/>
              <w:jc w:val="right"/>
              <w:rPr>
                <w:sz w:val="16"/>
                <w:szCs w:val="16"/>
              </w:rPr>
            </w:pPr>
            <w:r w:rsidRPr="00B93EE1">
              <w:rPr>
                <w:sz w:val="16"/>
                <w:szCs w:val="16"/>
              </w:rPr>
              <w:t>0</w:t>
            </w:r>
          </w:p>
        </w:tc>
      </w:tr>
      <w:tr w:rsidR="00120717" w:rsidRPr="00B93EE1" w14:paraId="5BCF9563" w14:textId="77777777" w:rsidTr="00083604">
        <w:trPr>
          <w:cnfStyle w:val="000000010000" w:firstRow="0" w:lastRow="0" w:firstColumn="0" w:lastColumn="0" w:oddVBand="0" w:evenVBand="0" w:oddHBand="0" w:evenHBand="1" w:firstRowFirstColumn="0" w:firstRowLastColumn="0" w:lastRowFirstColumn="0" w:lastRowLastColumn="0"/>
          <w:trHeight w:val="20"/>
        </w:trPr>
        <w:tc>
          <w:tcPr>
            <w:tcW w:w="3265" w:type="dxa"/>
            <w:noWrap/>
            <w:hideMark/>
          </w:tcPr>
          <w:p w14:paraId="6F07C53C" w14:textId="77777777" w:rsidR="00120717" w:rsidRPr="00B93EE1" w:rsidRDefault="00120717" w:rsidP="00172256">
            <w:pPr>
              <w:ind w:left="173"/>
              <w:rPr>
                <w:sz w:val="16"/>
                <w:szCs w:val="16"/>
              </w:rPr>
            </w:pPr>
            <w:r w:rsidRPr="00B93EE1">
              <w:rPr>
                <w:sz w:val="16"/>
                <w:szCs w:val="16"/>
              </w:rPr>
              <w:t>Exports</w:t>
            </w:r>
          </w:p>
        </w:tc>
        <w:tc>
          <w:tcPr>
            <w:tcW w:w="958" w:type="dxa"/>
            <w:noWrap/>
            <w:vAlign w:val="center"/>
            <w:hideMark/>
          </w:tcPr>
          <w:p w14:paraId="18267AB2" w14:textId="77777777" w:rsidR="00120717" w:rsidRPr="00B93EE1" w:rsidRDefault="00120717" w:rsidP="00F57414">
            <w:pPr>
              <w:ind w:right="113"/>
              <w:jc w:val="right"/>
              <w:rPr>
                <w:sz w:val="16"/>
                <w:szCs w:val="16"/>
              </w:rPr>
            </w:pPr>
            <w:r w:rsidRPr="00B93EE1">
              <w:rPr>
                <w:sz w:val="16"/>
                <w:szCs w:val="16"/>
              </w:rPr>
              <w:t>0</w:t>
            </w:r>
          </w:p>
        </w:tc>
        <w:tc>
          <w:tcPr>
            <w:tcW w:w="959" w:type="dxa"/>
            <w:noWrap/>
            <w:vAlign w:val="center"/>
            <w:hideMark/>
          </w:tcPr>
          <w:p w14:paraId="173DC7B9" w14:textId="77777777" w:rsidR="00120717" w:rsidRPr="00B93EE1" w:rsidRDefault="00120717" w:rsidP="00F57414">
            <w:pPr>
              <w:ind w:right="113"/>
              <w:jc w:val="right"/>
              <w:rPr>
                <w:sz w:val="16"/>
                <w:szCs w:val="16"/>
              </w:rPr>
            </w:pPr>
            <w:r w:rsidRPr="00B93EE1">
              <w:rPr>
                <w:sz w:val="16"/>
                <w:szCs w:val="16"/>
              </w:rPr>
              <w:t>0</w:t>
            </w:r>
          </w:p>
        </w:tc>
        <w:tc>
          <w:tcPr>
            <w:tcW w:w="958" w:type="dxa"/>
            <w:noWrap/>
            <w:vAlign w:val="center"/>
            <w:hideMark/>
          </w:tcPr>
          <w:p w14:paraId="3823BB81" w14:textId="77777777" w:rsidR="00120717" w:rsidRPr="00B93EE1" w:rsidRDefault="00120717" w:rsidP="00F57414">
            <w:pPr>
              <w:ind w:right="113"/>
              <w:jc w:val="right"/>
              <w:rPr>
                <w:sz w:val="16"/>
                <w:szCs w:val="16"/>
              </w:rPr>
            </w:pPr>
            <w:r w:rsidRPr="00B93EE1">
              <w:rPr>
                <w:sz w:val="16"/>
                <w:szCs w:val="16"/>
              </w:rPr>
              <w:t>0</w:t>
            </w:r>
          </w:p>
        </w:tc>
        <w:tc>
          <w:tcPr>
            <w:tcW w:w="959" w:type="dxa"/>
            <w:noWrap/>
            <w:vAlign w:val="center"/>
            <w:hideMark/>
          </w:tcPr>
          <w:p w14:paraId="4DDD1FA6" w14:textId="77777777" w:rsidR="00120717" w:rsidRPr="00B93EE1" w:rsidRDefault="00120717" w:rsidP="00F57414">
            <w:pPr>
              <w:ind w:right="113"/>
              <w:jc w:val="right"/>
              <w:rPr>
                <w:sz w:val="16"/>
                <w:szCs w:val="16"/>
              </w:rPr>
            </w:pPr>
            <w:r w:rsidRPr="00B93EE1">
              <w:rPr>
                <w:sz w:val="16"/>
                <w:szCs w:val="16"/>
              </w:rPr>
              <w:t>0</w:t>
            </w:r>
          </w:p>
        </w:tc>
        <w:tc>
          <w:tcPr>
            <w:tcW w:w="958" w:type="dxa"/>
            <w:noWrap/>
            <w:vAlign w:val="center"/>
            <w:hideMark/>
          </w:tcPr>
          <w:p w14:paraId="371410B3" w14:textId="77777777" w:rsidR="00120717" w:rsidRPr="00B93EE1" w:rsidRDefault="00120717" w:rsidP="00F57414">
            <w:pPr>
              <w:ind w:right="113"/>
              <w:jc w:val="right"/>
              <w:rPr>
                <w:sz w:val="16"/>
                <w:szCs w:val="16"/>
              </w:rPr>
            </w:pPr>
            <w:r w:rsidRPr="00B93EE1">
              <w:rPr>
                <w:sz w:val="16"/>
                <w:szCs w:val="16"/>
              </w:rPr>
              <w:t>0</w:t>
            </w:r>
          </w:p>
        </w:tc>
        <w:tc>
          <w:tcPr>
            <w:tcW w:w="959" w:type="dxa"/>
            <w:noWrap/>
            <w:vAlign w:val="center"/>
            <w:hideMark/>
          </w:tcPr>
          <w:p w14:paraId="17D1845D" w14:textId="77777777" w:rsidR="00120717" w:rsidRPr="00B93EE1" w:rsidRDefault="00120717" w:rsidP="00F57414">
            <w:pPr>
              <w:ind w:right="113"/>
              <w:jc w:val="right"/>
              <w:rPr>
                <w:sz w:val="16"/>
                <w:szCs w:val="16"/>
              </w:rPr>
            </w:pPr>
            <w:r w:rsidRPr="00B93EE1">
              <w:rPr>
                <w:sz w:val="16"/>
                <w:szCs w:val="16"/>
              </w:rPr>
              <w:t>0</w:t>
            </w:r>
          </w:p>
        </w:tc>
      </w:tr>
    </w:tbl>
    <w:p w14:paraId="45A2DA3F" w14:textId="4254930A" w:rsidR="00120717" w:rsidRPr="00B93EE1" w:rsidRDefault="00120717" w:rsidP="00FD7477">
      <w:pPr>
        <w:pStyle w:val="NoteText"/>
        <w:spacing w:before="120"/>
      </w:pPr>
      <w:r w:rsidRPr="00B93EE1">
        <w:t>Note:</w:t>
      </w:r>
      <w:r w:rsidRPr="00B93EE1">
        <w:tab/>
        <w:t>kt is</w:t>
      </w:r>
      <w:r w:rsidR="00B55C45">
        <w:t xml:space="preserve"> the </w:t>
      </w:r>
      <w:r w:rsidRPr="00B93EE1">
        <w:t xml:space="preserve">abbreviation for 1,000 tonnes; </w:t>
      </w:r>
      <w:bookmarkStart w:id="234" w:name="_Hlk95906204"/>
      <w:r w:rsidRPr="00B93EE1">
        <w:t>PJ stands for petajoule or 278 gigawatt hours</w:t>
      </w:r>
      <w:bookmarkEnd w:id="234"/>
      <w:r w:rsidRPr="00B93EE1">
        <w:t>.</w:t>
      </w:r>
    </w:p>
    <w:p w14:paraId="139B7037" w14:textId="77777777" w:rsidR="00120717" w:rsidRPr="00B93EE1" w:rsidRDefault="00120717" w:rsidP="00FD7477">
      <w:pPr>
        <w:pStyle w:val="NoteText"/>
        <w:spacing w:before="120" w:after="240"/>
      </w:pPr>
      <w:r w:rsidRPr="00B93EE1">
        <w:t xml:space="preserve">Source: </w:t>
      </w:r>
      <w:r w:rsidRPr="00B93EE1">
        <w:tab/>
        <w:t>Information provided by the authorities.</w:t>
      </w:r>
    </w:p>
    <w:p w14:paraId="4D2CB2D7" w14:textId="77777777" w:rsidR="00120717" w:rsidRPr="00F64A35" w:rsidRDefault="00120717" w:rsidP="008B54EB">
      <w:pPr>
        <w:pStyle w:val="BodyText"/>
      </w:pPr>
      <w:r w:rsidRPr="00B93EE1">
        <w:t>New Zealand's natural gas production is largely sold domestically (Table 4.5). Gas, once suitably purified, is compressed and then transported by pipe for distribution around the North Island. Liquid petroleum gas is also produced and then transported around the country by truck or gas bottles to be used domestically and commercially.</w:t>
      </w:r>
    </w:p>
    <w:p w14:paraId="46D5B92C" w14:textId="77777777" w:rsidR="00120717" w:rsidRPr="00F64A35" w:rsidRDefault="00120717" w:rsidP="008B54EB">
      <w:pPr>
        <w:pStyle w:val="BodyText"/>
      </w:pPr>
      <w:r w:rsidRPr="00B93EE1">
        <w:t>The upstream oil and gas industry is primarily governed by the Crown Minerals Act 1991 (CMA) and complemented by a network of laws and regulations.</w:t>
      </w:r>
      <w:r w:rsidRPr="00B93EE1">
        <w:rPr>
          <w:rStyle w:val="FootnoteReference"/>
        </w:rPr>
        <w:footnoteReference w:id="375"/>
      </w:r>
      <w:r w:rsidRPr="00B93EE1">
        <w:t xml:space="preserve"> The Government owns all petroleum resources and associated hydrocarbons. A permit or licence is required to explore or mine petroleum, whether in-ground, in the Exclusive Economic Zone, or in the continental shelf. Under the Minister of Energy and Resources, New Zealand Petroleum and Minerals (</w:t>
      </w:r>
      <w:proofErr w:type="spellStart"/>
      <w:r w:rsidRPr="00B93EE1">
        <w:t>NZP&amp;M</w:t>
      </w:r>
      <w:proofErr w:type="spellEnd"/>
      <w:r w:rsidRPr="00B93EE1">
        <w:t xml:space="preserve">) is responsible for administering the permit regime, in accordance with the Crown Minerals Act 1991 and other related legislation. Foreign investment is generally allowed in the petroleum industry. However, approval is required for acquisition of "significant business assets" worth more than NZD 100 million, pursuant to the Overseas Investment Act 2005. In accordance with the applicable royalty regimes, all permit holders pay either an </w:t>
      </w:r>
      <w:r w:rsidRPr="00B93EE1">
        <w:rPr>
          <w:i/>
          <w:iCs/>
        </w:rPr>
        <w:t>ad valorem</w:t>
      </w:r>
      <w:r w:rsidRPr="00B93EE1">
        <w:t xml:space="preserve"> royalty or an accounting profits royalty, whichever is higher in any given year. All licence holders pay royalty in accordance with their respective licence agreements.</w:t>
      </w:r>
    </w:p>
    <w:p w14:paraId="102DA960" w14:textId="77777777" w:rsidR="00120717" w:rsidRPr="00F64A35" w:rsidRDefault="00120717" w:rsidP="008B54EB">
      <w:pPr>
        <w:pStyle w:val="BodyText"/>
      </w:pPr>
      <w:r w:rsidRPr="00B93EE1">
        <w:t xml:space="preserve">Exploration permits are allocated on an annual tender process called Block Offer. </w:t>
      </w:r>
      <w:proofErr w:type="spellStart"/>
      <w:r w:rsidRPr="00B93EE1">
        <w:t>NZP&amp;M</w:t>
      </w:r>
      <w:proofErr w:type="spellEnd"/>
      <w:r w:rsidRPr="00B93EE1">
        <w:t> publishes annual block offers, making available a number of blocks for competitive tender on the international market. Petroleum companies bid applications are assessed on proposed work programmes and criteria, including their technical and financial capability to meet expected health, safety, and environmental requirements. The Resource Management Act 1991 regulates the environmental effects of minerals and petroleum activities on land and within the territorial sea, and imposes conditions to avoid, remedy, or mitigate adverse effects of such activities on the environment.</w:t>
      </w:r>
    </w:p>
    <w:p w14:paraId="42C779ED" w14:textId="77777777" w:rsidR="00120717" w:rsidRPr="00F64A35" w:rsidRDefault="00120717" w:rsidP="008B54EB">
      <w:pPr>
        <w:pStyle w:val="BodyText"/>
      </w:pPr>
      <w:r w:rsidRPr="00B93EE1">
        <w:t xml:space="preserve">Under the Exclusive Economic Zone and Continental Shelf (Environmental Effects) Act 2012, the Environmental Protection Authority (EPA) regulates the environmental effects of petroleum and minerals activities beyond the territorial sea. Consent is required from the EPA for such activities. In February 2019, </w:t>
      </w:r>
      <w:r w:rsidRPr="00B93EE1">
        <w:rPr>
          <w:szCs w:val="20"/>
        </w:rPr>
        <w:t xml:space="preserve">the Crown Minerals Amendment Act 2019 entered into force. Under the Amendment, </w:t>
      </w:r>
      <w:r w:rsidRPr="00B93EE1">
        <w:t>prior consent</w:t>
      </w:r>
      <w:r w:rsidRPr="00B93EE1">
        <w:rPr>
          <w:szCs w:val="20"/>
        </w:rPr>
        <w:t xml:space="preserve"> from t</w:t>
      </w:r>
      <w:r w:rsidRPr="00B93EE1">
        <w:t>he Ministry of Energy and Resources is required for ownership changes of petroleum and certain minerals permits. This applies only to transactions entered into after the Amendment's implementation.</w:t>
      </w:r>
    </w:p>
    <w:p w14:paraId="799D5FD2" w14:textId="77777777" w:rsidR="00120717" w:rsidRPr="00F64A35" w:rsidRDefault="00120717" w:rsidP="008B54EB">
      <w:pPr>
        <w:pStyle w:val="BodyText"/>
      </w:pPr>
      <w:r w:rsidRPr="00B93EE1">
        <w:t xml:space="preserve">In line with New Zealand's vision to address climate change and create a clean and sustainable economy, the Crown Minerals (Petroleum) Amendment Act 2018 provides that no further offshore </w:t>
      </w:r>
      <w:r w:rsidRPr="00B93EE1">
        <w:lastRenderedPageBreak/>
        <w:t>oil and gas exploration permits will be granted. In addition, the Amendment further limits the award of new petroleum exploration permits to the onshore Taranaki Region only.</w:t>
      </w:r>
    </w:p>
    <w:p w14:paraId="2571FC9E" w14:textId="77777777" w:rsidR="00120717" w:rsidRPr="00F64A35" w:rsidRDefault="00120717" w:rsidP="008B54EB">
      <w:pPr>
        <w:pStyle w:val="BodyText"/>
      </w:pPr>
      <w:r w:rsidRPr="00B93EE1">
        <w:t>In 2019, the minerals and petroleum resource strategy for 2019-29 was adopted.</w:t>
      </w:r>
      <w:r w:rsidRPr="00B93EE1">
        <w:rPr>
          <w:vertAlign w:val="superscript"/>
        </w:rPr>
        <w:footnoteReference w:id="376"/>
      </w:r>
      <w:r w:rsidRPr="00B93EE1">
        <w:t xml:space="preserve"> It sets the Government's long-term vision for the minerals and petroleum sector to support New Zealand's transition to a carbon-neutral economy.</w:t>
      </w:r>
    </w:p>
    <w:p w14:paraId="20F500A8" w14:textId="77777777" w:rsidR="00120717" w:rsidRPr="00F64A35" w:rsidRDefault="00120717" w:rsidP="008B54EB">
      <w:pPr>
        <w:pStyle w:val="BodyText"/>
      </w:pPr>
      <w:r w:rsidRPr="00B93EE1">
        <w:t>There are five fuel importers: BP, Mobil, Z Energy, Gull NZ, and Timaru Oil Services. Each wholesales fuel to independent retailers and distributes and retails through its own network of retail outlets. Gull NZ also imports and retails fuel, and since 2020 Timaru Oil Services imports and sells in the South Island. According to the authorities, no specific permit is required to import, manufacture, or sell fuels in New Zealand. Foreign investment in the sector is subject to the general provisions of the Overseas Investment Act 2005.</w:t>
      </w:r>
    </w:p>
    <w:p w14:paraId="7226FCE7" w14:textId="77777777" w:rsidR="00120717" w:rsidRPr="00F64A35" w:rsidRDefault="00120717" w:rsidP="008B54EB">
      <w:pPr>
        <w:pStyle w:val="BodyText"/>
      </w:pPr>
      <w:r w:rsidRPr="00B93EE1">
        <w:t xml:space="preserve">New Zealand's only oil refinery is at Marsden Point, </w:t>
      </w:r>
      <w:proofErr w:type="spellStart"/>
      <w:r w:rsidRPr="00B93EE1">
        <w:t>Whāngārei</w:t>
      </w:r>
      <w:proofErr w:type="spellEnd"/>
      <w:r w:rsidRPr="00B93EE1">
        <w:t>,</w:t>
      </w:r>
      <w:r w:rsidRPr="00B93EE1">
        <w:rPr>
          <w:color w:val="0A0A0A"/>
          <w:szCs w:val="18"/>
          <w:shd w:val="clear" w:color="auto" w:fill="FEFEFE"/>
        </w:rPr>
        <w:t xml:space="preserve"> </w:t>
      </w:r>
      <w:r w:rsidRPr="00B93EE1">
        <w:t>and is operated by the New Zealand Refining Company, a privately owned company. The refinery produces premium and regular petrol, diesel, automotive fuels, and kerosene for the New Zealand market. Over 90% of the oil it processes is imported and consists of low-grade (and relatively low-cost) Middle East crude oil. Most of the refinery's production is distributed via a 170 km pipeline. The balance is transported by coastal tanker and road to the rest of New Zealand. The refinery is expected to close operations in 2022 and convert to a product import terminal.</w:t>
      </w:r>
    </w:p>
    <w:p w14:paraId="5CC11BE2" w14:textId="77777777" w:rsidR="00120717" w:rsidRPr="00F64A35" w:rsidRDefault="00120717" w:rsidP="008B54EB">
      <w:pPr>
        <w:pStyle w:val="BodyText"/>
      </w:pPr>
      <w:r w:rsidRPr="00B93EE1">
        <w:t>The Fuel Industry Act 2020 was passed in 2020 to improve the state of competition in the fuel marketing industry and promote transparency in retail fuel prices. Under terminal gate pricing rules, wholesale fuel suppliers must publish a spot price for fuel and are generally required to sell it to any wholesale customers that want it at that price. Wholesale contract rules limit the use of restrictive terms in wholesale contracts. The Act provides a process for wholesale fuel suppliers and their customers to resolve disputes about wholesale contracts and terminal gate price rules.</w:t>
      </w:r>
    </w:p>
    <w:p w14:paraId="77579194" w14:textId="77777777" w:rsidR="00120717" w:rsidRPr="00F64A35" w:rsidRDefault="00120717" w:rsidP="008B54EB">
      <w:pPr>
        <w:pStyle w:val="BodyText"/>
      </w:pPr>
      <w:r w:rsidRPr="00B93EE1">
        <w:t>The quality of petrol and diesel sold in retail outlets is regulated under the Engine Fuel Specifications Regulations 2011. From 2022, the quality of marine fuels will also be regulated pursuant to Annex VI of the International Convention for the Prevention of Pollution from Ships (</w:t>
      </w:r>
      <w:proofErr w:type="spellStart"/>
      <w:r w:rsidRPr="00B93EE1">
        <w:t>MARPOL</w:t>
      </w:r>
      <w:proofErr w:type="spellEnd"/>
      <w:r w:rsidRPr="00B93EE1">
        <w:t>).</w:t>
      </w:r>
    </w:p>
    <w:p w14:paraId="7578CADB" w14:textId="77777777" w:rsidR="00120717" w:rsidRPr="00F64A35" w:rsidRDefault="00120717" w:rsidP="00745CEA">
      <w:pPr>
        <w:pStyle w:val="Heading2"/>
      </w:pPr>
      <w:bookmarkStart w:id="235" w:name="_Toc97800201"/>
      <w:r w:rsidRPr="00B93EE1">
        <w:t>Manufacturing</w:t>
      </w:r>
      <w:bookmarkEnd w:id="235"/>
    </w:p>
    <w:p w14:paraId="29FE5B9C" w14:textId="049B3D6F" w:rsidR="00E16269" w:rsidRPr="00F64A35" w:rsidRDefault="00E16269" w:rsidP="00E16269">
      <w:pPr>
        <w:pStyle w:val="BodyText"/>
      </w:pPr>
      <w:r w:rsidRPr="00B93EE1">
        <w:t xml:space="preserve">In 2019/20, the manufacturing sector accounted for 10.7% of GDP, and 8.6% of total employment. Manufactured products accounted for 17.8% of New Zealand's merchandise exports and 76.2% of </w:t>
      </w:r>
      <w:r w:rsidR="003E6027">
        <w:t>imports</w:t>
      </w:r>
      <w:r w:rsidRPr="00B93EE1">
        <w:t xml:space="preserve"> in 2021. The food industry, in particular dairy and meat processing, and machinery remain the major manufacturing industries (Table 4.6). In general, production in the main manufacturing industries was stable during the review period, with a slight increasing trend.</w:t>
      </w:r>
    </w:p>
    <w:p w14:paraId="6546A32C" w14:textId="4C447155" w:rsidR="00120717" w:rsidRPr="00B93EE1" w:rsidRDefault="00D37A97" w:rsidP="00D37A97">
      <w:pPr>
        <w:pStyle w:val="Caption"/>
      </w:pPr>
      <w:bookmarkStart w:id="236" w:name="_Toc97793410"/>
      <w:r>
        <w:t xml:space="preserve">Table </w:t>
      </w:r>
      <w:r w:rsidR="0012793B">
        <w:fldChar w:fldCharType="begin"/>
      </w:r>
      <w:r w:rsidR="0012793B">
        <w:instrText xml:space="preserve"> STYLEREF 1 \s </w:instrText>
      </w:r>
      <w:r w:rsidR="0012793B">
        <w:fldChar w:fldCharType="separate"/>
      </w:r>
      <w:r>
        <w:rPr>
          <w:noProof/>
        </w:rPr>
        <w:t>4</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6</w:t>
      </w:r>
      <w:r w:rsidR="0012793B">
        <w:rPr>
          <w:noProof/>
        </w:rPr>
        <w:fldChar w:fldCharType="end"/>
      </w:r>
      <w:r>
        <w:t xml:space="preserve"> </w:t>
      </w:r>
      <w:r w:rsidR="00120717" w:rsidRPr="00B93EE1">
        <w:t>Manufacturing production by main subsector, 2015-20</w:t>
      </w:r>
      <w:bookmarkEnd w:id="236"/>
    </w:p>
    <w:p w14:paraId="61EEC6B8" w14:textId="77777777" w:rsidR="00120717" w:rsidRPr="00B93EE1" w:rsidRDefault="00120717" w:rsidP="007A72E3">
      <w:pPr>
        <w:pStyle w:val="NoteText"/>
        <w:rPr>
          <w:lang w:eastAsia="en-GB"/>
        </w:rPr>
      </w:pPr>
      <w:r w:rsidRPr="00B93EE1">
        <w:rPr>
          <w:lang w:eastAsia="en-GB"/>
        </w:rPr>
        <w:t>(NZD million)</w:t>
      </w:r>
    </w:p>
    <w:tbl>
      <w:tblPr>
        <w:tblStyle w:val="WTOTable1"/>
        <w:tblW w:w="0" w:type="auto"/>
        <w:tblLayout w:type="fixed"/>
        <w:tblLook w:val="04A0" w:firstRow="1" w:lastRow="0" w:firstColumn="1" w:lastColumn="0" w:noHBand="0" w:noVBand="1"/>
      </w:tblPr>
      <w:tblGrid>
        <w:gridCol w:w="3781"/>
        <w:gridCol w:w="872"/>
        <w:gridCol w:w="873"/>
        <w:gridCol w:w="872"/>
        <w:gridCol w:w="873"/>
        <w:gridCol w:w="872"/>
        <w:gridCol w:w="873"/>
      </w:tblGrid>
      <w:tr w:rsidR="00120717" w:rsidRPr="00B93EE1" w14:paraId="1ABA2276" w14:textId="77777777" w:rsidTr="00172256">
        <w:trPr>
          <w:cnfStyle w:val="100000000000" w:firstRow="1" w:lastRow="0" w:firstColumn="0" w:lastColumn="0" w:oddVBand="0" w:evenVBand="0" w:oddHBand="0" w:evenHBand="0" w:firstRowFirstColumn="0" w:firstRowLastColumn="0" w:lastRowFirstColumn="0" w:lastRowLastColumn="0"/>
          <w:trHeight w:val="238"/>
          <w:tblHeader/>
        </w:trPr>
        <w:tc>
          <w:tcPr>
            <w:tcW w:w="3781" w:type="dxa"/>
            <w:noWrap/>
            <w:vAlign w:val="center"/>
            <w:hideMark/>
          </w:tcPr>
          <w:p w14:paraId="204A64BA" w14:textId="77777777" w:rsidR="00120717" w:rsidRPr="00B93EE1" w:rsidRDefault="00120717" w:rsidP="00087DF9">
            <w:pPr>
              <w:keepNext/>
              <w:keepLines/>
              <w:jc w:val="left"/>
              <w:rPr>
                <w:bCs/>
                <w:sz w:val="15"/>
                <w:szCs w:val="15"/>
              </w:rPr>
            </w:pPr>
            <w:r w:rsidRPr="00B93EE1">
              <w:rPr>
                <w:bCs/>
                <w:sz w:val="15"/>
                <w:szCs w:val="15"/>
              </w:rPr>
              <w:t>Subsector</w:t>
            </w:r>
          </w:p>
        </w:tc>
        <w:tc>
          <w:tcPr>
            <w:tcW w:w="872" w:type="dxa"/>
            <w:noWrap/>
            <w:vAlign w:val="center"/>
            <w:hideMark/>
          </w:tcPr>
          <w:p w14:paraId="6106EBEA" w14:textId="77777777" w:rsidR="00120717" w:rsidRPr="00B93EE1" w:rsidRDefault="00120717" w:rsidP="00087DF9">
            <w:pPr>
              <w:keepNext/>
              <w:keepLines/>
              <w:ind w:left="113"/>
              <w:jc w:val="right"/>
              <w:rPr>
                <w:bCs/>
                <w:sz w:val="15"/>
                <w:szCs w:val="15"/>
              </w:rPr>
            </w:pPr>
            <w:r w:rsidRPr="00B93EE1">
              <w:rPr>
                <w:sz w:val="15"/>
                <w:szCs w:val="15"/>
              </w:rPr>
              <w:t>2015</w:t>
            </w:r>
          </w:p>
        </w:tc>
        <w:tc>
          <w:tcPr>
            <w:tcW w:w="873" w:type="dxa"/>
            <w:noWrap/>
            <w:vAlign w:val="center"/>
            <w:hideMark/>
          </w:tcPr>
          <w:p w14:paraId="619560A0" w14:textId="77777777" w:rsidR="00120717" w:rsidRPr="00B93EE1" w:rsidRDefault="00120717" w:rsidP="00087DF9">
            <w:pPr>
              <w:keepNext/>
              <w:keepLines/>
              <w:ind w:left="113"/>
              <w:jc w:val="right"/>
              <w:rPr>
                <w:sz w:val="15"/>
                <w:szCs w:val="15"/>
              </w:rPr>
            </w:pPr>
            <w:r w:rsidRPr="00B93EE1">
              <w:rPr>
                <w:sz w:val="15"/>
                <w:szCs w:val="15"/>
              </w:rPr>
              <w:t>2016</w:t>
            </w:r>
          </w:p>
        </w:tc>
        <w:tc>
          <w:tcPr>
            <w:tcW w:w="872" w:type="dxa"/>
            <w:noWrap/>
            <w:vAlign w:val="center"/>
            <w:hideMark/>
          </w:tcPr>
          <w:p w14:paraId="3AA8B431" w14:textId="77777777" w:rsidR="00120717" w:rsidRPr="00B93EE1" w:rsidRDefault="00120717" w:rsidP="00087DF9">
            <w:pPr>
              <w:keepNext/>
              <w:keepLines/>
              <w:ind w:left="113"/>
              <w:jc w:val="right"/>
              <w:rPr>
                <w:sz w:val="15"/>
                <w:szCs w:val="15"/>
              </w:rPr>
            </w:pPr>
            <w:r w:rsidRPr="00B93EE1">
              <w:rPr>
                <w:sz w:val="15"/>
                <w:szCs w:val="15"/>
              </w:rPr>
              <w:t>2017</w:t>
            </w:r>
          </w:p>
        </w:tc>
        <w:tc>
          <w:tcPr>
            <w:tcW w:w="873" w:type="dxa"/>
            <w:noWrap/>
            <w:vAlign w:val="center"/>
            <w:hideMark/>
          </w:tcPr>
          <w:p w14:paraId="75157C03" w14:textId="77777777" w:rsidR="00120717" w:rsidRPr="00B93EE1" w:rsidRDefault="00120717" w:rsidP="00087DF9">
            <w:pPr>
              <w:keepNext/>
              <w:keepLines/>
              <w:ind w:left="113"/>
              <w:jc w:val="right"/>
              <w:rPr>
                <w:sz w:val="15"/>
                <w:szCs w:val="15"/>
              </w:rPr>
            </w:pPr>
            <w:r w:rsidRPr="00B93EE1">
              <w:rPr>
                <w:sz w:val="15"/>
                <w:szCs w:val="15"/>
              </w:rPr>
              <w:t>2018</w:t>
            </w:r>
          </w:p>
        </w:tc>
        <w:tc>
          <w:tcPr>
            <w:tcW w:w="872" w:type="dxa"/>
            <w:noWrap/>
            <w:vAlign w:val="center"/>
            <w:hideMark/>
          </w:tcPr>
          <w:p w14:paraId="5443727A" w14:textId="77777777" w:rsidR="00120717" w:rsidRPr="00B93EE1" w:rsidRDefault="00120717" w:rsidP="00087DF9">
            <w:pPr>
              <w:keepNext/>
              <w:keepLines/>
              <w:ind w:left="113"/>
              <w:jc w:val="right"/>
              <w:rPr>
                <w:sz w:val="15"/>
                <w:szCs w:val="15"/>
              </w:rPr>
            </w:pPr>
            <w:r w:rsidRPr="00B93EE1">
              <w:rPr>
                <w:sz w:val="15"/>
                <w:szCs w:val="15"/>
              </w:rPr>
              <w:t>2019</w:t>
            </w:r>
          </w:p>
        </w:tc>
        <w:tc>
          <w:tcPr>
            <w:tcW w:w="873" w:type="dxa"/>
            <w:noWrap/>
            <w:vAlign w:val="center"/>
            <w:hideMark/>
          </w:tcPr>
          <w:p w14:paraId="3A8BA809" w14:textId="77777777" w:rsidR="00120717" w:rsidRPr="00B93EE1" w:rsidRDefault="00120717" w:rsidP="00087DF9">
            <w:pPr>
              <w:keepNext/>
              <w:keepLines/>
              <w:ind w:left="113"/>
              <w:jc w:val="right"/>
              <w:rPr>
                <w:sz w:val="15"/>
                <w:szCs w:val="15"/>
              </w:rPr>
            </w:pPr>
            <w:r w:rsidRPr="00B93EE1">
              <w:rPr>
                <w:sz w:val="15"/>
                <w:szCs w:val="15"/>
              </w:rPr>
              <w:t>2020</w:t>
            </w:r>
          </w:p>
        </w:tc>
      </w:tr>
      <w:tr w:rsidR="00120717" w:rsidRPr="00B93EE1" w14:paraId="6EA8A770" w14:textId="77777777" w:rsidTr="005F50EE">
        <w:trPr>
          <w:trHeight w:val="238"/>
        </w:trPr>
        <w:tc>
          <w:tcPr>
            <w:tcW w:w="0" w:type="dxa"/>
            <w:noWrap/>
            <w:vAlign w:val="center"/>
            <w:hideMark/>
          </w:tcPr>
          <w:p w14:paraId="71C8BD64" w14:textId="77777777" w:rsidR="00120717" w:rsidRPr="00B93EE1" w:rsidRDefault="00120717" w:rsidP="00087DF9">
            <w:pPr>
              <w:keepNext/>
              <w:keepLines/>
              <w:jc w:val="left"/>
              <w:rPr>
                <w:sz w:val="15"/>
                <w:szCs w:val="15"/>
              </w:rPr>
            </w:pPr>
            <w:r w:rsidRPr="00B93EE1">
              <w:rPr>
                <w:sz w:val="15"/>
                <w:szCs w:val="15"/>
              </w:rPr>
              <w:t>Meat and meat product manufacturing</w:t>
            </w:r>
          </w:p>
        </w:tc>
        <w:tc>
          <w:tcPr>
            <w:tcW w:w="0" w:type="dxa"/>
            <w:noWrap/>
            <w:vAlign w:val="bottom"/>
            <w:hideMark/>
          </w:tcPr>
          <w:p w14:paraId="3D168BD5" w14:textId="77777777" w:rsidR="00120717" w:rsidRPr="00B93EE1" w:rsidRDefault="00120717" w:rsidP="00087DF9">
            <w:pPr>
              <w:keepNext/>
              <w:keepLines/>
              <w:ind w:left="113"/>
              <w:jc w:val="right"/>
              <w:rPr>
                <w:sz w:val="15"/>
                <w:szCs w:val="15"/>
              </w:rPr>
            </w:pPr>
            <w:r w:rsidRPr="00B93EE1">
              <w:rPr>
                <w:rFonts w:cs="Calibri"/>
                <w:color w:val="000000"/>
                <w:sz w:val="15"/>
                <w:szCs w:val="15"/>
              </w:rPr>
              <w:t>1,875</w:t>
            </w:r>
          </w:p>
        </w:tc>
        <w:tc>
          <w:tcPr>
            <w:tcW w:w="0" w:type="dxa"/>
            <w:noWrap/>
            <w:vAlign w:val="bottom"/>
            <w:hideMark/>
          </w:tcPr>
          <w:p w14:paraId="24FF3070" w14:textId="77777777" w:rsidR="00120717" w:rsidRPr="00B93EE1" w:rsidRDefault="00120717" w:rsidP="00087DF9">
            <w:pPr>
              <w:keepNext/>
              <w:keepLines/>
              <w:ind w:left="113"/>
              <w:jc w:val="right"/>
              <w:rPr>
                <w:sz w:val="15"/>
                <w:szCs w:val="15"/>
              </w:rPr>
            </w:pPr>
            <w:r w:rsidRPr="00B93EE1">
              <w:rPr>
                <w:rFonts w:cs="Calibri"/>
                <w:color w:val="000000"/>
                <w:sz w:val="15"/>
                <w:szCs w:val="15"/>
              </w:rPr>
              <w:t>1,700</w:t>
            </w:r>
          </w:p>
        </w:tc>
        <w:tc>
          <w:tcPr>
            <w:tcW w:w="0" w:type="dxa"/>
            <w:noWrap/>
            <w:vAlign w:val="bottom"/>
            <w:hideMark/>
          </w:tcPr>
          <w:p w14:paraId="6CF20C28" w14:textId="77777777" w:rsidR="00120717" w:rsidRPr="00B93EE1" w:rsidRDefault="00120717" w:rsidP="00087DF9">
            <w:pPr>
              <w:keepNext/>
              <w:keepLines/>
              <w:ind w:left="113"/>
              <w:jc w:val="right"/>
              <w:rPr>
                <w:sz w:val="15"/>
                <w:szCs w:val="15"/>
              </w:rPr>
            </w:pPr>
            <w:r w:rsidRPr="00B93EE1">
              <w:rPr>
                <w:rFonts w:cs="Calibri"/>
                <w:color w:val="000000"/>
                <w:sz w:val="15"/>
                <w:szCs w:val="15"/>
              </w:rPr>
              <w:t>1,917</w:t>
            </w:r>
          </w:p>
        </w:tc>
        <w:tc>
          <w:tcPr>
            <w:tcW w:w="0" w:type="dxa"/>
            <w:noWrap/>
            <w:vAlign w:val="bottom"/>
            <w:hideMark/>
          </w:tcPr>
          <w:p w14:paraId="1CC941B6" w14:textId="77777777" w:rsidR="00120717" w:rsidRPr="00B93EE1" w:rsidRDefault="00120717" w:rsidP="00087DF9">
            <w:pPr>
              <w:keepNext/>
              <w:keepLines/>
              <w:ind w:left="113"/>
              <w:jc w:val="right"/>
              <w:rPr>
                <w:sz w:val="15"/>
                <w:szCs w:val="15"/>
              </w:rPr>
            </w:pPr>
            <w:r w:rsidRPr="00B93EE1">
              <w:rPr>
                <w:rFonts w:cs="Calibri"/>
                <w:color w:val="000000"/>
                <w:sz w:val="15"/>
                <w:szCs w:val="15"/>
              </w:rPr>
              <w:t>1,894</w:t>
            </w:r>
          </w:p>
        </w:tc>
        <w:tc>
          <w:tcPr>
            <w:tcW w:w="0" w:type="dxa"/>
            <w:noWrap/>
            <w:vAlign w:val="bottom"/>
            <w:hideMark/>
          </w:tcPr>
          <w:p w14:paraId="6FEA9B3C" w14:textId="77777777" w:rsidR="00120717" w:rsidRPr="00B93EE1" w:rsidRDefault="00120717" w:rsidP="00087DF9">
            <w:pPr>
              <w:keepNext/>
              <w:keepLines/>
              <w:ind w:left="113"/>
              <w:jc w:val="right"/>
              <w:rPr>
                <w:sz w:val="15"/>
                <w:szCs w:val="15"/>
              </w:rPr>
            </w:pPr>
            <w:r w:rsidRPr="00B93EE1">
              <w:rPr>
                <w:rFonts w:cs="Calibri"/>
                <w:color w:val="000000"/>
                <w:sz w:val="15"/>
                <w:szCs w:val="15"/>
              </w:rPr>
              <w:t>2,138</w:t>
            </w:r>
          </w:p>
        </w:tc>
        <w:tc>
          <w:tcPr>
            <w:tcW w:w="0" w:type="dxa"/>
            <w:noWrap/>
            <w:vAlign w:val="bottom"/>
            <w:hideMark/>
          </w:tcPr>
          <w:p w14:paraId="16524EE0" w14:textId="77777777" w:rsidR="00120717" w:rsidRPr="00B93EE1" w:rsidRDefault="00120717" w:rsidP="00087DF9">
            <w:pPr>
              <w:keepNext/>
              <w:keepLines/>
              <w:ind w:left="113"/>
              <w:jc w:val="right"/>
              <w:rPr>
                <w:sz w:val="15"/>
                <w:szCs w:val="15"/>
              </w:rPr>
            </w:pPr>
            <w:r w:rsidRPr="00B93EE1">
              <w:rPr>
                <w:rFonts w:cs="Calibri"/>
                <w:color w:val="000000"/>
                <w:sz w:val="15"/>
                <w:szCs w:val="15"/>
              </w:rPr>
              <w:t>2,351</w:t>
            </w:r>
          </w:p>
        </w:tc>
      </w:tr>
      <w:tr w:rsidR="00120717" w:rsidRPr="00B93EE1" w14:paraId="77A66604" w14:textId="77777777" w:rsidTr="005F50EE">
        <w:trPr>
          <w:cnfStyle w:val="000000010000" w:firstRow="0" w:lastRow="0" w:firstColumn="0" w:lastColumn="0" w:oddVBand="0" w:evenVBand="0" w:oddHBand="0" w:evenHBand="1" w:firstRowFirstColumn="0" w:firstRowLastColumn="0" w:lastRowFirstColumn="0" w:lastRowLastColumn="0"/>
          <w:trHeight w:val="238"/>
        </w:trPr>
        <w:tc>
          <w:tcPr>
            <w:tcW w:w="0" w:type="dxa"/>
            <w:noWrap/>
            <w:vAlign w:val="center"/>
            <w:hideMark/>
          </w:tcPr>
          <w:p w14:paraId="572C5924" w14:textId="77777777" w:rsidR="00120717" w:rsidRPr="00B93EE1" w:rsidRDefault="00120717" w:rsidP="00087DF9">
            <w:pPr>
              <w:keepNext/>
              <w:keepLines/>
              <w:jc w:val="left"/>
              <w:rPr>
                <w:sz w:val="15"/>
                <w:szCs w:val="15"/>
              </w:rPr>
            </w:pPr>
            <w:r w:rsidRPr="00B93EE1">
              <w:rPr>
                <w:sz w:val="15"/>
                <w:szCs w:val="15"/>
              </w:rPr>
              <w:t>Seafood processing</w:t>
            </w:r>
          </w:p>
        </w:tc>
        <w:tc>
          <w:tcPr>
            <w:tcW w:w="0" w:type="dxa"/>
            <w:noWrap/>
            <w:vAlign w:val="bottom"/>
            <w:hideMark/>
          </w:tcPr>
          <w:p w14:paraId="5B6491D1" w14:textId="77777777" w:rsidR="00120717" w:rsidRPr="00B93EE1" w:rsidRDefault="00120717" w:rsidP="00087DF9">
            <w:pPr>
              <w:keepNext/>
              <w:keepLines/>
              <w:ind w:left="113"/>
              <w:jc w:val="right"/>
              <w:rPr>
                <w:sz w:val="15"/>
                <w:szCs w:val="15"/>
              </w:rPr>
            </w:pPr>
            <w:r w:rsidRPr="00B93EE1">
              <w:rPr>
                <w:rFonts w:cs="Calibri"/>
                <w:color w:val="000000"/>
                <w:sz w:val="15"/>
                <w:szCs w:val="15"/>
              </w:rPr>
              <w:t>462</w:t>
            </w:r>
          </w:p>
        </w:tc>
        <w:tc>
          <w:tcPr>
            <w:tcW w:w="0" w:type="dxa"/>
            <w:noWrap/>
            <w:vAlign w:val="bottom"/>
            <w:hideMark/>
          </w:tcPr>
          <w:p w14:paraId="3C3AF3AA" w14:textId="77777777" w:rsidR="00120717" w:rsidRPr="00B93EE1" w:rsidRDefault="00120717" w:rsidP="00087DF9">
            <w:pPr>
              <w:keepNext/>
              <w:keepLines/>
              <w:ind w:left="113"/>
              <w:jc w:val="right"/>
              <w:rPr>
                <w:sz w:val="15"/>
                <w:szCs w:val="15"/>
              </w:rPr>
            </w:pPr>
            <w:r w:rsidRPr="00B93EE1">
              <w:rPr>
                <w:rFonts w:cs="Calibri"/>
                <w:color w:val="000000"/>
                <w:sz w:val="15"/>
                <w:szCs w:val="15"/>
              </w:rPr>
              <w:t>542</w:t>
            </w:r>
          </w:p>
        </w:tc>
        <w:tc>
          <w:tcPr>
            <w:tcW w:w="0" w:type="dxa"/>
            <w:noWrap/>
            <w:vAlign w:val="bottom"/>
            <w:hideMark/>
          </w:tcPr>
          <w:p w14:paraId="3CA29A73" w14:textId="77777777" w:rsidR="00120717" w:rsidRPr="00B93EE1" w:rsidRDefault="00120717" w:rsidP="00087DF9">
            <w:pPr>
              <w:keepNext/>
              <w:keepLines/>
              <w:ind w:left="113"/>
              <w:jc w:val="right"/>
              <w:rPr>
                <w:sz w:val="15"/>
                <w:szCs w:val="15"/>
              </w:rPr>
            </w:pPr>
            <w:r w:rsidRPr="00B93EE1">
              <w:rPr>
                <w:rFonts w:cs="Calibri"/>
                <w:color w:val="000000"/>
                <w:sz w:val="15"/>
                <w:szCs w:val="15"/>
              </w:rPr>
              <w:t>550</w:t>
            </w:r>
          </w:p>
        </w:tc>
        <w:tc>
          <w:tcPr>
            <w:tcW w:w="0" w:type="dxa"/>
            <w:noWrap/>
            <w:vAlign w:val="bottom"/>
            <w:hideMark/>
          </w:tcPr>
          <w:p w14:paraId="450BF183" w14:textId="77777777" w:rsidR="00120717" w:rsidRPr="00B93EE1" w:rsidRDefault="00120717" w:rsidP="00087DF9">
            <w:pPr>
              <w:keepNext/>
              <w:keepLines/>
              <w:ind w:left="113"/>
              <w:jc w:val="right"/>
              <w:rPr>
                <w:sz w:val="15"/>
                <w:szCs w:val="15"/>
              </w:rPr>
            </w:pPr>
            <w:r w:rsidRPr="00B93EE1">
              <w:rPr>
                <w:rFonts w:cs="Calibri"/>
                <w:color w:val="000000"/>
                <w:sz w:val="15"/>
                <w:szCs w:val="15"/>
              </w:rPr>
              <w:t>621</w:t>
            </w:r>
          </w:p>
        </w:tc>
        <w:tc>
          <w:tcPr>
            <w:tcW w:w="0" w:type="dxa"/>
            <w:noWrap/>
            <w:vAlign w:val="bottom"/>
            <w:hideMark/>
          </w:tcPr>
          <w:p w14:paraId="763D1038" w14:textId="77777777" w:rsidR="00120717" w:rsidRPr="00B93EE1" w:rsidRDefault="00120717" w:rsidP="00087DF9">
            <w:pPr>
              <w:keepNext/>
              <w:keepLines/>
              <w:ind w:left="113"/>
              <w:jc w:val="right"/>
              <w:rPr>
                <w:sz w:val="15"/>
                <w:szCs w:val="15"/>
              </w:rPr>
            </w:pPr>
            <w:r w:rsidRPr="00B93EE1">
              <w:rPr>
                <w:rFonts w:cs="Calibri"/>
                <w:color w:val="000000"/>
                <w:sz w:val="15"/>
                <w:szCs w:val="15"/>
              </w:rPr>
              <w:t>604</w:t>
            </w:r>
          </w:p>
        </w:tc>
        <w:tc>
          <w:tcPr>
            <w:tcW w:w="0" w:type="dxa"/>
            <w:noWrap/>
            <w:vAlign w:val="bottom"/>
            <w:hideMark/>
          </w:tcPr>
          <w:p w14:paraId="1FA4282F" w14:textId="77777777" w:rsidR="00120717" w:rsidRPr="00B93EE1" w:rsidRDefault="00120717" w:rsidP="00087DF9">
            <w:pPr>
              <w:keepNext/>
              <w:keepLines/>
              <w:ind w:left="113"/>
              <w:jc w:val="right"/>
              <w:rPr>
                <w:sz w:val="15"/>
                <w:szCs w:val="15"/>
              </w:rPr>
            </w:pPr>
            <w:r w:rsidRPr="00B93EE1">
              <w:rPr>
                <w:rFonts w:cs="Calibri"/>
                <w:color w:val="000000"/>
                <w:sz w:val="15"/>
                <w:szCs w:val="15"/>
              </w:rPr>
              <w:t>592</w:t>
            </w:r>
          </w:p>
        </w:tc>
      </w:tr>
      <w:tr w:rsidR="00120717" w:rsidRPr="00B93EE1" w14:paraId="01BB9EA7" w14:textId="77777777" w:rsidTr="005F50EE">
        <w:trPr>
          <w:trHeight w:val="238"/>
        </w:trPr>
        <w:tc>
          <w:tcPr>
            <w:tcW w:w="0" w:type="dxa"/>
            <w:noWrap/>
            <w:vAlign w:val="center"/>
            <w:hideMark/>
          </w:tcPr>
          <w:p w14:paraId="45A4AA94" w14:textId="77777777" w:rsidR="00120717" w:rsidRPr="00B93EE1" w:rsidRDefault="00120717" w:rsidP="00087DF9">
            <w:pPr>
              <w:keepNext/>
              <w:keepLines/>
              <w:jc w:val="left"/>
              <w:rPr>
                <w:sz w:val="15"/>
                <w:szCs w:val="15"/>
              </w:rPr>
            </w:pPr>
            <w:r w:rsidRPr="00B93EE1">
              <w:rPr>
                <w:sz w:val="15"/>
                <w:szCs w:val="15"/>
              </w:rPr>
              <w:t>Dairy product manufacturing</w:t>
            </w:r>
          </w:p>
        </w:tc>
        <w:tc>
          <w:tcPr>
            <w:tcW w:w="0" w:type="dxa"/>
            <w:noWrap/>
            <w:vAlign w:val="bottom"/>
            <w:hideMark/>
          </w:tcPr>
          <w:p w14:paraId="5930C4CF" w14:textId="77777777" w:rsidR="00120717" w:rsidRPr="00B93EE1" w:rsidRDefault="00120717" w:rsidP="00087DF9">
            <w:pPr>
              <w:keepNext/>
              <w:keepLines/>
              <w:ind w:left="113"/>
              <w:jc w:val="right"/>
              <w:rPr>
                <w:sz w:val="15"/>
                <w:szCs w:val="15"/>
              </w:rPr>
            </w:pPr>
            <w:r w:rsidRPr="00B93EE1">
              <w:rPr>
                <w:rFonts w:cs="Calibri"/>
                <w:color w:val="000000"/>
                <w:sz w:val="15"/>
                <w:szCs w:val="15"/>
              </w:rPr>
              <w:t>3,715</w:t>
            </w:r>
          </w:p>
        </w:tc>
        <w:tc>
          <w:tcPr>
            <w:tcW w:w="0" w:type="dxa"/>
            <w:noWrap/>
            <w:vAlign w:val="bottom"/>
            <w:hideMark/>
          </w:tcPr>
          <w:p w14:paraId="3EFB1942" w14:textId="77777777" w:rsidR="00120717" w:rsidRPr="00B93EE1" w:rsidRDefault="00120717" w:rsidP="00087DF9">
            <w:pPr>
              <w:keepNext/>
              <w:keepLines/>
              <w:ind w:left="113"/>
              <w:jc w:val="right"/>
              <w:rPr>
                <w:sz w:val="15"/>
                <w:szCs w:val="15"/>
              </w:rPr>
            </w:pPr>
            <w:r w:rsidRPr="00B93EE1">
              <w:rPr>
                <w:rFonts w:cs="Calibri"/>
                <w:color w:val="000000"/>
                <w:sz w:val="15"/>
                <w:szCs w:val="15"/>
              </w:rPr>
              <w:t>4,164</w:t>
            </w:r>
          </w:p>
        </w:tc>
        <w:tc>
          <w:tcPr>
            <w:tcW w:w="0" w:type="dxa"/>
            <w:noWrap/>
            <w:vAlign w:val="bottom"/>
            <w:hideMark/>
          </w:tcPr>
          <w:p w14:paraId="4204CD92" w14:textId="77777777" w:rsidR="00120717" w:rsidRPr="00B93EE1" w:rsidRDefault="00120717" w:rsidP="00087DF9">
            <w:pPr>
              <w:keepNext/>
              <w:keepLines/>
              <w:ind w:left="113"/>
              <w:jc w:val="right"/>
              <w:rPr>
                <w:sz w:val="15"/>
                <w:szCs w:val="15"/>
              </w:rPr>
            </w:pPr>
            <w:r w:rsidRPr="00B93EE1">
              <w:rPr>
                <w:rFonts w:cs="Calibri"/>
                <w:color w:val="000000"/>
                <w:sz w:val="15"/>
                <w:szCs w:val="15"/>
              </w:rPr>
              <w:t>1,808</w:t>
            </w:r>
          </w:p>
        </w:tc>
        <w:tc>
          <w:tcPr>
            <w:tcW w:w="0" w:type="dxa"/>
            <w:noWrap/>
            <w:vAlign w:val="bottom"/>
            <w:hideMark/>
          </w:tcPr>
          <w:p w14:paraId="4D4F36A6" w14:textId="77777777" w:rsidR="00120717" w:rsidRPr="00B93EE1" w:rsidRDefault="00120717" w:rsidP="00087DF9">
            <w:pPr>
              <w:keepNext/>
              <w:keepLines/>
              <w:ind w:left="113"/>
              <w:jc w:val="right"/>
              <w:rPr>
                <w:sz w:val="15"/>
                <w:szCs w:val="15"/>
              </w:rPr>
            </w:pPr>
            <w:r w:rsidRPr="00B93EE1">
              <w:rPr>
                <w:rFonts w:cs="Calibri"/>
                <w:color w:val="000000"/>
                <w:sz w:val="15"/>
                <w:szCs w:val="15"/>
              </w:rPr>
              <w:t>2,997</w:t>
            </w:r>
          </w:p>
        </w:tc>
        <w:tc>
          <w:tcPr>
            <w:tcW w:w="0" w:type="dxa"/>
            <w:noWrap/>
            <w:vAlign w:val="bottom"/>
            <w:hideMark/>
          </w:tcPr>
          <w:p w14:paraId="72F06B9F" w14:textId="77777777" w:rsidR="00120717" w:rsidRPr="00B93EE1" w:rsidRDefault="00120717" w:rsidP="00087DF9">
            <w:pPr>
              <w:keepNext/>
              <w:keepLines/>
              <w:ind w:left="113"/>
              <w:jc w:val="right"/>
              <w:rPr>
                <w:sz w:val="15"/>
                <w:szCs w:val="15"/>
              </w:rPr>
            </w:pPr>
            <w:r w:rsidRPr="00B93EE1">
              <w:rPr>
                <w:rFonts w:cs="Calibri"/>
                <w:color w:val="000000"/>
                <w:sz w:val="15"/>
                <w:szCs w:val="15"/>
              </w:rPr>
              <w:t>3,071</w:t>
            </w:r>
          </w:p>
        </w:tc>
        <w:tc>
          <w:tcPr>
            <w:tcW w:w="0" w:type="dxa"/>
            <w:noWrap/>
            <w:vAlign w:val="bottom"/>
            <w:hideMark/>
          </w:tcPr>
          <w:p w14:paraId="0C5DB37E" w14:textId="77777777" w:rsidR="00120717" w:rsidRPr="00B93EE1" w:rsidRDefault="00120717" w:rsidP="00087DF9">
            <w:pPr>
              <w:keepNext/>
              <w:keepLines/>
              <w:ind w:left="113"/>
              <w:jc w:val="right"/>
              <w:rPr>
                <w:sz w:val="15"/>
                <w:szCs w:val="15"/>
              </w:rPr>
            </w:pPr>
            <w:r w:rsidRPr="00B93EE1">
              <w:rPr>
                <w:rFonts w:cs="Calibri"/>
                <w:color w:val="000000"/>
                <w:sz w:val="15"/>
                <w:szCs w:val="15"/>
              </w:rPr>
              <w:t>3,764</w:t>
            </w:r>
          </w:p>
        </w:tc>
      </w:tr>
      <w:tr w:rsidR="00120717" w:rsidRPr="00B93EE1" w14:paraId="415CFE7B" w14:textId="77777777" w:rsidTr="005F50EE">
        <w:trPr>
          <w:cnfStyle w:val="000000010000" w:firstRow="0" w:lastRow="0" w:firstColumn="0" w:lastColumn="0" w:oddVBand="0" w:evenVBand="0" w:oddHBand="0" w:evenHBand="1" w:firstRowFirstColumn="0" w:firstRowLastColumn="0" w:lastRowFirstColumn="0" w:lastRowLastColumn="0"/>
          <w:trHeight w:val="238"/>
        </w:trPr>
        <w:tc>
          <w:tcPr>
            <w:tcW w:w="0" w:type="dxa"/>
            <w:noWrap/>
            <w:vAlign w:val="center"/>
            <w:hideMark/>
          </w:tcPr>
          <w:p w14:paraId="15C210C9" w14:textId="77777777" w:rsidR="00120717" w:rsidRPr="00B93EE1" w:rsidRDefault="00120717" w:rsidP="00087DF9">
            <w:pPr>
              <w:keepNext/>
              <w:keepLines/>
              <w:jc w:val="left"/>
              <w:rPr>
                <w:sz w:val="15"/>
                <w:szCs w:val="15"/>
              </w:rPr>
            </w:pPr>
            <w:r w:rsidRPr="00B93EE1">
              <w:rPr>
                <w:sz w:val="15"/>
                <w:szCs w:val="15"/>
              </w:rPr>
              <w:t>Fruit, oil, cereal, and other food product manufacturing</w:t>
            </w:r>
          </w:p>
        </w:tc>
        <w:tc>
          <w:tcPr>
            <w:tcW w:w="0" w:type="dxa"/>
            <w:noWrap/>
            <w:vAlign w:val="bottom"/>
            <w:hideMark/>
          </w:tcPr>
          <w:p w14:paraId="510AB7A0" w14:textId="77777777" w:rsidR="00120717" w:rsidRPr="00B93EE1" w:rsidRDefault="00120717" w:rsidP="00087DF9">
            <w:pPr>
              <w:keepNext/>
              <w:keepLines/>
              <w:ind w:left="113"/>
              <w:jc w:val="right"/>
              <w:rPr>
                <w:sz w:val="15"/>
                <w:szCs w:val="15"/>
              </w:rPr>
            </w:pPr>
            <w:r w:rsidRPr="00B93EE1">
              <w:rPr>
                <w:rFonts w:cs="Calibri"/>
                <w:color w:val="000000"/>
                <w:sz w:val="15"/>
                <w:szCs w:val="15"/>
              </w:rPr>
              <w:t>2,108</w:t>
            </w:r>
          </w:p>
        </w:tc>
        <w:tc>
          <w:tcPr>
            <w:tcW w:w="0" w:type="dxa"/>
            <w:noWrap/>
            <w:vAlign w:val="bottom"/>
            <w:hideMark/>
          </w:tcPr>
          <w:p w14:paraId="23336658" w14:textId="77777777" w:rsidR="00120717" w:rsidRPr="00B93EE1" w:rsidRDefault="00120717" w:rsidP="00087DF9">
            <w:pPr>
              <w:keepNext/>
              <w:keepLines/>
              <w:ind w:left="113"/>
              <w:jc w:val="right"/>
              <w:rPr>
                <w:sz w:val="15"/>
                <w:szCs w:val="15"/>
              </w:rPr>
            </w:pPr>
            <w:r w:rsidRPr="00B93EE1">
              <w:rPr>
                <w:rFonts w:cs="Calibri"/>
                <w:color w:val="000000"/>
                <w:sz w:val="15"/>
                <w:szCs w:val="15"/>
              </w:rPr>
              <w:t>2,242</w:t>
            </w:r>
          </w:p>
        </w:tc>
        <w:tc>
          <w:tcPr>
            <w:tcW w:w="0" w:type="dxa"/>
            <w:noWrap/>
            <w:vAlign w:val="bottom"/>
            <w:hideMark/>
          </w:tcPr>
          <w:p w14:paraId="05EA030E" w14:textId="77777777" w:rsidR="00120717" w:rsidRPr="00B93EE1" w:rsidRDefault="00120717" w:rsidP="00087DF9">
            <w:pPr>
              <w:keepNext/>
              <w:keepLines/>
              <w:ind w:left="113"/>
              <w:jc w:val="right"/>
              <w:rPr>
                <w:sz w:val="15"/>
                <w:szCs w:val="15"/>
              </w:rPr>
            </w:pPr>
            <w:r w:rsidRPr="00B93EE1">
              <w:rPr>
                <w:rFonts w:cs="Calibri"/>
                <w:color w:val="000000"/>
                <w:sz w:val="15"/>
                <w:szCs w:val="15"/>
              </w:rPr>
              <w:t>2,424</w:t>
            </w:r>
          </w:p>
        </w:tc>
        <w:tc>
          <w:tcPr>
            <w:tcW w:w="0" w:type="dxa"/>
            <w:noWrap/>
            <w:vAlign w:val="bottom"/>
            <w:hideMark/>
          </w:tcPr>
          <w:p w14:paraId="7D83F5B1" w14:textId="77777777" w:rsidR="00120717" w:rsidRPr="00B93EE1" w:rsidRDefault="00120717" w:rsidP="00087DF9">
            <w:pPr>
              <w:keepNext/>
              <w:keepLines/>
              <w:ind w:left="113"/>
              <w:jc w:val="right"/>
              <w:rPr>
                <w:sz w:val="15"/>
                <w:szCs w:val="15"/>
              </w:rPr>
            </w:pPr>
            <w:r w:rsidRPr="00B93EE1">
              <w:rPr>
                <w:rFonts w:cs="Calibri"/>
                <w:color w:val="000000"/>
                <w:sz w:val="15"/>
                <w:szCs w:val="15"/>
              </w:rPr>
              <w:t>2,678</w:t>
            </w:r>
          </w:p>
        </w:tc>
        <w:tc>
          <w:tcPr>
            <w:tcW w:w="0" w:type="dxa"/>
            <w:noWrap/>
            <w:vAlign w:val="bottom"/>
            <w:hideMark/>
          </w:tcPr>
          <w:p w14:paraId="4A757DB0" w14:textId="77777777" w:rsidR="00120717" w:rsidRPr="00B93EE1" w:rsidRDefault="00120717" w:rsidP="00087DF9">
            <w:pPr>
              <w:keepNext/>
              <w:keepLines/>
              <w:ind w:left="113"/>
              <w:jc w:val="right"/>
              <w:rPr>
                <w:sz w:val="15"/>
                <w:szCs w:val="15"/>
              </w:rPr>
            </w:pPr>
            <w:r w:rsidRPr="00B93EE1">
              <w:rPr>
                <w:rFonts w:cs="Calibri"/>
                <w:color w:val="000000"/>
                <w:sz w:val="15"/>
                <w:szCs w:val="15"/>
              </w:rPr>
              <w:t>2,486</w:t>
            </w:r>
          </w:p>
        </w:tc>
        <w:tc>
          <w:tcPr>
            <w:tcW w:w="0" w:type="dxa"/>
            <w:noWrap/>
            <w:vAlign w:val="bottom"/>
            <w:hideMark/>
          </w:tcPr>
          <w:p w14:paraId="1863A27B" w14:textId="77777777" w:rsidR="00120717" w:rsidRPr="00B93EE1" w:rsidRDefault="00120717" w:rsidP="00087DF9">
            <w:pPr>
              <w:keepNext/>
              <w:keepLines/>
              <w:ind w:left="113"/>
              <w:jc w:val="right"/>
              <w:rPr>
                <w:sz w:val="15"/>
                <w:szCs w:val="15"/>
              </w:rPr>
            </w:pPr>
            <w:r w:rsidRPr="00B93EE1">
              <w:rPr>
                <w:rFonts w:cs="Calibri"/>
                <w:color w:val="000000"/>
                <w:sz w:val="15"/>
                <w:szCs w:val="15"/>
              </w:rPr>
              <w:t>2,676</w:t>
            </w:r>
          </w:p>
        </w:tc>
      </w:tr>
      <w:tr w:rsidR="00120717" w:rsidRPr="00B93EE1" w14:paraId="12C8C5F2" w14:textId="77777777" w:rsidTr="005F50EE">
        <w:trPr>
          <w:trHeight w:val="238"/>
        </w:trPr>
        <w:tc>
          <w:tcPr>
            <w:tcW w:w="0" w:type="dxa"/>
            <w:noWrap/>
            <w:vAlign w:val="center"/>
            <w:hideMark/>
          </w:tcPr>
          <w:p w14:paraId="279B9E8F" w14:textId="77777777" w:rsidR="00120717" w:rsidRPr="00B93EE1" w:rsidRDefault="00120717" w:rsidP="003A18AB">
            <w:pPr>
              <w:jc w:val="left"/>
              <w:rPr>
                <w:sz w:val="15"/>
                <w:szCs w:val="15"/>
              </w:rPr>
            </w:pPr>
            <w:r w:rsidRPr="00B93EE1">
              <w:rPr>
                <w:sz w:val="15"/>
                <w:szCs w:val="15"/>
              </w:rPr>
              <w:t>Beverage and tobacco product manufacturing</w:t>
            </w:r>
          </w:p>
        </w:tc>
        <w:tc>
          <w:tcPr>
            <w:tcW w:w="0" w:type="dxa"/>
            <w:noWrap/>
            <w:vAlign w:val="bottom"/>
            <w:hideMark/>
          </w:tcPr>
          <w:p w14:paraId="181EA0AE" w14:textId="77777777" w:rsidR="00120717" w:rsidRPr="00B93EE1" w:rsidRDefault="00120717" w:rsidP="003A18AB">
            <w:pPr>
              <w:ind w:left="113"/>
              <w:jc w:val="right"/>
              <w:rPr>
                <w:sz w:val="15"/>
                <w:szCs w:val="15"/>
              </w:rPr>
            </w:pPr>
            <w:r w:rsidRPr="00B93EE1">
              <w:rPr>
                <w:rFonts w:cs="Calibri"/>
                <w:color w:val="000000"/>
                <w:sz w:val="15"/>
                <w:szCs w:val="15"/>
              </w:rPr>
              <w:t>2,346</w:t>
            </w:r>
          </w:p>
        </w:tc>
        <w:tc>
          <w:tcPr>
            <w:tcW w:w="0" w:type="dxa"/>
            <w:noWrap/>
            <w:vAlign w:val="bottom"/>
            <w:hideMark/>
          </w:tcPr>
          <w:p w14:paraId="6A06E6AF" w14:textId="77777777" w:rsidR="00120717" w:rsidRPr="00B93EE1" w:rsidRDefault="00120717" w:rsidP="003A18AB">
            <w:pPr>
              <w:ind w:left="113"/>
              <w:jc w:val="right"/>
              <w:rPr>
                <w:sz w:val="15"/>
                <w:szCs w:val="15"/>
              </w:rPr>
            </w:pPr>
            <w:r w:rsidRPr="00B93EE1">
              <w:rPr>
                <w:rFonts w:cs="Calibri"/>
                <w:color w:val="000000"/>
                <w:sz w:val="15"/>
                <w:szCs w:val="15"/>
              </w:rPr>
              <w:t>2,539</w:t>
            </w:r>
          </w:p>
        </w:tc>
        <w:tc>
          <w:tcPr>
            <w:tcW w:w="0" w:type="dxa"/>
            <w:noWrap/>
            <w:vAlign w:val="bottom"/>
            <w:hideMark/>
          </w:tcPr>
          <w:p w14:paraId="25CCBF9C" w14:textId="77777777" w:rsidR="00120717" w:rsidRPr="00B93EE1" w:rsidRDefault="00120717" w:rsidP="003A18AB">
            <w:pPr>
              <w:ind w:left="113"/>
              <w:jc w:val="right"/>
              <w:rPr>
                <w:sz w:val="15"/>
                <w:szCs w:val="15"/>
              </w:rPr>
            </w:pPr>
            <w:r w:rsidRPr="00B93EE1">
              <w:rPr>
                <w:rFonts w:cs="Calibri"/>
                <w:color w:val="000000"/>
                <w:sz w:val="15"/>
                <w:szCs w:val="15"/>
              </w:rPr>
              <w:t>2,415</w:t>
            </w:r>
          </w:p>
        </w:tc>
        <w:tc>
          <w:tcPr>
            <w:tcW w:w="0" w:type="dxa"/>
            <w:noWrap/>
            <w:vAlign w:val="bottom"/>
            <w:hideMark/>
          </w:tcPr>
          <w:p w14:paraId="3ADF9D10" w14:textId="77777777" w:rsidR="00120717" w:rsidRPr="00B93EE1" w:rsidRDefault="00120717" w:rsidP="003A18AB">
            <w:pPr>
              <w:ind w:left="113"/>
              <w:jc w:val="right"/>
              <w:rPr>
                <w:sz w:val="15"/>
                <w:szCs w:val="15"/>
              </w:rPr>
            </w:pPr>
            <w:r w:rsidRPr="00B93EE1">
              <w:rPr>
                <w:rFonts w:cs="Calibri"/>
                <w:color w:val="000000"/>
                <w:sz w:val="15"/>
                <w:szCs w:val="15"/>
              </w:rPr>
              <w:t>2,532</w:t>
            </w:r>
          </w:p>
        </w:tc>
        <w:tc>
          <w:tcPr>
            <w:tcW w:w="0" w:type="dxa"/>
            <w:noWrap/>
            <w:vAlign w:val="bottom"/>
            <w:hideMark/>
          </w:tcPr>
          <w:p w14:paraId="2F993D0A" w14:textId="77777777" w:rsidR="00120717" w:rsidRPr="00B93EE1" w:rsidRDefault="00120717" w:rsidP="003A18AB">
            <w:pPr>
              <w:ind w:left="113"/>
              <w:jc w:val="right"/>
              <w:rPr>
                <w:sz w:val="15"/>
                <w:szCs w:val="15"/>
              </w:rPr>
            </w:pPr>
            <w:r w:rsidRPr="00B93EE1">
              <w:rPr>
                <w:rFonts w:cs="Calibri"/>
                <w:color w:val="000000"/>
                <w:sz w:val="15"/>
                <w:szCs w:val="15"/>
              </w:rPr>
              <w:t>2,713</w:t>
            </w:r>
          </w:p>
        </w:tc>
        <w:tc>
          <w:tcPr>
            <w:tcW w:w="0" w:type="dxa"/>
            <w:noWrap/>
            <w:vAlign w:val="bottom"/>
            <w:hideMark/>
          </w:tcPr>
          <w:p w14:paraId="24C77463" w14:textId="77777777" w:rsidR="00120717" w:rsidRPr="00B93EE1" w:rsidRDefault="00120717" w:rsidP="003A18AB">
            <w:pPr>
              <w:ind w:left="113"/>
              <w:jc w:val="right"/>
              <w:rPr>
                <w:sz w:val="15"/>
                <w:szCs w:val="15"/>
              </w:rPr>
            </w:pPr>
            <w:r w:rsidRPr="00B93EE1">
              <w:rPr>
                <w:rFonts w:cs="Calibri"/>
                <w:color w:val="000000"/>
                <w:sz w:val="15"/>
                <w:szCs w:val="15"/>
              </w:rPr>
              <w:t>2,754</w:t>
            </w:r>
          </w:p>
        </w:tc>
      </w:tr>
      <w:tr w:rsidR="00120717" w:rsidRPr="00B93EE1" w14:paraId="312258DD" w14:textId="77777777" w:rsidTr="005F50EE">
        <w:trPr>
          <w:cnfStyle w:val="000000010000" w:firstRow="0" w:lastRow="0" w:firstColumn="0" w:lastColumn="0" w:oddVBand="0" w:evenVBand="0" w:oddHBand="0" w:evenHBand="1" w:firstRowFirstColumn="0" w:firstRowLastColumn="0" w:lastRowFirstColumn="0" w:lastRowLastColumn="0"/>
          <w:trHeight w:val="238"/>
        </w:trPr>
        <w:tc>
          <w:tcPr>
            <w:tcW w:w="0" w:type="dxa"/>
            <w:noWrap/>
            <w:vAlign w:val="center"/>
            <w:hideMark/>
          </w:tcPr>
          <w:p w14:paraId="3B5E8F6F" w14:textId="77777777" w:rsidR="00120717" w:rsidRPr="00B93EE1" w:rsidRDefault="00120717" w:rsidP="003A18AB">
            <w:pPr>
              <w:jc w:val="left"/>
              <w:rPr>
                <w:sz w:val="15"/>
                <w:szCs w:val="15"/>
              </w:rPr>
            </w:pPr>
            <w:r w:rsidRPr="00B93EE1">
              <w:rPr>
                <w:sz w:val="15"/>
                <w:szCs w:val="15"/>
              </w:rPr>
              <w:t>Textile, leather, clothing, and footwear manufacturing</w:t>
            </w:r>
          </w:p>
        </w:tc>
        <w:tc>
          <w:tcPr>
            <w:tcW w:w="0" w:type="dxa"/>
            <w:noWrap/>
            <w:vAlign w:val="bottom"/>
            <w:hideMark/>
          </w:tcPr>
          <w:p w14:paraId="35B169D8" w14:textId="77777777" w:rsidR="00120717" w:rsidRPr="00B93EE1" w:rsidRDefault="00120717" w:rsidP="003A18AB">
            <w:pPr>
              <w:ind w:left="113"/>
              <w:jc w:val="right"/>
              <w:rPr>
                <w:sz w:val="15"/>
                <w:szCs w:val="15"/>
              </w:rPr>
            </w:pPr>
            <w:r w:rsidRPr="00B93EE1">
              <w:rPr>
                <w:rFonts w:cs="Calibri"/>
                <w:color w:val="000000"/>
                <w:sz w:val="15"/>
                <w:szCs w:val="15"/>
              </w:rPr>
              <w:t>657</w:t>
            </w:r>
          </w:p>
        </w:tc>
        <w:tc>
          <w:tcPr>
            <w:tcW w:w="0" w:type="dxa"/>
            <w:noWrap/>
            <w:vAlign w:val="bottom"/>
            <w:hideMark/>
          </w:tcPr>
          <w:p w14:paraId="7236591C" w14:textId="77777777" w:rsidR="00120717" w:rsidRPr="00B93EE1" w:rsidRDefault="00120717" w:rsidP="003A18AB">
            <w:pPr>
              <w:ind w:left="113"/>
              <w:jc w:val="right"/>
              <w:rPr>
                <w:sz w:val="15"/>
                <w:szCs w:val="15"/>
              </w:rPr>
            </w:pPr>
            <w:r w:rsidRPr="00B93EE1">
              <w:rPr>
                <w:rFonts w:cs="Calibri"/>
                <w:color w:val="000000"/>
                <w:sz w:val="15"/>
                <w:szCs w:val="15"/>
              </w:rPr>
              <w:t>671</w:t>
            </w:r>
          </w:p>
        </w:tc>
        <w:tc>
          <w:tcPr>
            <w:tcW w:w="0" w:type="dxa"/>
            <w:noWrap/>
            <w:vAlign w:val="bottom"/>
            <w:hideMark/>
          </w:tcPr>
          <w:p w14:paraId="2A05789D" w14:textId="77777777" w:rsidR="00120717" w:rsidRPr="00B93EE1" w:rsidRDefault="00120717" w:rsidP="003A18AB">
            <w:pPr>
              <w:ind w:left="113"/>
              <w:jc w:val="right"/>
              <w:rPr>
                <w:sz w:val="15"/>
                <w:szCs w:val="15"/>
              </w:rPr>
            </w:pPr>
            <w:r w:rsidRPr="00B93EE1">
              <w:rPr>
                <w:rFonts w:cs="Calibri"/>
                <w:color w:val="000000"/>
                <w:sz w:val="15"/>
                <w:szCs w:val="15"/>
              </w:rPr>
              <w:t>730</w:t>
            </w:r>
          </w:p>
        </w:tc>
        <w:tc>
          <w:tcPr>
            <w:tcW w:w="0" w:type="dxa"/>
            <w:noWrap/>
            <w:vAlign w:val="bottom"/>
            <w:hideMark/>
          </w:tcPr>
          <w:p w14:paraId="2EF0F92D" w14:textId="77777777" w:rsidR="00120717" w:rsidRPr="00B93EE1" w:rsidRDefault="00120717" w:rsidP="003A18AB">
            <w:pPr>
              <w:ind w:left="113"/>
              <w:jc w:val="right"/>
              <w:rPr>
                <w:sz w:val="15"/>
                <w:szCs w:val="15"/>
              </w:rPr>
            </w:pPr>
            <w:r w:rsidRPr="00B93EE1">
              <w:rPr>
                <w:rFonts w:cs="Calibri"/>
                <w:color w:val="000000"/>
                <w:sz w:val="15"/>
                <w:szCs w:val="15"/>
              </w:rPr>
              <w:t>676</w:t>
            </w:r>
          </w:p>
        </w:tc>
        <w:tc>
          <w:tcPr>
            <w:tcW w:w="0" w:type="dxa"/>
            <w:noWrap/>
            <w:vAlign w:val="bottom"/>
            <w:hideMark/>
          </w:tcPr>
          <w:p w14:paraId="6D93FA87" w14:textId="77777777" w:rsidR="00120717" w:rsidRPr="00B93EE1" w:rsidRDefault="00120717" w:rsidP="003A18AB">
            <w:pPr>
              <w:ind w:left="113"/>
              <w:jc w:val="right"/>
              <w:rPr>
                <w:sz w:val="15"/>
                <w:szCs w:val="15"/>
              </w:rPr>
            </w:pPr>
            <w:r w:rsidRPr="00B93EE1">
              <w:rPr>
                <w:rFonts w:cs="Calibri"/>
                <w:color w:val="000000"/>
                <w:sz w:val="15"/>
                <w:szCs w:val="15"/>
              </w:rPr>
              <w:t>633</w:t>
            </w:r>
          </w:p>
        </w:tc>
        <w:tc>
          <w:tcPr>
            <w:tcW w:w="0" w:type="dxa"/>
            <w:noWrap/>
            <w:vAlign w:val="bottom"/>
            <w:hideMark/>
          </w:tcPr>
          <w:p w14:paraId="60FEFC4F" w14:textId="77777777" w:rsidR="00120717" w:rsidRPr="00B93EE1" w:rsidRDefault="00120717" w:rsidP="003A18AB">
            <w:pPr>
              <w:ind w:left="113"/>
              <w:jc w:val="right"/>
              <w:rPr>
                <w:sz w:val="15"/>
                <w:szCs w:val="15"/>
              </w:rPr>
            </w:pPr>
            <w:r w:rsidRPr="00B93EE1">
              <w:rPr>
                <w:rFonts w:cs="Calibri"/>
                <w:color w:val="000000"/>
                <w:sz w:val="15"/>
                <w:szCs w:val="15"/>
              </w:rPr>
              <w:t>620</w:t>
            </w:r>
          </w:p>
        </w:tc>
      </w:tr>
      <w:tr w:rsidR="00120717" w:rsidRPr="00B93EE1" w14:paraId="72CC96F1" w14:textId="77777777" w:rsidTr="005F50EE">
        <w:trPr>
          <w:trHeight w:val="238"/>
        </w:trPr>
        <w:tc>
          <w:tcPr>
            <w:tcW w:w="0" w:type="dxa"/>
            <w:noWrap/>
            <w:vAlign w:val="center"/>
            <w:hideMark/>
          </w:tcPr>
          <w:p w14:paraId="0DB7DAEC" w14:textId="77777777" w:rsidR="00120717" w:rsidRPr="00B93EE1" w:rsidRDefault="00120717" w:rsidP="003A18AB">
            <w:pPr>
              <w:jc w:val="left"/>
              <w:rPr>
                <w:sz w:val="15"/>
                <w:szCs w:val="15"/>
              </w:rPr>
            </w:pPr>
            <w:r w:rsidRPr="00B93EE1">
              <w:rPr>
                <w:sz w:val="15"/>
                <w:szCs w:val="15"/>
              </w:rPr>
              <w:t>Wood product manufacturing</w:t>
            </w:r>
          </w:p>
        </w:tc>
        <w:tc>
          <w:tcPr>
            <w:tcW w:w="0" w:type="dxa"/>
            <w:noWrap/>
            <w:vAlign w:val="bottom"/>
            <w:hideMark/>
          </w:tcPr>
          <w:p w14:paraId="615651E5" w14:textId="77777777" w:rsidR="00120717" w:rsidRPr="00B93EE1" w:rsidRDefault="00120717" w:rsidP="003A18AB">
            <w:pPr>
              <w:ind w:left="113"/>
              <w:jc w:val="right"/>
              <w:rPr>
                <w:sz w:val="15"/>
                <w:szCs w:val="15"/>
              </w:rPr>
            </w:pPr>
            <w:r w:rsidRPr="00B93EE1">
              <w:rPr>
                <w:rFonts w:cs="Calibri"/>
                <w:color w:val="000000"/>
                <w:sz w:val="15"/>
                <w:szCs w:val="15"/>
              </w:rPr>
              <w:t>1,243</w:t>
            </w:r>
          </w:p>
        </w:tc>
        <w:tc>
          <w:tcPr>
            <w:tcW w:w="0" w:type="dxa"/>
            <w:noWrap/>
            <w:vAlign w:val="bottom"/>
            <w:hideMark/>
          </w:tcPr>
          <w:p w14:paraId="4790A6F1" w14:textId="77777777" w:rsidR="00120717" w:rsidRPr="00B93EE1" w:rsidRDefault="00120717" w:rsidP="003A18AB">
            <w:pPr>
              <w:ind w:left="113"/>
              <w:jc w:val="right"/>
              <w:rPr>
                <w:sz w:val="15"/>
                <w:szCs w:val="15"/>
              </w:rPr>
            </w:pPr>
            <w:r w:rsidRPr="00B93EE1">
              <w:rPr>
                <w:rFonts w:cs="Calibri"/>
                <w:color w:val="000000"/>
                <w:sz w:val="15"/>
                <w:szCs w:val="15"/>
              </w:rPr>
              <w:t>1,409</w:t>
            </w:r>
          </w:p>
        </w:tc>
        <w:tc>
          <w:tcPr>
            <w:tcW w:w="0" w:type="dxa"/>
            <w:noWrap/>
            <w:vAlign w:val="bottom"/>
            <w:hideMark/>
          </w:tcPr>
          <w:p w14:paraId="136142D8" w14:textId="77777777" w:rsidR="00120717" w:rsidRPr="00B93EE1" w:rsidRDefault="00120717" w:rsidP="003A18AB">
            <w:pPr>
              <w:ind w:left="113"/>
              <w:jc w:val="right"/>
              <w:rPr>
                <w:sz w:val="15"/>
                <w:szCs w:val="15"/>
              </w:rPr>
            </w:pPr>
            <w:r w:rsidRPr="00B93EE1">
              <w:rPr>
                <w:rFonts w:cs="Calibri"/>
                <w:color w:val="000000"/>
                <w:sz w:val="15"/>
                <w:szCs w:val="15"/>
              </w:rPr>
              <w:t>1,491</w:t>
            </w:r>
          </w:p>
        </w:tc>
        <w:tc>
          <w:tcPr>
            <w:tcW w:w="0" w:type="dxa"/>
            <w:noWrap/>
            <w:vAlign w:val="bottom"/>
            <w:hideMark/>
          </w:tcPr>
          <w:p w14:paraId="154E2366" w14:textId="77777777" w:rsidR="00120717" w:rsidRPr="00B93EE1" w:rsidRDefault="00120717" w:rsidP="003A18AB">
            <w:pPr>
              <w:ind w:left="113"/>
              <w:jc w:val="right"/>
              <w:rPr>
                <w:sz w:val="15"/>
                <w:szCs w:val="15"/>
              </w:rPr>
            </w:pPr>
            <w:r w:rsidRPr="00B93EE1">
              <w:rPr>
                <w:rFonts w:cs="Calibri"/>
                <w:color w:val="000000"/>
                <w:sz w:val="15"/>
                <w:szCs w:val="15"/>
              </w:rPr>
              <w:t>1,536</w:t>
            </w:r>
          </w:p>
        </w:tc>
        <w:tc>
          <w:tcPr>
            <w:tcW w:w="0" w:type="dxa"/>
            <w:noWrap/>
            <w:vAlign w:val="bottom"/>
            <w:hideMark/>
          </w:tcPr>
          <w:p w14:paraId="71B0CC1B" w14:textId="77777777" w:rsidR="00120717" w:rsidRPr="00B93EE1" w:rsidRDefault="00120717" w:rsidP="003A18AB">
            <w:pPr>
              <w:ind w:left="113"/>
              <w:jc w:val="right"/>
              <w:rPr>
                <w:sz w:val="15"/>
                <w:szCs w:val="15"/>
              </w:rPr>
            </w:pPr>
            <w:r w:rsidRPr="00B93EE1">
              <w:rPr>
                <w:rFonts w:cs="Calibri"/>
                <w:color w:val="000000"/>
                <w:sz w:val="15"/>
                <w:szCs w:val="15"/>
              </w:rPr>
              <w:t>1,606</w:t>
            </w:r>
          </w:p>
        </w:tc>
        <w:tc>
          <w:tcPr>
            <w:tcW w:w="0" w:type="dxa"/>
            <w:noWrap/>
            <w:vAlign w:val="bottom"/>
            <w:hideMark/>
          </w:tcPr>
          <w:p w14:paraId="26930FA9" w14:textId="77777777" w:rsidR="00120717" w:rsidRPr="00B93EE1" w:rsidRDefault="00120717" w:rsidP="003A18AB">
            <w:pPr>
              <w:ind w:left="113"/>
              <w:jc w:val="right"/>
              <w:rPr>
                <w:sz w:val="15"/>
                <w:szCs w:val="15"/>
              </w:rPr>
            </w:pPr>
            <w:r w:rsidRPr="00B93EE1">
              <w:rPr>
                <w:rFonts w:cs="Calibri"/>
                <w:color w:val="000000"/>
                <w:sz w:val="15"/>
                <w:szCs w:val="15"/>
              </w:rPr>
              <w:t>1,653</w:t>
            </w:r>
          </w:p>
        </w:tc>
      </w:tr>
      <w:tr w:rsidR="00120717" w:rsidRPr="00B93EE1" w14:paraId="69F45B89" w14:textId="77777777" w:rsidTr="005F50EE">
        <w:trPr>
          <w:cnfStyle w:val="000000010000" w:firstRow="0" w:lastRow="0" w:firstColumn="0" w:lastColumn="0" w:oddVBand="0" w:evenVBand="0" w:oddHBand="0" w:evenHBand="1" w:firstRowFirstColumn="0" w:firstRowLastColumn="0" w:lastRowFirstColumn="0" w:lastRowLastColumn="0"/>
          <w:trHeight w:val="238"/>
        </w:trPr>
        <w:tc>
          <w:tcPr>
            <w:tcW w:w="0" w:type="dxa"/>
            <w:noWrap/>
            <w:vAlign w:val="center"/>
            <w:hideMark/>
          </w:tcPr>
          <w:p w14:paraId="2DC77F82" w14:textId="77777777" w:rsidR="00120717" w:rsidRPr="00B93EE1" w:rsidRDefault="00120717" w:rsidP="003A18AB">
            <w:pPr>
              <w:jc w:val="left"/>
              <w:rPr>
                <w:sz w:val="15"/>
                <w:szCs w:val="15"/>
              </w:rPr>
            </w:pPr>
            <w:r w:rsidRPr="00B93EE1">
              <w:rPr>
                <w:sz w:val="15"/>
                <w:szCs w:val="15"/>
              </w:rPr>
              <w:t>Pulp, paper and converted paper product manufacturing</w:t>
            </w:r>
          </w:p>
        </w:tc>
        <w:tc>
          <w:tcPr>
            <w:tcW w:w="0" w:type="dxa"/>
            <w:noWrap/>
            <w:vAlign w:val="bottom"/>
            <w:hideMark/>
          </w:tcPr>
          <w:p w14:paraId="59735DB1" w14:textId="77777777" w:rsidR="00120717" w:rsidRPr="00B93EE1" w:rsidRDefault="00120717" w:rsidP="003A18AB">
            <w:pPr>
              <w:ind w:left="113"/>
              <w:jc w:val="right"/>
              <w:rPr>
                <w:sz w:val="15"/>
                <w:szCs w:val="15"/>
              </w:rPr>
            </w:pPr>
            <w:r w:rsidRPr="00B93EE1">
              <w:rPr>
                <w:rFonts w:cs="Calibri"/>
                <w:color w:val="000000"/>
                <w:sz w:val="15"/>
                <w:szCs w:val="15"/>
              </w:rPr>
              <w:t>594</w:t>
            </w:r>
          </w:p>
        </w:tc>
        <w:tc>
          <w:tcPr>
            <w:tcW w:w="0" w:type="dxa"/>
            <w:noWrap/>
            <w:vAlign w:val="bottom"/>
            <w:hideMark/>
          </w:tcPr>
          <w:p w14:paraId="39DE235F" w14:textId="77777777" w:rsidR="00120717" w:rsidRPr="00B93EE1" w:rsidRDefault="00120717" w:rsidP="003A18AB">
            <w:pPr>
              <w:ind w:left="113"/>
              <w:jc w:val="right"/>
              <w:rPr>
                <w:sz w:val="15"/>
                <w:szCs w:val="15"/>
              </w:rPr>
            </w:pPr>
            <w:r w:rsidRPr="00B93EE1">
              <w:rPr>
                <w:rFonts w:cs="Calibri"/>
                <w:color w:val="000000"/>
                <w:sz w:val="15"/>
                <w:szCs w:val="15"/>
              </w:rPr>
              <w:t>701</w:t>
            </w:r>
          </w:p>
        </w:tc>
        <w:tc>
          <w:tcPr>
            <w:tcW w:w="0" w:type="dxa"/>
            <w:noWrap/>
            <w:vAlign w:val="bottom"/>
            <w:hideMark/>
          </w:tcPr>
          <w:p w14:paraId="19FFC5B6" w14:textId="77777777" w:rsidR="00120717" w:rsidRPr="00B93EE1" w:rsidRDefault="00120717" w:rsidP="003A18AB">
            <w:pPr>
              <w:ind w:left="113"/>
              <w:jc w:val="right"/>
              <w:rPr>
                <w:sz w:val="15"/>
                <w:szCs w:val="15"/>
              </w:rPr>
            </w:pPr>
            <w:r w:rsidRPr="00B93EE1">
              <w:rPr>
                <w:rFonts w:cs="Calibri"/>
                <w:color w:val="000000"/>
                <w:sz w:val="15"/>
                <w:szCs w:val="15"/>
              </w:rPr>
              <w:t>676</w:t>
            </w:r>
          </w:p>
        </w:tc>
        <w:tc>
          <w:tcPr>
            <w:tcW w:w="0" w:type="dxa"/>
            <w:noWrap/>
            <w:vAlign w:val="bottom"/>
            <w:hideMark/>
          </w:tcPr>
          <w:p w14:paraId="04509490" w14:textId="77777777" w:rsidR="00120717" w:rsidRPr="00B93EE1" w:rsidRDefault="00120717" w:rsidP="003A18AB">
            <w:pPr>
              <w:ind w:left="113"/>
              <w:jc w:val="right"/>
              <w:rPr>
                <w:sz w:val="15"/>
                <w:szCs w:val="15"/>
              </w:rPr>
            </w:pPr>
            <w:r w:rsidRPr="00B93EE1">
              <w:rPr>
                <w:rFonts w:cs="Calibri"/>
                <w:color w:val="000000"/>
                <w:sz w:val="15"/>
                <w:szCs w:val="15"/>
              </w:rPr>
              <w:t>757</w:t>
            </w:r>
          </w:p>
        </w:tc>
        <w:tc>
          <w:tcPr>
            <w:tcW w:w="0" w:type="dxa"/>
            <w:noWrap/>
            <w:vAlign w:val="bottom"/>
            <w:hideMark/>
          </w:tcPr>
          <w:p w14:paraId="226009B1" w14:textId="77777777" w:rsidR="00120717" w:rsidRPr="00B93EE1" w:rsidRDefault="00120717" w:rsidP="003A18AB">
            <w:pPr>
              <w:ind w:left="113"/>
              <w:jc w:val="right"/>
              <w:rPr>
                <w:sz w:val="15"/>
                <w:szCs w:val="15"/>
              </w:rPr>
            </w:pPr>
            <w:r w:rsidRPr="00B93EE1">
              <w:rPr>
                <w:rFonts w:cs="Calibri"/>
                <w:color w:val="000000"/>
                <w:sz w:val="15"/>
                <w:szCs w:val="15"/>
              </w:rPr>
              <w:t>852</w:t>
            </w:r>
          </w:p>
        </w:tc>
        <w:tc>
          <w:tcPr>
            <w:tcW w:w="0" w:type="dxa"/>
            <w:noWrap/>
            <w:vAlign w:val="bottom"/>
            <w:hideMark/>
          </w:tcPr>
          <w:p w14:paraId="596099AD" w14:textId="77777777" w:rsidR="00120717" w:rsidRPr="00B93EE1" w:rsidRDefault="00120717" w:rsidP="003A18AB">
            <w:pPr>
              <w:ind w:left="113"/>
              <w:jc w:val="right"/>
              <w:rPr>
                <w:sz w:val="15"/>
                <w:szCs w:val="15"/>
              </w:rPr>
            </w:pPr>
            <w:r w:rsidRPr="00B93EE1">
              <w:rPr>
                <w:rFonts w:cs="Calibri"/>
                <w:color w:val="000000"/>
                <w:sz w:val="15"/>
                <w:szCs w:val="15"/>
              </w:rPr>
              <w:t>642</w:t>
            </w:r>
          </w:p>
        </w:tc>
      </w:tr>
      <w:tr w:rsidR="00120717" w:rsidRPr="00B93EE1" w14:paraId="3D8B22AB" w14:textId="77777777" w:rsidTr="005F50EE">
        <w:trPr>
          <w:trHeight w:val="238"/>
        </w:trPr>
        <w:tc>
          <w:tcPr>
            <w:tcW w:w="0" w:type="dxa"/>
            <w:noWrap/>
            <w:vAlign w:val="center"/>
            <w:hideMark/>
          </w:tcPr>
          <w:p w14:paraId="5E6880DE" w14:textId="77777777" w:rsidR="00120717" w:rsidRPr="00B93EE1" w:rsidRDefault="00120717" w:rsidP="003A18AB">
            <w:pPr>
              <w:jc w:val="left"/>
              <w:rPr>
                <w:sz w:val="15"/>
                <w:szCs w:val="15"/>
              </w:rPr>
            </w:pPr>
            <w:r w:rsidRPr="00B93EE1">
              <w:rPr>
                <w:sz w:val="15"/>
                <w:szCs w:val="15"/>
              </w:rPr>
              <w:t>Printing</w:t>
            </w:r>
          </w:p>
        </w:tc>
        <w:tc>
          <w:tcPr>
            <w:tcW w:w="0" w:type="dxa"/>
            <w:noWrap/>
            <w:vAlign w:val="bottom"/>
            <w:hideMark/>
          </w:tcPr>
          <w:p w14:paraId="6A24A647" w14:textId="77777777" w:rsidR="00120717" w:rsidRPr="00B93EE1" w:rsidRDefault="00120717" w:rsidP="003A18AB">
            <w:pPr>
              <w:ind w:left="113"/>
              <w:jc w:val="right"/>
              <w:rPr>
                <w:sz w:val="15"/>
                <w:szCs w:val="15"/>
              </w:rPr>
            </w:pPr>
            <w:r w:rsidRPr="00B93EE1">
              <w:rPr>
                <w:rFonts w:cs="Calibri"/>
                <w:color w:val="000000"/>
                <w:sz w:val="15"/>
                <w:szCs w:val="15"/>
              </w:rPr>
              <w:t>693</w:t>
            </w:r>
          </w:p>
        </w:tc>
        <w:tc>
          <w:tcPr>
            <w:tcW w:w="0" w:type="dxa"/>
            <w:noWrap/>
            <w:vAlign w:val="bottom"/>
            <w:hideMark/>
          </w:tcPr>
          <w:p w14:paraId="1B0BE5A2" w14:textId="77777777" w:rsidR="00120717" w:rsidRPr="00B93EE1" w:rsidRDefault="00120717" w:rsidP="003A18AB">
            <w:pPr>
              <w:ind w:left="113"/>
              <w:jc w:val="right"/>
              <w:rPr>
                <w:sz w:val="15"/>
                <w:szCs w:val="15"/>
              </w:rPr>
            </w:pPr>
            <w:r w:rsidRPr="00B93EE1">
              <w:rPr>
                <w:rFonts w:cs="Calibri"/>
                <w:color w:val="000000"/>
                <w:sz w:val="15"/>
                <w:szCs w:val="15"/>
              </w:rPr>
              <w:t>655</w:t>
            </w:r>
          </w:p>
        </w:tc>
        <w:tc>
          <w:tcPr>
            <w:tcW w:w="0" w:type="dxa"/>
            <w:noWrap/>
            <w:vAlign w:val="bottom"/>
            <w:hideMark/>
          </w:tcPr>
          <w:p w14:paraId="32754AA6" w14:textId="77777777" w:rsidR="00120717" w:rsidRPr="00B93EE1" w:rsidRDefault="00120717" w:rsidP="003A18AB">
            <w:pPr>
              <w:ind w:left="113"/>
              <w:jc w:val="right"/>
              <w:rPr>
                <w:sz w:val="15"/>
                <w:szCs w:val="15"/>
              </w:rPr>
            </w:pPr>
            <w:r w:rsidRPr="00B93EE1">
              <w:rPr>
                <w:rFonts w:cs="Calibri"/>
                <w:color w:val="000000"/>
                <w:sz w:val="15"/>
                <w:szCs w:val="15"/>
              </w:rPr>
              <w:t>716</w:t>
            </w:r>
          </w:p>
        </w:tc>
        <w:tc>
          <w:tcPr>
            <w:tcW w:w="0" w:type="dxa"/>
            <w:noWrap/>
            <w:vAlign w:val="bottom"/>
            <w:hideMark/>
          </w:tcPr>
          <w:p w14:paraId="58BD9121" w14:textId="77777777" w:rsidR="00120717" w:rsidRPr="00B93EE1" w:rsidRDefault="00120717" w:rsidP="003A18AB">
            <w:pPr>
              <w:ind w:left="113"/>
              <w:jc w:val="right"/>
              <w:rPr>
                <w:sz w:val="15"/>
                <w:szCs w:val="15"/>
              </w:rPr>
            </w:pPr>
            <w:r w:rsidRPr="00B93EE1">
              <w:rPr>
                <w:rFonts w:cs="Calibri"/>
                <w:color w:val="000000"/>
                <w:sz w:val="15"/>
                <w:szCs w:val="15"/>
              </w:rPr>
              <w:t>676</w:t>
            </w:r>
          </w:p>
        </w:tc>
        <w:tc>
          <w:tcPr>
            <w:tcW w:w="0" w:type="dxa"/>
            <w:noWrap/>
            <w:vAlign w:val="bottom"/>
            <w:hideMark/>
          </w:tcPr>
          <w:p w14:paraId="7B757C1F" w14:textId="77777777" w:rsidR="00120717" w:rsidRPr="00B93EE1" w:rsidRDefault="00120717" w:rsidP="003A18AB">
            <w:pPr>
              <w:ind w:left="113"/>
              <w:jc w:val="right"/>
              <w:rPr>
                <w:sz w:val="15"/>
                <w:szCs w:val="15"/>
              </w:rPr>
            </w:pPr>
            <w:r w:rsidRPr="00B93EE1">
              <w:rPr>
                <w:rFonts w:cs="Calibri"/>
                <w:color w:val="000000"/>
                <w:sz w:val="15"/>
                <w:szCs w:val="15"/>
              </w:rPr>
              <w:t>676</w:t>
            </w:r>
          </w:p>
        </w:tc>
        <w:tc>
          <w:tcPr>
            <w:tcW w:w="0" w:type="dxa"/>
            <w:noWrap/>
            <w:vAlign w:val="bottom"/>
            <w:hideMark/>
          </w:tcPr>
          <w:p w14:paraId="6527A8FF" w14:textId="77777777" w:rsidR="00120717" w:rsidRPr="00B93EE1" w:rsidRDefault="00120717" w:rsidP="003A18AB">
            <w:pPr>
              <w:ind w:left="113"/>
              <w:jc w:val="right"/>
              <w:rPr>
                <w:sz w:val="15"/>
                <w:szCs w:val="15"/>
              </w:rPr>
            </w:pPr>
            <w:r w:rsidRPr="00B93EE1">
              <w:rPr>
                <w:rFonts w:cs="Calibri"/>
                <w:color w:val="000000"/>
                <w:sz w:val="15"/>
                <w:szCs w:val="15"/>
              </w:rPr>
              <w:t>662</w:t>
            </w:r>
          </w:p>
        </w:tc>
      </w:tr>
      <w:tr w:rsidR="00120717" w:rsidRPr="00B93EE1" w14:paraId="38F02DA8" w14:textId="77777777" w:rsidTr="005F50EE">
        <w:trPr>
          <w:cnfStyle w:val="000000010000" w:firstRow="0" w:lastRow="0" w:firstColumn="0" w:lastColumn="0" w:oddVBand="0" w:evenVBand="0" w:oddHBand="0" w:evenHBand="1" w:firstRowFirstColumn="0" w:firstRowLastColumn="0" w:lastRowFirstColumn="0" w:lastRowLastColumn="0"/>
          <w:trHeight w:val="238"/>
        </w:trPr>
        <w:tc>
          <w:tcPr>
            <w:tcW w:w="0" w:type="dxa"/>
            <w:noWrap/>
            <w:vAlign w:val="center"/>
            <w:hideMark/>
          </w:tcPr>
          <w:p w14:paraId="1DBDC068" w14:textId="77777777" w:rsidR="00120717" w:rsidRPr="00B93EE1" w:rsidRDefault="00120717" w:rsidP="003A18AB">
            <w:pPr>
              <w:jc w:val="left"/>
              <w:rPr>
                <w:sz w:val="15"/>
                <w:szCs w:val="15"/>
              </w:rPr>
            </w:pPr>
            <w:r w:rsidRPr="00B93EE1">
              <w:rPr>
                <w:sz w:val="15"/>
                <w:szCs w:val="15"/>
              </w:rPr>
              <w:lastRenderedPageBreak/>
              <w:t>Petroleum and coal product manufacturing</w:t>
            </w:r>
          </w:p>
        </w:tc>
        <w:tc>
          <w:tcPr>
            <w:tcW w:w="0" w:type="dxa"/>
            <w:noWrap/>
            <w:vAlign w:val="bottom"/>
            <w:hideMark/>
          </w:tcPr>
          <w:p w14:paraId="138B17CC" w14:textId="77777777" w:rsidR="00120717" w:rsidRPr="00B93EE1" w:rsidRDefault="00120717" w:rsidP="003A18AB">
            <w:pPr>
              <w:ind w:left="113"/>
              <w:jc w:val="right"/>
              <w:rPr>
                <w:sz w:val="15"/>
                <w:szCs w:val="15"/>
              </w:rPr>
            </w:pPr>
            <w:r w:rsidRPr="00B93EE1">
              <w:rPr>
                <w:rFonts w:cs="Calibri"/>
                <w:color w:val="000000"/>
                <w:sz w:val="15"/>
                <w:szCs w:val="15"/>
              </w:rPr>
              <w:t>2,198</w:t>
            </w:r>
          </w:p>
        </w:tc>
        <w:tc>
          <w:tcPr>
            <w:tcW w:w="0" w:type="dxa"/>
            <w:noWrap/>
            <w:vAlign w:val="bottom"/>
            <w:hideMark/>
          </w:tcPr>
          <w:p w14:paraId="5A1CA18F" w14:textId="77777777" w:rsidR="00120717" w:rsidRPr="00B93EE1" w:rsidRDefault="00120717" w:rsidP="003A18AB">
            <w:pPr>
              <w:ind w:left="113"/>
              <w:jc w:val="right"/>
              <w:rPr>
                <w:sz w:val="15"/>
                <w:szCs w:val="15"/>
              </w:rPr>
            </w:pPr>
            <w:r w:rsidRPr="00B93EE1">
              <w:rPr>
                <w:rFonts w:cs="Calibri"/>
                <w:color w:val="000000"/>
                <w:sz w:val="15"/>
                <w:szCs w:val="15"/>
              </w:rPr>
              <w:t>2,670</w:t>
            </w:r>
          </w:p>
        </w:tc>
        <w:tc>
          <w:tcPr>
            <w:tcW w:w="0" w:type="dxa"/>
            <w:noWrap/>
            <w:vAlign w:val="bottom"/>
            <w:hideMark/>
          </w:tcPr>
          <w:p w14:paraId="176ECA7C" w14:textId="77777777" w:rsidR="00120717" w:rsidRPr="00B93EE1" w:rsidRDefault="00120717" w:rsidP="003A18AB">
            <w:pPr>
              <w:ind w:left="113"/>
              <w:jc w:val="right"/>
              <w:rPr>
                <w:sz w:val="15"/>
                <w:szCs w:val="15"/>
              </w:rPr>
            </w:pPr>
            <w:r w:rsidRPr="00B93EE1">
              <w:rPr>
                <w:rFonts w:cs="Calibri"/>
                <w:color w:val="000000"/>
                <w:sz w:val="15"/>
                <w:szCs w:val="15"/>
              </w:rPr>
              <w:t>2,332</w:t>
            </w:r>
          </w:p>
        </w:tc>
        <w:tc>
          <w:tcPr>
            <w:tcW w:w="0" w:type="dxa"/>
            <w:noWrap/>
            <w:vAlign w:val="bottom"/>
            <w:hideMark/>
          </w:tcPr>
          <w:p w14:paraId="105AC13B" w14:textId="77777777" w:rsidR="00120717" w:rsidRPr="00B93EE1" w:rsidRDefault="00120717" w:rsidP="003A18AB">
            <w:pPr>
              <w:ind w:left="113"/>
              <w:jc w:val="right"/>
              <w:rPr>
                <w:sz w:val="15"/>
                <w:szCs w:val="15"/>
              </w:rPr>
            </w:pPr>
            <w:r w:rsidRPr="00B93EE1">
              <w:rPr>
                <w:rFonts w:cs="Calibri"/>
                <w:color w:val="000000"/>
                <w:sz w:val="15"/>
                <w:szCs w:val="15"/>
              </w:rPr>
              <w:t>2,473</w:t>
            </w:r>
          </w:p>
        </w:tc>
        <w:tc>
          <w:tcPr>
            <w:tcW w:w="0" w:type="dxa"/>
            <w:noWrap/>
            <w:vAlign w:val="bottom"/>
            <w:hideMark/>
          </w:tcPr>
          <w:p w14:paraId="04B3A12B" w14:textId="77777777" w:rsidR="00120717" w:rsidRPr="00B93EE1" w:rsidRDefault="00120717" w:rsidP="003A18AB">
            <w:pPr>
              <w:ind w:left="113"/>
              <w:jc w:val="right"/>
              <w:rPr>
                <w:sz w:val="15"/>
                <w:szCs w:val="15"/>
              </w:rPr>
            </w:pPr>
            <w:r w:rsidRPr="00B93EE1">
              <w:rPr>
                <w:rFonts w:cs="Calibri"/>
                <w:color w:val="000000"/>
                <w:sz w:val="15"/>
                <w:szCs w:val="15"/>
              </w:rPr>
              <w:t>2,235</w:t>
            </w:r>
          </w:p>
        </w:tc>
        <w:tc>
          <w:tcPr>
            <w:tcW w:w="0" w:type="dxa"/>
            <w:noWrap/>
            <w:vAlign w:val="bottom"/>
            <w:hideMark/>
          </w:tcPr>
          <w:p w14:paraId="7A3AB2F4" w14:textId="77777777" w:rsidR="00120717" w:rsidRPr="00B93EE1" w:rsidRDefault="00120717" w:rsidP="003A18AB">
            <w:pPr>
              <w:ind w:left="113"/>
              <w:jc w:val="right"/>
              <w:rPr>
                <w:sz w:val="15"/>
                <w:szCs w:val="15"/>
              </w:rPr>
            </w:pPr>
            <w:r w:rsidRPr="00B93EE1">
              <w:rPr>
                <w:rFonts w:cs="Calibri"/>
                <w:color w:val="000000"/>
                <w:sz w:val="15"/>
                <w:szCs w:val="15"/>
              </w:rPr>
              <w:t>2,666</w:t>
            </w:r>
          </w:p>
        </w:tc>
      </w:tr>
      <w:tr w:rsidR="00120717" w:rsidRPr="00B93EE1" w14:paraId="27DC3C97" w14:textId="77777777" w:rsidTr="005F50EE">
        <w:trPr>
          <w:trHeight w:val="238"/>
        </w:trPr>
        <w:tc>
          <w:tcPr>
            <w:tcW w:w="0" w:type="dxa"/>
            <w:noWrap/>
            <w:vAlign w:val="center"/>
            <w:hideMark/>
          </w:tcPr>
          <w:p w14:paraId="711458F9" w14:textId="77777777" w:rsidR="00120717" w:rsidRPr="00B93EE1" w:rsidRDefault="00120717" w:rsidP="003A18AB">
            <w:pPr>
              <w:jc w:val="left"/>
              <w:rPr>
                <w:sz w:val="15"/>
                <w:szCs w:val="15"/>
              </w:rPr>
            </w:pPr>
            <w:r w:rsidRPr="00B93EE1">
              <w:rPr>
                <w:sz w:val="15"/>
                <w:szCs w:val="15"/>
              </w:rPr>
              <w:t>Basic chemical and chemical product manufacturing</w:t>
            </w:r>
          </w:p>
        </w:tc>
        <w:tc>
          <w:tcPr>
            <w:tcW w:w="0" w:type="dxa"/>
            <w:noWrap/>
            <w:vAlign w:val="bottom"/>
            <w:hideMark/>
          </w:tcPr>
          <w:p w14:paraId="34A64B95" w14:textId="77777777" w:rsidR="00120717" w:rsidRPr="00B93EE1" w:rsidRDefault="00120717" w:rsidP="003A18AB">
            <w:pPr>
              <w:ind w:left="113"/>
              <w:jc w:val="right"/>
              <w:rPr>
                <w:sz w:val="15"/>
                <w:szCs w:val="15"/>
              </w:rPr>
            </w:pPr>
            <w:r w:rsidRPr="00B93EE1">
              <w:rPr>
                <w:rFonts w:cs="Calibri"/>
                <w:color w:val="000000"/>
                <w:sz w:val="15"/>
                <w:szCs w:val="15"/>
              </w:rPr>
              <w:t>1,181</w:t>
            </w:r>
          </w:p>
        </w:tc>
        <w:tc>
          <w:tcPr>
            <w:tcW w:w="0" w:type="dxa"/>
            <w:noWrap/>
            <w:vAlign w:val="bottom"/>
            <w:hideMark/>
          </w:tcPr>
          <w:p w14:paraId="6AAE682C" w14:textId="77777777" w:rsidR="00120717" w:rsidRPr="00B93EE1" w:rsidRDefault="00120717" w:rsidP="003A18AB">
            <w:pPr>
              <w:ind w:left="113"/>
              <w:jc w:val="right"/>
              <w:rPr>
                <w:sz w:val="15"/>
                <w:szCs w:val="15"/>
              </w:rPr>
            </w:pPr>
            <w:r w:rsidRPr="00B93EE1">
              <w:rPr>
                <w:rFonts w:cs="Calibri"/>
                <w:color w:val="000000"/>
                <w:sz w:val="15"/>
                <w:szCs w:val="15"/>
              </w:rPr>
              <w:t>1,319</w:t>
            </w:r>
          </w:p>
        </w:tc>
        <w:tc>
          <w:tcPr>
            <w:tcW w:w="0" w:type="dxa"/>
            <w:noWrap/>
            <w:vAlign w:val="bottom"/>
            <w:hideMark/>
          </w:tcPr>
          <w:p w14:paraId="3FDF400B" w14:textId="77777777" w:rsidR="00120717" w:rsidRPr="00B93EE1" w:rsidRDefault="00120717" w:rsidP="003A18AB">
            <w:pPr>
              <w:ind w:left="113"/>
              <w:jc w:val="right"/>
              <w:rPr>
                <w:sz w:val="15"/>
                <w:szCs w:val="15"/>
              </w:rPr>
            </w:pPr>
            <w:r w:rsidRPr="00B93EE1">
              <w:rPr>
                <w:rFonts w:cs="Calibri"/>
                <w:color w:val="000000"/>
                <w:sz w:val="15"/>
                <w:szCs w:val="15"/>
              </w:rPr>
              <w:t>1,467</w:t>
            </w:r>
          </w:p>
        </w:tc>
        <w:tc>
          <w:tcPr>
            <w:tcW w:w="0" w:type="dxa"/>
            <w:noWrap/>
            <w:vAlign w:val="bottom"/>
            <w:hideMark/>
          </w:tcPr>
          <w:p w14:paraId="72A8BA96" w14:textId="77777777" w:rsidR="00120717" w:rsidRPr="00B93EE1" w:rsidRDefault="00120717" w:rsidP="003A18AB">
            <w:pPr>
              <w:ind w:left="113"/>
              <w:jc w:val="right"/>
              <w:rPr>
                <w:sz w:val="15"/>
                <w:szCs w:val="15"/>
              </w:rPr>
            </w:pPr>
            <w:r w:rsidRPr="00B93EE1">
              <w:rPr>
                <w:rFonts w:cs="Calibri"/>
                <w:color w:val="000000"/>
                <w:sz w:val="15"/>
                <w:szCs w:val="15"/>
              </w:rPr>
              <w:t>1,477</w:t>
            </w:r>
          </w:p>
        </w:tc>
        <w:tc>
          <w:tcPr>
            <w:tcW w:w="0" w:type="dxa"/>
            <w:noWrap/>
            <w:vAlign w:val="bottom"/>
            <w:hideMark/>
          </w:tcPr>
          <w:p w14:paraId="4E0B0F77" w14:textId="77777777" w:rsidR="00120717" w:rsidRPr="00B93EE1" w:rsidRDefault="00120717" w:rsidP="003A18AB">
            <w:pPr>
              <w:ind w:left="113"/>
              <w:jc w:val="right"/>
              <w:rPr>
                <w:sz w:val="15"/>
                <w:szCs w:val="15"/>
              </w:rPr>
            </w:pPr>
            <w:r w:rsidRPr="00B93EE1">
              <w:rPr>
                <w:rFonts w:cs="Calibri"/>
                <w:color w:val="000000"/>
                <w:sz w:val="15"/>
                <w:szCs w:val="15"/>
              </w:rPr>
              <w:t>1,467</w:t>
            </w:r>
          </w:p>
        </w:tc>
        <w:tc>
          <w:tcPr>
            <w:tcW w:w="0" w:type="dxa"/>
            <w:noWrap/>
            <w:vAlign w:val="bottom"/>
            <w:hideMark/>
          </w:tcPr>
          <w:p w14:paraId="195D358E" w14:textId="77777777" w:rsidR="00120717" w:rsidRPr="00B93EE1" w:rsidRDefault="00120717" w:rsidP="003A18AB">
            <w:pPr>
              <w:ind w:left="113"/>
              <w:jc w:val="right"/>
              <w:rPr>
                <w:sz w:val="15"/>
                <w:szCs w:val="15"/>
              </w:rPr>
            </w:pPr>
            <w:r w:rsidRPr="00B93EE1">
              <w:rPr>
                <w:rFonts w:cs="Calibri"/>
                <w:color w:val="000000"/>
                <w:sz w:val="15"/>
                <w:szCs w:val="15"/>
              </w:rPr>
              <w:t>1,417</w:t>
            </w:r>
          </w:p>
        </w:tc>
      </w:tr>
      <w:tr w:rsidR="00120717" w:rsidRPr="00B93EE1" w14:paraId="3C9ABCF6" w14:textId="77777777" w:rsidTr="005F50EE">
        <w:trPr>
          <w:cnfStyle w:val="000000010000" w:firstRow="0" w:lastRow="0" w:firstColumn="0" w:lastColumn="0" w:oddVBand="0" w:evenVBand="0" w:oddHBand="0" w:evenHBand="1" w:firstRowFirstColumn="0" w:firstRowLastColumn="0" w:lastRowFirstColumn="0" w:lastRowLastColumn="0"/>
          <w:trHeight w:val="238"/>
        </w:trPr>
        <w:tc>
          <w:tcPr>
            <w:tcW w:w="0" w:type="dxa"/>
            <w:noWrap/>
            <w:vAlign w:val="center"/>
            <w:hideMark/>
          </w:tcPr>
          <w:p w14:paraId="470D2294" w14:textId="77777777" w:rsidR="00120717" w:rsidRPr="00B93EE1" w:rsidRDefault="00120717" w:rsidP="003A18AB">
            <w:pPr>
              <w:jc w:val="left"/>
              <w:rPr>
                <w:sz w:val="15"/>
                <w:szCs w:val="15"/>
              </w:rPr>
            </w:pPr>
            <w:r w:rsidRPr="00B93EE1">
              <w:rPr>
                <w:sz w:val="15"/>
                <w:szCs w:val="15"/>
              </w:rPr>
              <w:t>Polymer product and rubber product manufacturing</w:t>
            </w:r>
          </w:p>
        </w:tc>
        <w:tc>
          <w:tcPr>
            <w:tcW w:w="0" w:type="dxa"/>
            <w:noWrap/>
            <w:vAlign w:val="bottom"/>
            <w:hideMark/>
          </w:tcPr>
          <w:p w14:paraId="5DF46AAB" w14:textId="77777777" w:rsidR="00120717" w:rsidRPr="00B93EE1" w:rsidRDefault="00120717" w:rsidP="003A18AB">
            <w:pPr>
              <w:ind w:left="113"/>
              <w:jc w:val="right"/>
              <w:rPr>
                <w:sz w:val="15"/>
                <w:szCs w:val="15"/>
              </w:rPr>
            </w:pPr>
            <w:r w:rsidRPr="00B93EE1">
              <w:rPr>
                <w:rFonts w:cs="Calibri"/>
                <w:color w:val="000000"/>
                <w:sz w:val="15"/>
                <w:szCs w:val="15"/>
              </w:rPr>
              <w:t>1,296</w:t>
            </w:r>
          </w:p>
        </w:tc>
        <w:tc>
          <w:tcPr>
            <w:tcW w:w="0" w:type="dxa"/>
            <w:noWrap/>
            <w:vAlign w:val="bottom"/>
            <w:hideMark/>
          </w:tcPr>
          <w:p w14:paraId="04AD1956" w14:textId="77777777" w:rsidR="00120717" w:rsidRPr="00B93EE1" w:rsidRDefault="00120717" w:rsidP="003A18AB">
            <w:pPr>
              <w:ind w:left="113"/>
              <w:jc w:val="right"/>
              <w:rPr>
                <w:sz w:val="15"/>
                <w:szCs w:val="15"/>
              </w:rPr>
            </w:pPr>
            <w:r w:rsidRPr="00B93EE1">
              <w:rPr>
                <w:rFonts w:cs="Calibri"/>
                <w:color w:val="000000"/>
                <w:sz w:val="15"/>
                <w:szCs w:val="15"/>
              </w:rPr>
              <w:t>1,303</w:t>
            </w:r>
          </w:p>
        </w:tc>
        <w:tc>
          <w:tcPr>
            <w:tcW w:w="0" w:type="dxa"/>
            <w:noWrap/>
            <w:vAlign w:val="bottom"/>
            <w:hideMark/>
          </w:tcPr>
          <w:p w14:paraId="7FB1AB57" w14:textId="77777777" w:rsidR="00120717" w:rsidRPr="00B93EE1" w:rsidRDefault="00120717" w:rsidP="003A18AB">
            <w:pPr>
              <w:ind w:left="113"/>
              <w:jc w:val="right"/>
              <w:rPr>
                <w:sz w:val="15"/>
                <w:szCs w:val="15"/>
              </w:rPr>
            </w:pPr>
            <w:r w:rsidRPr="00B93EE1">
              <w:rPr>
                <w:rFonts w:cs="Calibri"/>
                <w:color w:val="000000"/>
                <w:sz w:val="15"/>
                <w:szCs w:val="15"/>
              </w:rPr>
              <w:t>1,345</w:t>
            </w:r>
          </w:p>
        </w:tc>
        <w:tc>
          <w:tcPr>
            <w:tcW w:w="0" w:type="dxa"/>
            <w:noWrap/>
            <w:vAlign w:val="bottom"/>
            <w:hideMark/>
          </w:tcPr>
          <w:p w14:paraId="5E072429" w14:textId="77777777" w:rsidR="00120717" w:rsidRPr="00B93EE1" w:rsidRDefault="00120717" w:rsidP="003A18AB">
            <w:pPr>
              <w:ind w:left="113"/>
              <w:jc w:val="right"/>
              <w:rPr>
                <w:sz w:val="15"/>
                <w:szCs w:val="15"/>
              </w:rPr>
            </w:pPr>
            <w:r w:rsidRPr="00B93EE1">
              <w:rPr>
                <w:rFonts w:cs="Calibri"/>
                <w:color w:val="000000"/>
                <w:sz w:val="15"/>
                <w:szCs w:val="15"/>
              </w:rPr>
              <w:t>1,402</w:t>
            </w:r>
          </w:p>
        </w:tc>
        <w:tc>
          <w:tcPr>
            <w:tcW w:w="0" w:type="dxa"/>
            <w:noWrap/>
            <w:vAlign w:val="bottom"/>
            <w:hideMark/>
          </w:tcPr>
          <w:p w14:paraId="530326F7" w14:textId="77777777" w:rsidR="00120717" w:rsidRPr="00B93EE1" w:rsidRDefault="00120717" w:rsidP="003A18AB">
            <w:pPr>
              <w:ind w:left="113"/>
              <w:jc w:val="right"/>
              <w:rPr>
                <w:sz w:val="15"/>
                <w:szCs w:val="15"/>
              </w:rPr>
            </w:pPr>
            <w:r w:rsidRPr="00B93EE1">
              <w:rPr>
                <w:rFonts w:cs="Calibri"/>
                <w:color w:val="000000"/>
                <w:sz w:val="15"/>
                <w:szCs w:val="15"/>
              </w:rPr>
              <w:t>1,508</w:t>
            </w:r>
          </w:p>
        </w:tc>
        <w:tc>
          <w:tcPr>
            <w:tcW w:w="0" w:type="dxa"/>
            <w:noWrap/>
            <w:vAlign w:val="bottom"/>
            <w:hideMark/>
          </w:tcPr>
          <w:p w14:paraId="3AFAA50D" w14:textId="77777777" w:rsidR="00120717" w:rsidRPr="00B93EE1" w:rsidRDefault="00120717" w:rsidP="003A18AB">
            <w:pPr>
              <w:ind w:left="113"/>
              <w:jc w:val="right"/>
              <w:rPr>
                <w:sz w:val="15"/>
                <w:szCs w:val="15"/>
              </w:rPr>
            </w:pPr>
            <w:r w:rsidRPr="00B93EE1">
              <w:rPr>
                <w:rFonts w:cs="Calibri"/>
                <w:color w:val="000000"/>
                <w:sz w:val="15"/>
                <w:szCs w:val="15"/>
              </w:rPr>
              <w:t>1,528</w:t>
            </w:r>
          </w:p>
        </w:tc>
      </w:tr>
      <w:tr w:rsidR="00120717" w:rsidRPr="00B93EE1" w14:paraId="2F764D9B" w14:textId="77777777" w:rsidTr="005F50EE">
        <w:trPr>
          <w:trHeight w:val="238"/>
        </w:trPr>
        <w:tc>
          <w:tcPr>
            <w:tcW w:w="0" w:type="dxa"/>
            <w:noWrap/>
            <w:vAlign w:val="center"/>
            <w:hideMark/>
          </w:tcPr>
          <w:p w14:paraId="17501006" w14:textId="77777777" w:rsidR="00120717" w:rsidRPr="00B93EE1" w:rsidRDefault="00120717" w:rsidP="003A18AB">
            <w:pPr>
              <w:jc w:val="left"/>
              <w:rPr>
                <w:sz w:val="15"/>
                <w:szCs w:val="15"/>
              </w:rPr>
            </w:pPr>
            <w:r w:rsidRPr="00B93EE1">
              <w:rPr>
                <w:sz w:val="15"/>
                <w:szCs w:val="15"/>
              </w:rPr>
              <w:t>Non-metallic mineral product manufacturing</w:t>
            </w:r>
          </w:p>
        </w:tc>
        <w:tc>
          <w:tcPr>
            <w:tcW w:w="0" w:type="dxa"/>
            <w:noWrap/>
            <w:vAlign w:val="bottom"/>
            <w:hideMark/>
          </w:tcPr>
          <w:p w14:paraId="758363CF" w14:textId="77777777" w:rsidR="00120717" w:rsidRPr="00B93EE1" w:rsidRDefault="00120717" w:rsidP="003A18AB">
            <w:pPr>
              <w:ind w:left="113"/>
              <w:jc w:val="right"/>
              <w:rPr>
                <w:sz w:val="15"/>
                <w:szCs w:val="15"/>
              </w:rPr>
            </w:pPr>
            <w:r w:rsidRPr="00B93EE1">
              <w:rPr>
                <w:rFonts w:cs="Calibri"/>
                <w:color w:val="000000"/>
                <w:sz w:val="15"/>
                <w:szCs w:val="15"/>
              </w:rPr>
              <w:t>1,095</w:t>
            </w:r>
          </w:p>
        </w:tc>
        <w:tc>
          <w:tcPr>
            <w:tcW w:w="0" w:type="dxa"/>
            <w:noWrap/>
            <w:vAlign w:val="bottom"/>
            <w:hideMark/>
          </w:tcPr>
          <w:p w14:paraId="4C98EDCA" w14:textId="77777777" w:rsidR="00120717" w:rsidRPr="00B93EE1" w:rsidRDefault="00120717" w:rsidP="003A18AB">
            <w:pPr>
              <w:ind w:left="113"/>
              <w:jc w:val="right"/>
              <w:rPr>
                <w:sz w:val="15"/>
                <w:szCs w:val="15"/>
              </w:rPr>
            </w:pPr>
            <w:r w:rsidRPr="00B93EE1">
              <w:rPr>
                <w:rFonts w:cs="Calibri"/>
                <w:color w:val="000000"/>
                <w:sz w:val="15"/>
                <w:szCs w:val="15"/>
              </w:rPr>
              <w:t>1,115</w:t>
            </w:r>
          </w:p>
        </w:tc>
        <w:tc>
          <w:tcPr>
            <w:tcW w:w="0" w:type="dxa"/>
            <w:noWrap/>
            <w:vAlign w:val="bottom"/>
            <w:hideMark/>
          </w:tcPr>
          <w:p w14:paraId="21E7464F" w14:textId="77777777" w:rsidR="00120717" w:rsidRPr="00B93EE1" w:rsidRDefault="00120717" w:rsidP="003A18AB">
            <w:pPr>
              <w:ind w:left="113"/>
              <w:jc w:val="right"/>
              <w:rPr>
                <w:sz w:val="15"/>
                <w:szCs w:val="15"/>
              </w:rPr>
            </w:pPr>
            <w:r w:rsidRPr="00B93EE1">
              <w:rPr>
                <w:rFonts w:cs="Calibri"/>
                <w:color w:val="000000"/>
                <w:sz w:val="15"/>
                <w:szCs w:val="15"/>
              </w:rPr>
              <w:t>1,139</w:t>
            </w:r>
          </w:p>
        </w:tc>
        <w:tc>
          <w:tcPr>
            <w:tcW w:w="0" w:type="dxa"/>
            <w:noWrap/>
            <w:vAlign w:val="bottom"/>
            <w:hideMark/>
          </w:tcPr>
          <w:p w14:paraId="40811C11" w14:textId="77777777" w:rsidR="00120717" w:rsidRPr="00B93EE1" w:rsidRDefault="00120717" w:rsidP="003A18AB">
            <w:pPr>
              <w:ind w:left="113"/>
              <w:jc w:val="right"/>
              <w:rPr>
                <w:sz w:val="15"/>
                <w:szCs w:val="15"/>
              </w:rPr>
            </w:pPr>
            <w:r w:rsidRPr="00B93EE1">
              <w:rPr>
                <w:rFonts w:cs="Calibri"/>
                <w:color w:val="000000"/>
                <w:sz w:val="15"/>
                <w:szCs w:val="15"/>
              </w:rPr>
              <w:t>1,178</w:t>
            </w:r>
          </w:p>
        </w:tc>
        <w:tc>
          <w:tcPr>
            <w:tcW w:w="0" w:type="dxa"/>
            <w:noWrap/>
            <w:vAlign w:val="bottom"/>
            <w:hideMark/>
          </w:tcPr>
          <w:p w14:paraId="341E8A13" w14:textId="77777777" w:rsidR="00120717" w:rsidRPr="00B93EE1" w:rsidRDefault="00120717" w:rsidP="003A18AB">
            <w:pPr>
              <w:ind w:left="113"/>
              <w:jc w:val="right"/>
              <w:rPr>
                <w:sz w:val="15"/>
                <w:szCs w:val="15"/>
              </w:rPr>
            </w:pPr>
            <w:r w:rsidRPr="00B93EE1">
              <w:rPr>
                <w:rFonts w:cs="Calibri"/>
                <w:color w:val="000000"/>
                <w:sz w:val="15"/>
                <w:szCs w:val="15"/>
              </w:rPr>
              <w:t>1,208</w:t>
            </w:r>
          </w:p>
        </w:tc>
        <w:tc>
          <w:tcPr>
            <w:tcW w:w="0" w:type="dxa"/>
            <w:noWrap/>
            <w:vAlign w:val="bottom"/>
            <w:hideMark/>
          </w:tcPr>
          <w:p w14:paraId="12A3C2D6" w14:textId="77777777" w:rsidR="00120717" w:rsidRPr="00B93EE1" w:rsidRDefault="00120717" w:rsidP="003A18AB">
            <w:pPr>
              <w:ind w:left="113"/>
              <w:jc w:val="right"/>
              <w:rPr>
                <w:sz w:val="15"/>
                <w:szCs w:val="15"/>
              </w:rPr>
            </w:pPr>
            <w:r w:rsidRPr="00B93EE1">
              <w:rPr>
                <w:rFonts w:cs="Calibri"/>
                <w:color w:val="000000"/>
                <w:sz w:val="15"/>
                <w:szCs w:val="15"/>
              </w:rPr>
              <w:t>1,145</w:t>
            </w:r>
          </w:p>
        </w:tc>
      </w:tr>
      <w:tr w:rsidR="00120717" w:rsidRPr="00B93EE1" w14:paraId="14E41FD4" w14:textId="77777777" w:rsidTr="005F50EE">
        <w:trPr>
          <w:cnfStyle w:val="000000010000" w:firstRow="0" w:lastRow="0" w:firstColumn="0" w:lastColumn="0" w:oddVBand="0" w:evenVBand="0" w:oddHBand="0" w:evenHBand="1" w:firstRowFirstColumn="0" w:firstRowLastColumn="0" w:lastRowFirstColumn="0" w:lastRowLastColumn="0"/>
          <w:trHeight w:val="238"/>
        </w:trPr>
        <w:tc>
          <w:tcPr>
            <w:tcW w:w="0" w:type="dxa"/>
            <w:noWrap/>
            <w:vAlign w:val="center"/>
            <w:hideMark/>
          </w:tcPr>
          <w:p w14:paraId="688C002F" w14:textId="77777777" w:rsidR="00120717" w:rsidRPr="00B93EE1" w:rsidRDefault="00120717" w:rsidP="003A18AB">
            <w:pPr>
              <w:jc w:val="left"/>
              <w:rPr>
                <w:sz w:val="15"/>
                <w:szCs w:val="15"/>
              </w:rPr>
            </w:pPr>
            <w:r w:rsidRPr="00B93EE1">
              <w:rPr>
                <w:sz w:val="15"/>
                <w:szCs w:val="15"/>
              </w:rPr>
              <w:t>Primary metal and metal product manufacturing</w:t>
            </w:r>
          </w:p>
        </w:tc>
        <w:tc>
          <w:tcPr>
            <w:tcW w:w="0" w:type="dxa"/>
            <w:noWrap/>
            <w:vAlign w:val="bottom"/>
            <w:hideMark/>
          </w:tcPr>
          <w:p w14:paraId="5DEFF2D9" w14:textId="77777777" w:rsidR="00120717" w:rsidRPr="00B93EE1" w:rsidRDefault="00120717" w:rsidP="003A18AB">
            <w:pPr>
              <w:ind w:left="113"/>
              <w:jc w:val="right"/>
              <w:rPr>
                <w:sz w:val="15"/>
                <w:szCs w:val="15"/>
              </w:rPr>
            </w:pPr>
            <w:r w:rsidRPr="00B93EE1">
              <w:rPr>
                <w:rFonts w:cs="Calibri"/>
                <w:color w:val="000000"/>
                <w:sz w:val="15"/>
                <w:szCs w:val="15"/>
              </w:rPr>
              <w:t>723</w:t>
            </w:r>
          </w:p>
        </w:tc>
        <w:tc>
          <w:tcPr>
            <w:tcW w:w="0" w:type="dxa"/>
            <w:noWrap/>
            <w:vAlign w:val="bottom"/>
            <w:hideMark/>
          </w:tcPr>
          <w:p w14:paraId="59445EA0" w14:textId="77777777" w:rsidR="00120717" w:rsidRPr="00B93EE1" w:rsidRDefault="00120717" w:rsidP="003A18AB">
            <w:pPr>
              <w:ind w:left="113"/>
              <w:jc w:val="right"/>
              <w:rPr>
                <w:sz w:val="15"/>
                <w:szCs w:val="15"/>
              </w:rPr>
            </w:pPr>
            <w:r w:rsidRPr="00B93EE1">
              <w:rPr>
                <w:rFonts w:cs="Calibri"/>
                <w:color w:val="000000"/>
                <w:sz w:val="15"/>
                <w:szCs w:val="15"/>
              </w:rPr>
              <w:t>635</w:t>
            </w:r>
          </w:p>
        </w:tc>
        <w:tc>
          <w:tcPr>
            <w:tcW w:w="0" w:type="dxa"/>
            <w:noWrap/>
            <w:vAlign w:val="bottom"/>
            <w:hideMark/>
          </w:tcPr>
          <w:p w14:paraId="2EEEFA44" w14:textId="77777777" w:rsidR="00120717" w:rsidRPr="00B93EE1" w:rsidRDefault="00120717" w:rsidP="003A18AB">
            <w:pPr>
              <w:ind w:left="113"/>
              <w:jc w:val="right"/>
              <w:rPr>
                <w:sz w:val="15"/>
                <w:szCs w:val="15"/>
              </w:rPr>
            </w:pPr>
            <w:r w:rsidRPr="00B93EE1">
              <w:rPr>
                <w:rFonts w:cs="Calibri"/>
                <w:color w:val="000000"/>
                <w:sz w:val="15"/>
                <w:szCs w:val="15"/>
              </w:rPr>
              <w:t>766</w:t>
            </w:r>
          </w:p>
        </w:tc>
        <w:tc>
          <w:tcPr>
            <w:tcW w:w="0" w:type="dxa"/>
            <w:noWrap/>
            <w:vAlign w:val="bottom"/>
            <w:hideMark/>
          </w:tcPr>
          <w:p w14:paraId="2103C9E3" w14:textId="77777777" w:rsidR="00120717" w:rsidRPr="00B93EE1" w:rsidRDefault="00120717" w:rsidP="003A18AB">
            <w:pPr>
              <w:ind w:left="113"/>
              <w:jc w:val="right"/>
              <w:rPr>
                <w:sz w:val="15"/>
                <w:szCs w:val="15"/>
              </w:rPr>
            </w:pPr>
            <w:r w:rsidRPr="00B93EE1">
              <w:rPr>
                <w:rFonts w:cs="Calibri"/>
                <w:color w:val="000000"/>
                <w:sz w:val="15"/>
                <w:szCs w:val="15"/>
              </w:rPr>
              <w:t>859</w:t>
            </w:r>
          </w:p>
        </w:tc>
        <w:tc>
          <w:tcPr>
            <w:tcW w:w="0" w:type="dxa"/>
            <w:noWrap/>
            <w:vAlign w:val="bottom"/>
            <w:hideMark/>
          </w:tcPr>
          <w:p w14:paraId="2964D25F" w14:textId="77777777" w:rsidR="00120717" w:rsidRPr="00B93EE1" w:rsidRDefault="00120717" w:rsidP="003A18AB">
            <w:pPr>
              <w:ind w:left="113"/>
              <w:jc w:val="right"/>
              <w:rPr>
                <w:sz w:val="15"/>
                <w:szCs w:val="15"/>
              </w:rPr>
            </w:pPr>
            <w:r w:rsidRPr="00B93EE1">
              <w:rPr>
                <w:rFonts w:cs="Calibri"/>
                <w:color w:val="000000"/>
                <w:sz w:val="15"/>
                <w:szCs w:val="15"/>
              </w:rPr>
              <w:t>878</w:t>
            </w:r>
          </w:p>
        </w:tc>
        <w:tc>
          <w:tcPr>
            <w:tcW w:w="0" w:type="dxa"/>
            <w:noWrap/>
            <w:vAlign w:val="bottom"/>
            <w:hideMark/>
          </w:tcPr>
          <w:p w14:paraId="1BE7563D" w14:textId="77777777" w:rsidR="00120717" w:rsidRPr="00B93EE1" w:rsidRDefault="00120717" w:rsidP="003A18AB">
            <w:pPr>
              <w:ind w:left="113"/>
              <w:jc w:val="right"/>
              <w:rPr>
                <w:sz w:val="15"/>
                <w:szCs w:val="15"/>
              </w:rPr>
            </w:pPr>
            <w:r w:rsidRPr="00B93EE1">
              <w:rPr>
                <w:rFonts w:cs="Calibri"/>
                <w:color w:val="000000"/>
                <w:sz w:val="15"/>
                <w:szCs w:val="15"/>
              </w:rPr>
              <w:t>593</w:t>
            </w:r>
          </w:p>
        </w:tc>
      </w:tr>
      <w:tr w:rsidR="00120717" w:rsidRPr="00B93EE1" w14:paraId="37C2FC71" w14:textId="77777777" w:rsidTr="005F50EE">
        <w:trPr>
          <w:trHeight w:val="238"/>
        </w:trPr>
        <w:tc>
          <w:tcPr>
            <w:tcW w:w="0" w:type="dxa"/>
            <w:noWrap/>
            <w:vAlign w:val="center"/>
            <w:hideMark/>
          </w:tcPr>
          <w:p w14:paraId="0EA5CE4D" w14:textId="77777777" w:rsidR="00120717" w:rsidRPr="00B93EE1" w:rsidRDefault="00120717" w:rsidP="003A18AB">
            <w:pPr>
              <w:jc w:val="left"/>
              <w:rPr>
                <w:sz w:val="15"/>
                <w:szCs w:val="15"/>
              </w:rPr>
            </w:pPr>
            <w:r w:rsidRPr="00B93EE1">
              <w:rPr>
                <w:sz w:val="15"/>
                <w:szCs w:val="15"/>
              </w:rPr>
              <w:t>Fabricated metal product manufacturing</w:t>
            </w:r>
          </w:p>
        </w:tc>
        <w:tc>
          <w:tcPr>
            <w:tcW w:w="0" w:type="dxa"/>
            <w:noWrap/>
            <w:vAlign w:val="bottom"/>
            <w:hideMark/>
          </w:tcPr>
          <w:p w14:paraId="09E821FD" w14:textId="77777777" w:rsidR="00120717" w:rsidRPr="00B93EE1" w:rsidRDefault="00120717" w:rsidP="003A18AB">
            <w:pPr>
              <w:ind w:left="113"/>
              <w:jc w:val="right"/>
              <w:rPr>
                <w:sz w:val="15"/>
                <w:szCs w:val="15"/>
              </w:rPr>
            </w:pPr>
            <w:r w:rsidRPr="00B93EE1">
              <w:rPr>
                <w:rFonts w:cs="Calibri"/>
                <w:color w:val="000000"/>
                <w:sz w:val="15"/>
                <w:szCs w:val="15"/>
              </w:rPr>
              <w:t>1,973</w:t>
            </w:r>
          </w:p>
        </w:tc>
        <w:tc>
          <w:tcPr>
            <w:tcW w:w="0" w:type="dxa"/>
            <w:noWrap/>
            <w:vAlign w:val="bottom"/>
            <w:hideMark/>
          </w:tcPr>
          <w:p w14:paraId="296C9B5D" w14:textId="77777777" w:rsidR="00120717" w:rsidRPr="00B93EE1" w:rsidRDefault="00120717" w:rsidP="003A18AB">
            <w:pPr>
              <w:ind w:left="113"/>
              <w:jc w:val="right"/>
              <w:rPr>
                <w:sz w:val="15"/>
                <w:szCs w:val="15"/>
              </w:rPr>
            </w:pPr>
            <w:r w:rsidRPr="00B93EE1">
              <w:rPr>
                <w:rFonts w:cs="Calibri"/>
                <w:color w:val="000000"/>
                <w:sz w:val="15"/>
                <w:szCs w:val="15"/>
              </w:rPr>
              <w:t>2,121</w:t>
            </w:r>
          </w:p>
        </w:tc>
        <w:tc>
          <w:tcPr>
            <w:tcW w:w="0" w:type="dxa"/>
            <w:noWrap/>
            <w:vAlign w:val="bottom"/>
            <w:hideMark/>
          </w:tcPr>
          <w:p w14:paraId="4690F7F5" w14:textId="77777777" w:rsidR="00120717" w:rsidRPr="00B93EE1" w:rsidRDefault="00120717" w:rsidP="003A18AB">
            <w:pPr>
              <w:ind w:left="113"/>
              <w:jc w:val="right"/>
              <w:rPr>
                <w:sz w:val="15"/>
                <w:szCs w:val="15"/>
              </w:rPr>
            </w:pPr>
            <w:r w:rsidRPr="00B93EE1">
              <w:rPr>
                <w:rFonts w:cs="Calibri"/>
                <w:color w:val="000000"/>
                <w:sz w:val="15"/>
                <w:szCs w:val="15"/>
              </w:rPr>
              <w:t>2,231</w:t>
            </w:r>
          </w:p>
        </w:tc>
        <w:tc>
          <w:tcPr>
            <w:tcW w:w="0" w:type="dxa"/>
            <w:noWrap/>
            <w:vAlign w:val="bottom"/>
            <w:hideMark/>
          </w:tcPr>
          <w:p w14:paraId="42853C2F" w14:textId="77777777" w:rsidR="00120717" w:rsidRPr="00B93EE1" w:rsidRDefault="00120717" w:rsidP="003A18AB">
            <w:pPr>
              <w:ind w:left="113"/>
              <w:jc w:val="right"/>
              <w:rPr>
                <w:sz w:val="15"/>
                <w:szCs w:val="15"/>
              </w:rPr>
            </w:pPr>
            <w:r w:rsidRPr="00B93EE1">
              <w:rPr>
                <w:rFonts w:cs="Calibri"/>
                <w:color w:val="000000"/>
                <w:sz w:val="15"/>
                <w:szCs w:val="15"/>
              </w:rPr>
              <w:t>2,258</w:t>
            </w:r>
          </w:p>
        </w:tc>
        <w:tc>
          <w:tcPr>
            <w:tcW w:w="0" w:type="dxa"/>
            <w:noWrap/>
            <w:vAlign w:val="bottom"/>
            <w:hideMark/>
          </w:tcPr>
          <w:p w14:paraId="0C62AA2C" w14:textId="77777777" w:rsidR="00120717" w:rsidRPr="00B93EE1" w:rsidRDefault="00120717" w:rsidP="003A18AB">
            <w:pPr>
              <w:ind w:left="113"/>
              <w:jc w:val="right"/>
              <w:rPr>
                <w:sz w:val="15"/>
                <w:szCs w:val="15"/>
              </w:rPr>
            </w:pPr>
            <w:r w:rsidRPr="00B93EE1">
              <w:rPr>
                <w:rFonts w:cs="Calibri"/>
                <w:color w:val="000000"/>
                <w:sz w:val="15"/>
                <w:szCs w:val="15"/>
              </w:rPr>
              <w:t>2,483</w:t>
            </w:r>
          </w:p>
        </w:tc>
        <w:tc>
          <w:tcPr>
            <w:tcW w:w="0" w:type="dxa"/>
            <w:noWrap/>
            <w:vAlign w:val="bottom"/>
            <w:hideMark/>
          </w:tcPr>
          <w:p w14:paraId="40271E52" w14:textId="77777777" w:rsidR="00120717" w:rsidRPr="00B93EE1" w:rsidRDefault="00120717" w:rsidP="003A18AB">
            <w:pPr>
              <w:ind w:left="113"/>
              <w:jc w:val="right"/>
              <w:rPr>
                <w:sz w:val="15"/>
                <w:szCs w:val="15"/>
              </w:rPr>
            </w:pPr>
            <w:r w:rsidRPr="00B93EE1">
              <w:rPr>
                <w:rFonts w:cs="Calibri"/>
                <w:color w:val="000000"/>
                <w:sz w:val="15"/>
                <w:szCs w:val="15"/>
              </w:rPr>
              <w:t>2,472</w:t>
            </w:r>
          </w:p>
        </w:tc>
      </w:tr>
      <w:tr w:rsidR="00120717" w:rsidRPr="00B93EE1" w14:paraId="27EEAE43" w14:textId="77777777" w:rsidTr="005F50EE">
        <w:trPr>
          <w:cnfStyle w:val="000000010000" w:firstRow="0" w:lastRow="0" w:firstColumn="0" w:lastColumn="0" w:oddVBand="0" w:evenVBand="0" w:oddHBand="0" w:evenHBand="1" w:firstRowFirstColumn="0" w:firstRowLastColumn="0" w:lastRowFirstColumn="0" w:lastRowLastColumn="0"/>
          <w:trHeight w:val="238"/>
        </w:trPr>
        <w:tc>
          <w:tcPr>
            <w:tcW w:w="0" w:type="dxa"/>
            <w:noWrap/>
            <w:vAlign w:val="center"/>
            <w:hideMark/>
          </w:tcPr>
          <w:p w14:paraId="4E5B4DEC" w14:textId="77777777" w:rsidR="00120717" w:rsidRPr="00B93EE1" w:rsidRDefault="00120717" w:rsidP="003A18AB">
            <w:pPr>
              <w:jc w:val="left"/>
              <w:rPr>
                <w:sz w:val="15"/>
                <w:szCs w:val="15"/>
              </w:rPr>
            </w:pPr>
            <w:r w:rsidRPr="00B93EE1">
              <w:rPr>
                <w:sz w:val="15"/>
                <w:szCs w:val="15"/>
              </w:rPr>
              <w:t>Transport equipment manufacturing</w:t>
            </w:r>
          </w:p>
        </w:tc>
        <w:tc>
          <w:tcPr>
            <w:tcW w:w="0" w:type="dxa"/>
            <w:noWrap/>
            <w:vAlign w:val="bottom"/>
            <w:hideMark/>
          </w:tcPr>
          <w:p w14:paraId="1FC92C88" w14:textId="77777777" w:rsidR="00120717" w:rsidRPr="00B93EE1" w:rsidRDefault="00120717" w:rsidP="003A18AB">
            <w:pPr>
              <w:ind w:left="113"/>
              <w:jc w:val="right"/>
              <w:rPr>
                <w:sz w:val="15"/>
                <w:szCs w:val="15"/>
              </w:rPr>
            </w:pPr>
            <w:r w:rsidRPr="00B93EE1">
              <w:rPr>
                <w:rFonts w:cs="Calibri"/>
                <w:color w:val="000000"/>
                <w:sz w:val="15"/>
                <w:szCs w:val="15"/>
              </w:rPr>
              <w:t>998</w:t>
            </w:r>
          </w:p>
        </w:tc>
        <w:tc>
          <w:tcPr>
            <w:tcW w:w="0" w:type="dxa"/>
            <w:noWrap/>
            <w:vAlign w:val="bottom"/>
            <w:hideMark/>
          </w:tcPr>
          <w:p w14:paraId="03BE1010" w14:textId="77777777" w:rsidR="00120717" w:rsidRPr="00B93EE1" w:rsidRDefault="00120717" w:rsidP="003A18AB">
            <w:pPr>
              <w:ind w:left="113"/>
              <w:jc w:val="right"/>
              <w:rPr>
                <w:sz w:val="15"/>
                <w:szCs w:val="15"/>
              </w:rPr>
            </w:pPr>
            <w:r w:rsidRPr="00B93EE1">
              <w:rPr>
                <w:rFonts w:cs="Calibri"/>
                <w:color w:val="000000"/>
                <w:sz w:val="15"/>
                <w:szCs w:val="15"/>
              </w:rPr>
              <w:t>1,119</w:t>
            </w:r>
          </w:p>
        </w:tc>
        <w:tc>
          <w:tcPr>
            <w:tcW w:w="0" w:type="dxa"/>
            <w:noWrap/>
            <w:vAlign w:val="bottom"/>
            <w:hideMark/>
          </w:tcPr>
          <w:p w14:paraId="2D7AE133" w14:textId="77777777" w:rsidR="00120717" w:rsidRPr="00B93EE1" w:rsidRDefault="00120717" w:rsidP="003A18AB">
            <w:pPr>
              <w:ind w:left="113"/>
              <w:jc w:val="right"/>
              <w:rPr>
                <w:sz w:val="15"/>
                <w:szCs w:val="15"/>
              </w:rPr>
            </w:pPr>
            <w:r w:rsidRPr="00B93EE1">
              <w:rPr>
                <w:rFonts w:cs="Calibri"/>
                <w:color w:val="000000"/>
                <w:sz w:val="15"/>
                <w:szCs w:val="15"/>
              </w:rPr>
              <w:t>1,235</w:t>
            </w:r>
          </w:p>
        </w:tc>
        <w:tc>
          <w:tcPr>
            <w:tcW w:w="0" w:type="dxa"/>
            <w:noWrap/>
            <w:vAlign w:val="bottom"/>
            <w:hideMark/>
          </w:tcPr>
          <w:p w14:paraId="5E1E1B85" w14:textId="77777777" w:rsidR="00120717" w:rsidRPr="00B93EE1" w:rsidRDefault="00120717" w:rsidP="003A18AB">
            <w:pPr>
              <w:ind w:left="113"/>
              <w:jc w:val="right"/>
              <w:rPr>
                <w:sz w:val="15"/>
                <w:szCs w:val="15"/>
              </w:rPr>
            </w:pPr>
            <w:r w:rsidRPr="00B93EE1">
              <w:rPr>
                <w:rFonts w:cs="Calibri"/>
                <w:color w:val="000000"/>
                <w:sz w:val="15"/>
                <w:szCs w:val="15"/>
              </w:rPr>
              <w:t>1,298</w:t>
            </w:r>
          </w:p>
        </w:tc>
        <w:tc>
          <w:tcPr>
            <w:tcW w:w="0" w:type="dxa"/>
            <w:noWrap/>
            <w:vAlign w:val="bottom"/>
            <w:hideMark/>
          </w:tcPr>
          <w:p w14:paraId="4412ADC9" w14:textId="77777777" w:rsidR="00120717" w:rsidRPr="00B93EE1" w:rsidRDefault="00120717" w:rsidP="003A18AB">
            <w:pPr>
              <w:ind w:left="113"/>
              <w:jc w:val="right"/>
              <w:rPr>
                <w:sz w:val="15"/>
                <w:szCs w:val="15"/>
              </w:rPr>
            </w:pPr>
            <w:r w:rsidRPr="00B93EE1">
              <w:rPr>
                <w:rFonts w:cs="Calibri"/>
                <w:color w:val="000000"/>
                <w:sz w:val="15"/>
                <w:szCs w:val="15"/>
              </w:rPr>
              <w:t>1,337</w:t>
            </w:r>
          </w:p>
        </w:tc>
        <w:tc>
          <w:tcPr>
            <w:tcW w:w="0" w:type="dxa"/>
            <w:noWrap/>
            <w:vAlign w:val="bottom"/>
            <w:hideMark/>
          </w:tcPr>
          <w:p w14:paraId="1BA1C426" w14:textId="77777777" w:rsidR="00120717" w:rsidRPr="00B93EE1" w:rsidRDefault="00120717" w:rsidP="003A18AB">
            <w:pPr>
              <w:ind w:left="113"/>
              <w:jc w:val="right"/>
              <w:rPr>
                <w:sz w:val="15"/>
                <w:szCs w:val="15"/>
              </w:rPr>
            </w:pPr>
            <w:r w:rsidRPr="00B93EE1">
              <w:rPr>
                <w:rFonts w:cs="Calibri"/>
                <w:color w:val="000000"/>
                <w:sz w:val="15"/>
                <w:szCs w:val="15"/>
              </w:rPr>
              <w:t>1,357</w:t>
            </w:r>
          </w:p>
        </w:tc>
      </w:tr>
      <w:tr w:rsidR="00120717" w:rsidRPr="00B93EE1" w14:paraId="0411421A" w14:textId="77777777" w:rsidTr="005F50EE">
        <w:trPr>
          <w:trHeight w:val="238"/>
        </w:trPr>
        <w:tc>
          <w:tcPr>
            <w:tcW w:w="0" w:type="dxa"/>
            <w:noWrap/>
            <w:vAlign w:val="center"/>
            <w:hideMark/>
          </w:tcPr>
          <w:p w14:paraId="0AA00C9F" w14:textId="77777777" w:rsidR="00120717" w:rsidRPr="00B93EE1" w:rsidRDefault="00120717" w:rsidP="003A18AB">
            <w:pPr>
              <w:jc w:val="left"/>
              <w:rPr>
                <w:sz w:val="15"/>
                <w:szCs w:val="15"/>
              </w:rPr>
            </w:pPr>
            <w:r w:rsidRPr="00B93EE1">
              <w:rPr>
                <w:sz w:val="15"/>
                <w:szCs w:val="15"/>
              </w:rPr>
              <w:t>Machinery and other equipment manufacturing</w:t>
            </w:r>
          </w:p>
        </w:tc>
        <w:tc>
          <w:tcPr>
            <w:tcW w:w="0" w:type="dxa"/>
            <w:noWrap/>
            <w:vAlign w:val="bottom"/>
            <w:hideMark/>
          </w:tcPr>
          <w:p w14:paraId="3910DFCB" w14:textId="77777777" w:rsidR="00120717" w:rsidRPr="00B93EE1" w:rsidRDefault="00120717" w:rsidP="003A18AB">
            <w:pPr>
              <w:ind w:left="113"/>
              <w:jc w:val="right"/>
              <w:rPr>
                <w:sz w:val="15"/>
                <w:szCs w:val="15"/>
              </w:rPr>
            </w:pPr>
            <w:r w:rsidRPr="00B93EE1">
              <w:rPr>
                <w:rFonts w:cs="Calibri"/>
                <w:color w:val="000000"/>
                <w:sz w:val="15"/>
                <w:szCs w:val="15"/>
              </w:rPr>
              <w:t>3,067</w:t>
            </w:r>
          </w:p>
        </w:tc>
        <w:tc>
          <w:tcPr>
            <w:tcW w:w="0" w:type="dxa"/>
            <w:noWrap/>
            <w:vAlign w:val="bottom"/>
            <w:hideMark/>
          </w:tcPr>
          <w:p w14:paraId="576632C8" w14:textId="77777777" w:rsidR="00120717" w:rsidRPr="00B93EE1" w:rsidRDefault="00120717" w:rsidP="003A18AB">
            <w:pPr>
              <w:ind w:left="113"/>
              <w:jc w:val="right"/>
              <w:rPr>
                <w:sz w:val="15"/>
                <w:szCs w:val="15"/>
              </w:rPr>
            </w:pPr>
            <w:r w:rsidRPr="00B93EE1">
              <w:rPr>
                <w:rFonts w:cs="Calibri"/>
                <w:color w:val="000000"/>
                <w:sz w:val="15"/>
                <w:szCs w:val="15"/>
              </w:rPr>
              <w:t>3,233</w:t>
            </w:r>
          </w:p>
        </w:tc>
        <w:tc>
          <w:tcPr>
            <w:tcW w:w="0" w:type="dxa"/>
            <w:noWrap/>
            <w:vAlign w:val="bottom"/>
            <w:hideMark/>
          </w:tcPr>
          <w:p w14:paraId="06B6F9CD" w14:textId="77777777" w:rsidR="00120717" w:rsidRPr="00B93EE1" w:rsidRDefault="00120717" w:rsidP="003A18AB">
            <w:pPr>
              <w:ind w:left="113"/>
              <w:jc w:val="right"/>
              <w:rPr>
                <w:sz w:val="15"/>
                <w:szCs w:val="15"/>
              </w:rPr>
            </w:pPr>
            <w:r w:rsidRPr="00B93EE1">
              <w:rPr>
                <w:rFonts w:cs="Calibri"/>
                <w:color w:val="000000"/>
                <w:sz w:val="15"/>
                <w:szCs w:val="15"/>
              </w:rPr>
              <w:t>3,363</w:t>
            </w:r>
          </w:p>
        </w:tc>
        <w:tc>
          <w:tcPr>
            <w:tcW w:w="0" w:type="dxa"/>
            <w:noWrap/>
            <w:vAlign w:val="bottom"/>
            <w:hideMark/>
          </w:tcPr>
          <w:p w14:paraId="3499EA77" w14:textId="77777777" w:rsidR="00120717" w:rsidRPr="00B93EE1" w:rsidRDefault="00120717" w:rsidP="003A18AB">
            <w:pPr>
              <w:ind w:left="113"/>
              <w:jc w:val="right"/>
              <w:rPr>
                <w:sz w:val="15"/>
                <w:szCs w:val="15"/>
              </w:rPr>
            </w:pPr>
            <w:r w:rsidRPr="00B93EE1">
              <w:rPr>
                <w:rFonts w:cs="Calibri"/>
                <w:color w:val="000000"/>
                <w:sz w:val="15"/>
                <w:szCs w:val="15"/>
              </w:rPr>
              <w:t>3,569</w:t>
            </w:r>
          </w:p>
        </w:tc>
        <w:tc>
          <w:tcPr>
            <w:tcW w:w="0" w:type="dxa"/>
            <w:noWrap/>
            <w:vAlign w:val="bottom"/>
            <w:hideMark/>
          </w:tcPr>
          <w:p w14:paraId="0FC4AB87" w14:textId="77777777" w:rsidR="00120717" w:rsidRPr="00B93EE1" w:rsidRDefault="00120717" w:rsidP="003A18AB">
            <w:pPr>
              <w:ind w:left="113"/>
              <w:jc w:val="right"/>
              <w:rPr>
                <w:sz w:val="15"/>
                <w:szCs w:val="15"/>
              </w:rPr>
            </w:pPr>
            <w:r w:rsidRPr="00B93EE1">
              <w:rPr>
                <w:rFonts w:cs="Calibri"/>
                <w:color w:val="000000"/>
                <w:sz w:val="15"/>
                <w:szCs w:val="15"/>
              </w:rPr>
              <w:t>3,781</w:t>
            </w:r>
          </w:p>
        </w:tc>
        <w:tc>
          <w:tcPr>
            <w:tcW w:w="0" w:type="dxa"/>
            <w:noWrap/>
            <w:vAlign w:val="bottom"/>
            <w:hideMark/>
          </w:tcPr>
          <w:p w14:paraId="06F51AC9" w14:textId="77777777" w:rsidR="00120717" w:rsidRPr="00B93EE1" w:rsidRDefault="00120717" w:rsidP="003A18AB">
            <w:pPr>
              <w:ind w:left="113"/>
              <w:jc w:val="right"/>
              <w:rPr>
                <w:sz w:val="15"/>
                <w:szCs w:val="15"/>
              </w:rPr>
            </w:pPr>
            <w:r w:rsidRPr="00B93EE1">
              <w:rPr>
                <w:rFonts w:cs="Calibri"/>
                <w:color w:val="000000"/>
                <w:sz w:val="15"/>
                <w:szCs w:val="15"/>
              </w:rPr>
              <w:t>4,115</w:t>
            </w:r>
          </w:p>
        </w:tc>
      </w:tr>
      <w:tr w:rsidR="00120717" w:rsidRPr="00B93EE1" w14:paraId="343C46C4" w14:textId="77777777" w:rsidTr="005F50EE">
        <w:trPr>
          <w:cnfStyle w:val="000000010000" w:firstRow="0" w:lastRow="0" w:firstColumn="0" w:lastColumn="0" w:oddVBand="0" w:evenVBand="0" w:oddHBand="0" w:evenHBand="1" w:firstRowFirstColumn="0" w:firstRowLastColumn="0" w:lastRowFirstColumn="0" w:lastRowLastColumn="0"/>
          <w:trHeight w:val="238"/>
        </w:trPr>
        <w:tc>
          <w:tcPr>
            <w:tcW w:w="0" w:type="dxa"/>
            <w:noWrap/>
            <w:vAlign w:val="center"/>
            <w:hideMark/>
          </w:tcPr>
          <w:p w14:paraId="252191F3" w14:textId="77777777" w:rsidR="00120717" w:rsidRPr="00B93EE1" w:rsidRDefault="00120717" w:rsidP="003A18AB">
            <w:pPr>
              <w:jc w:val="left"/>
              <w:rPr>
                <w:sz w:val="15"/>
                <w:szCs w:val="15"/>
              </w:rPr>
            </w:pPr>
            <w:r w:rsidRPr="00B93EE1">
              <w:rPr>
                <w:sz w:val="15"/>
                <w:szCs w:val="15"/>
              </w:rPr>
              <w:t>Furniture and other manufacturing</w:t>
            </w:r>
          </w:p>
        </w:tc>
        <w:tc>
          <w:tcPr>
            <w:tcW w:w="0" w:type="dxa"/>
            <w:noWrap/>
            <w:vAlign w:val="bottom"/>
            <w:hideMark/>
          </w:tcPr>
          <w:p w14:paraId="13E8DB17" w14:textId="77777777" w:rsidR="00120717" w:rsidRPr="00B93EE1" w:rsidRDefault="00120717" w:rsidP="003A18AB">
            <w:pPr>
              <w:ind w:left="113"/>
              <w:jc w:val="right"/>
              <w:rPr>
                <w:sz w:val="15"/>
                <w:szCs w:val="15"/>
              </w:rPr>
            </w:pPr>
            <w:r w:rsidRPr="00B93EE1">
              <w:rPr>
                <w:rFonts w:cs="Calibri"/>
                <w:color w:val="000000"/>
                <w:sz w:val="15"/>
                <w:szCs w:val="15"/>
              </w:rPr>
              <w:t>641</w:t>
            </w:r>
          </w:p>
        </w:tc>
        <w:tc>
          <w:tcPr>
            <w:tcW w:w="0" w:type="dxa"/>
            <w:noWrap/>
            <w:vAlign w:val="bottom"/>
            <w:hideMark/>
          </w:tcPr>
          <w:p w14:paraId="6729C397" w14:textId="77777777" w:rsidR="00120717" w:rsidRPr="00B93EE1" w:rsidRDefault="00120717" w:rsidP="003A18AB">
            <w:pPr>
              <w:ind w:left="113"/>
              <w:jc w:val="right"/>
              <w:rPr>
                <w:sz w:val="15"/>
                <w:szCs w:val="15"/>
              </w:rPr>
            </w:pPr>
            <w:r w:rsidRPr="00B93EE1">
              <w:rPr>
                <w:rFonts w:cs="Calibri"/>
                <w:color w:val="000000"/>
                <w:sz w:val="15"/>
                <w:szCs w:val="15"/>
              </w:rPr>
              <w:t>671</w:t>
            </w:r>
          </w:p>
        </w:tc>
        <w:tc>
          <w:tcPr>
            <w:tcW w:w="0" w:type="dxa"/>
            <w:noWrap/>
            <w:vAlign w:val="bottom"/>
            <w:hideMark/>
          </w:tcPr>
          <w:p w14:paraId="48416793" w14:textId="77777777" w:rsidR="00120717" w:rsidRPr="00B93EE1" w:rsidRDefault="00120717" w:rsidP="003A18AB">
            <w:pPr>
              <w:ind w:left="113"/>
              <w:jc w:val="right"/>
              <w:rPr>
                <w:sz w:val="15"/>
                <w:szCs w:val="15"/>
              </w:rPr>
            </w:pPr>
            <w:r w:rsidRPr="00B93EE1">
              <w:rPr>
                <w:rFonts w:cs="Calibri"/>
                <w:color w:val="000000"/>
                <w:sz w:val="15"/>
                <w:szCs w:val="15"/>
              </w:rPr>
              <w:t>778</w:t>
            </w:r>
          </w:p>
        </w:tc>
        <w:tc>
          <w:tcPr>
            <w:tcW w:w="0" w:type="dxa"/>
            <w:noWrap/>
            <w:vAlign w:val="bottom"/>
            <w:hideMark/>
          </w:tcPr>
          <w:p w14:paraId="102F4593" w14:textId="77777777" w:rsidR="00120717" w:rsidRPr="00B93EE1" w:rsidRDefault="00120717" w:rsidP="003A18AB">
            <w:pPr>
              <w:ind w:left="113"/>
              <w:jc w:val="right"/>
              <w:rPr>
                <w:sz w:val="15"/>
                <w:szCs w:val="15"/>
              </w:rPr>
            </w:pPr>
            <w:r w:rsidRPr="00B93EE1">
              <w:rPr>
                <w:rFonts w:cs="Calibri"/>
                <w:color w:val="000000"/>
                <w:sz w:val="15"/>
                <w:szCs w:val="15"/>
              </w:rPr>
              <w:t>761</w:t>
            </w:r>
          </w:p>
        </w:tc>
        <w:tc>
          <w:tcPr>
            <w:tcW w:w="0" w:type="dxa"/>
            <w:noWrap/>
            <w:vAlign w:val="bottom"/>
            <w:hideMark/>
          </w:tcPr>
          <w:p w14:paraId="008CE3B6" w14:textId="77777777" w:rsidR="00120717" w:rsidRPr="00B93EE1" w:rsidRDefault="00120717" w:rsidP="003A18AB">
            <w:pPr>
              <w:ind w:left="113"/>
              <w:jc w:val="right"/>
              <w:rPr>
                <w:sz w:val="15"/>
                <w:szCs w:val="15"/>
              </w:rPr>
            </w:pPr>
            <w:r w:rsidRPr="00B93EE1">
              <w:rPr>
                <w:rFonts w:cs="Calibri"/>
                <w:color w:val="000000"/>
                <w:sz w:val="15"/>
                <w:szCs w:val="15"/>
              </w:rPr>
              <w:t>789</w:t>
            </w:r>
          </w:p>
        </w:tc>
        <w:tc>
          <w:tcPr>
            <w:tcW w:w="0" w:type="dxa"/>
            <w:noWrap/>
            <w:vAlign w:val="bottom"/>
            <w:hideMark/>
          </w:tcPr>
          <w:p w14:paraId="38085F49" w14:textId="77777777" w:rsidR="00120717" w:rsidRPr="00B93EE1" w:rsidRDefault="00120717" w:rsidP="003A18AB">
            <w:pPr>
              <w:ind w:left="113"/>
              <w:jc w:val="right"/>
              <w:rPr>
                <w:sz w:val="15"/>
                <w:szCs w:val="15"/>
              </w:rPr>
            </w:pPr>
            <w:r w:rsidRPr="00B93EE1">
              <w:rPr>
                <w:rFonts w:cs="Calibri"/>
                <w:color w:val="000000"/>
                <w:sz w:val="15"/>
                <w:szCs w:val="15"/>
              </w:rPr>
              <w:t>841</w:t>
            </w:r>
          </w:p>
        </w:tc>
      </w:tr>
      <w:tr w:rsidR="00120717" w:rsidRPr="00B93EE1" w14:paraId="35493DAE" w14:textId="77777777" w:rsidTr="005F50EE">
        <w:trPr>
          <w:trHeight w:val="238"/>
        </w:trPr>
        <w:tc>
          <w:tcPr>
            <w:tcW w:w="0" w:type="dxa"/>
            <w:noWrap/>
            <w:vAlign w:val="center"/>
            <w:hideMark/>
          </w:tcPr>
          <w:p w14:paraId="0773AAF1" w14:textId="77777777" w:rsidR="00120717" w:rsidRPr="00B93EE1" w:rsidRDefault="00120717" w:rsidP="003A18AB">
            <w:pPr>
              <w:jc w:val="left"/>
              <w:rPr>
                <w:sz w:val="15"/>
                <w:szCs w:val="15"/>
              </w:rPr>
            </w:pPr>
            <w:r w:rsidRPr="00B93EE1">
              <w:rPr>
                <w:sz w:val="15"/>
                <w:szCs w:val="15"/>
              </w:rPr>
              <w:t>Total</w:t>
            </w:r>
          </w:p>
        </w:tc>
        <w:tc>
          <w:tcPr>
            <w:tcW w:w="0" w:type="dxa"/>
            <w:noWrap/>
            <w:vAlign w:val="bottom"/>
            <w:hideMark/>
          </w:tcPr>
          <w:p w14:paraId="7B719BF1" w14:textId="77777777" w:rsidR="00120717" w:rsidRPr="00B93EE1" w:rsidRDefault="00120717" w:rsidP="003A18AB">
            <w:pPr>
              <w:ind w:left="113"/>
              <w:jc w:val="right"/>
              <w:rPr>
                <w:sz w:val="15"/>
                <w:szCs w:val="15"/>
              </w:rPr>
            </w:pPr>
            <w:r w:rsidRPr="00B93EE1">
              <w:rPr>
                <w:rFonts w:cs="Calibri"/>
                <w:color w:val="000000"/>
                <w:sz w:val="15"/>
                <w:szCs w:val="15"/>
              </w:rPr>
              <w:t>26,865</w:t>
            </w:r>
          </w:p>
        </w:tc>
        <w:tc>
          <w:tcPr>
            <w:tcW w:w="0" w:type="dxa"/>
            <w:noWrap/>
            <w:vAlign w:val="bottom"/>
            <w:hideMark/>
          </w:tcPr>
          <w:p w14:paraId="507855D3" w14:textId="77777777" w:rsidR="00120717" w:rsidRPr="00B93EE1" w:rsidRDefault="00120717" w:rsidP="003A18AB">
            <w:pPr>
              <w:ind w:left="113"/>
              <w:jc w:val="right"/>
              <w:rPr>
                <w:sz w:val="15"/>
                <w:szCs w:val="15"/>
              </w:rPr>
            </w:pPr>
            <w:r w:rsidRPr="00B93EE1">
              <w:rPr>
                <w:rFonts w:cs="Calibri"/>
                <w:color w:val="000000"/>
                <w:sz w:val="15"/>
                <w:szCs w:val="15"/>
              </w:rPr>
              <w:t>28,809</w:t>
            </w:r>
          </w:p>
        </w:tc>
        <w:tc>
          <w:tcPr>
            <w:tcW w:w="0" w:type="dxa"/>
            <w:noWrap/>
            <w:vAlign w:val="bottom"/>
            <w:hideMark/>
          </w:tcPr>
          <w:p w14:paraId="3381616F" w14:textId="77777777" w:rsidR="00120717" w:rsidRPr="00B93EE1" w:rsidRDefault="00120717" w:rsidP="003A18AB">
            <w:pPr>
              <w:ind w:left="113"/>
              <w:jc w:val="right"/>
              <w:rPr>
                <w:sz w:val="15"/>
                <w:szCs w:val="15"/>
              </w:rPr>
            </w:pPr>
            <w:r w:rsidRPr="00B93EE1">
              <w:rPr>
                <w:rFonts w:cs="Calibri"/>
                <w:color w:val="000000"/>
                <w:sz w:val="15"/>
                <w:szCs w:val="15"/>
              </w:rPr>
              <w:t>27,383</w:t>
            </w:r>
          </w:p>
        </w:tc>
        <w:tc>
          <w:tcPr>
            <w:tcW w:w="0" w:type="dxa"/>
            <w:noWrap/>
            <w:vAlign w:val="bottom"/>
            <w:hideMark/>
          </w:tcPr>
          <w:p w14:paraId="0583BABE" w14:textId="77777777" w:rsidR="00120717" w:rsidRPr="00B93EE1" w:rsidRDefault="00120717" w:rsidP="003A18AB">
            <w:pPr>
              <w:ind w:left="113"/>
              <w:jc w:val="right"/>
              <w:rPr>
                <w:sz w:val="15"/>
                <w:szCs w:val="15"/>
              </w:rPr>
            </w:pPr>
            <w:r w:rsidRPr="00B93EE1">
              <w:rPr>
                <w:rFonts w:cs="Calibri"/>
                <w:color w:val="000000"/>
                <w:sz w:val="15"/>
                <w:szCs w:val="15"/>
              </w:rPr>
              <w:t>29,642</w:t>
            </w:r>
          </w:p>
        </w:tc>
        <w:tc>
          <w:tcPr>
            <w:tcW w:w="0" w:type="dxa"/>
            <w:noWrap/>
            <w:vAlign w:val="bottom"/>
            <w:hideMark/>
          </w:tcPr>
          <w:p w14:paraId="299FAF37" w14:textId="77777777" w:rsidR="00120717" w:rsidRPr="00B93EE1" w:rsidRDefault="00120717" w:rsidP="003A18AB">
            <w:pPr>
              <w:ind w:left="113"/>
              <w:jc w:val="right"/>
              <w:rPr>
                <w:sz w:val="15"/>
                <w:szCs w:val="15"/>
              </w:rPr>
            </w:pPr>
            <w:r w:rsidRPr="00B93EE1">
              <w:rPr>
                <w:rFonts w:cs="Calibri"/>
                <w:color w:val="000000"/>
                <w:sz w:val="15"/>
                <w:szCs w:val="15"/>
              </w:rPr>
              <w:t>30,465</w:t>
            </w:r>
          </w:p>
        </w:tc>
        <w:tc>
          <w:tcPr>
            <w:tcW w:w="0" w:type="dxa"/>
            <w:noWrap/>
            <w:vAlign w:val="bottom"/>
            <w:hideMark/>
          </w:tcPr>
          <w:p w14:paraId="6E11A08D" w14:textId="77777777" w:rsidR="00120717" w:rsidRPr="00B93EE1" w:rsidRDefault="00120717" w:rsidP="003A18AB">
            <w:pPr>
              <w:ind w:left="113"/>
              <w:jc w:val="right"/>
              <w:rPr>
                <w:sz w:val="15"/>
                <w:szCs w:val="15"/>
              </w:rPr>
            </w:pPr>
            <w:r w:rsidRPr="00B93EE1">
              <w:rPr>
                <w:rFonts w:cs="Calibri"/>
                <w:color w:val="000000"/>
                <w:sz w:val="15"/>
                <w:szCs w:val="15"/>
              </w:rPr>
              <w:t>31,848</w:t>
            </w:r>
          </w:p>
        </w:tc>
      </w:tr>
    </w:tbl>
    <w:p w14:paraId="55D00ACF" w14:textId="77777777" w:rsidR="00120717" w:rsidRPr="00B93EE1" w:rsidRDefault="00120717" w:rsidP="00FD7477">
      <w:pPr>
        <w:pStyle w:val="NoteText"/>
        <w:spacing w:before="120" w:after="240"/>
      </w:pPr>
      <w:r w:rsidRPr="00B93EE1">
        <w:t>Source:</w:t>
      </w:r>
      <w:r w:rsidRPr="00B93EE1">
        <w:tab/>
        <w:t>Information provided by the authorities.</w:t>
      </w:r>
    </w:p>
    <w:p w14:paraId="293B95CC" w14:textId="77777777" w:rsidR="00120717" w:rsidRPr="00F64A35" w:rsidRDefault="00120717" w:rsidP="008B54EB">
      <w:pPr>
        <w:pStyle w:val="BodyText"/>
      </w:pPr>
      <w:r w:rsidRPr="00B93EE1">
        <w:t>Over the first half of 2020, as a consequence of the COVID</w:t>
      </w:r>
      <w:r w:rsidRPr="00B93EE1">
        <w:noBreakHyphen/>
        <w:t>19 pandemic and related lockdowns, manufacturing production and sales fell by 12%.</w:t>
      </w:r>
      <w:r w:rsidRPr="00B93EE1">
        <w:rPr>
          <w:vertAlign w:val="superscript"/>
        </w:rPr>
        <w:footnoteReference w:id="377"/>
      </w:r>
      <w:r w:rsidRPr="00B93EE1">
        <w:t xml:space="preserve"> The largest fall in sales volume was recorded in the petroleum industry, followed by metal products. Essential goods in the meat and dairy industries weathered well during the crisis due to high international dairy prices and exports of these products. However, manufacturing production rapidly rebounded to pre-COVID-19 trend by the end of 2020. Low productivity growth continues to affect the sector's performance. The authorities note that labour productivity growth in the sector averaged 0.5% per annum between 2008 and 2020</w:t>
      </w:r>
      <w:r w:rsidRPr="00B93EE1">
        <w:rPr>
          <w:rStyle w:val="FootnoteReference"/>
        </w:rPr>
        <w:footnoteReference w:id="378"/>
      </w:r>
      <w:r w:rsidRPr="00B93EE1">
        <w:t>, well below the whole economy's average of 0.9% (which is also low by international comparison). The small New Zealand market and the country's geographic isolation are among the factors driving low levels of productivity growth. Lack of technology diffusion and weak investments have also played a part.</w:t>
      </w:r>
    </w:p>
    <w:p w14:paraId="6DEE6A7B" w14:textId="77777777" w:rsidR="00120717" w:rsidRPr="00F64A35" w:rsidRDefault="00120717" w:rsidP="008B54EB">
      <w:pPr>
        <w:pStyle w:val="BodyText"/>
      </w:pPr>
      <w:r w:rsidRPr="00B93EE1">
        <w:t xml:space="preserve">The applied tariff in manufacturing is generally low and has been on a decreasing trend since 2009. In 2021, the average MFN tariff for manufacturing (ISIC 3) was 2.3% (2.5% in 2015). However, tariff rates for, </w:t>
      </w:r>
      <w:r w:rsidRPr="00B93EE1">
        <w:rPr>
          <w:i/>
          <w:iCs/>
        </w:rPr>
        <w:t>inter alia</w:t>
      </w:r>
      <w:r w:rsidRPr="00B93EE1">
        <w:t>, plastics, metals, textiles, footwear, and transport equipment remain higher than the sectoral average (</w:t>
      </w:r>
      <w:r w:rsidRPr="001A2CCA">
        <w:t>Table A3.1</w:t>
      </w:r>
      <w:r w:rsidRPr="00B93EE1">
        <w:t>).</w:t>
      </w:r>
    </w:p>
    <w:p w14:paraId="6E77D370" w14:textId="77777777" w:rsidR="00120717" w:rsidRPr="00F64A35" w:rsidRDefault="00120717" w:rsidP="008B54EB">
      <w:pPr>
        <w:pStyle w:val="BodyText"/>
      </w:pPr>
      <w:r w:rsidRPr="00B93EE1">
        <w:t>The Government's approach to manufacturing aims to support more innovative industries and boost the sectoral productivity, sustainability, and inclusivity in key industries. To help realize the sector's potential, the authorities state that a strategic plan, the Advanced Manufacturing Industry Transformation Plan, is being developed.</w:t>
      </w:r>
      <w:r w:rsidRPr="00B93EE1">
        <w:rPr>
          <w:rStyle w:val="FootnoteReference"/>
        </w:rPr>
        <w:footnoteReference w:id="379"/>
      </w:r>
      <w:r w:rsidRPr="00B93EE1">
        <w:t xml:space="preserve"> The Plan brings together all relevant parties around an industry to agree to a long-term vision for the sector and identify the actions that can be taken by industry, the Government, and others to realize this vision</w:t>
      </w:r>
      <w:r w:rsidRPr="00B93EE1">
        <w:rPr>
          <w:bCs/>
        </w:rPr>
        <w:t>. The major pillars of the plan include growing innovation and investment, attracting and developing a high-skilled workforce, creating a leading sustainable and low-emissions sector, and enhancing global connectivity and opportunities.</w:t>
      </w:r>
    </w:p>
    <w:p w14:paraId="05F7591E" w14:textId="77777777" w:rsidR="00120717" w:rsidRPr="00F64A35" w:rsidRDefault="00120717" w:rsidP="008B54EB">
      <w:pPr>
        <w:pStyle w:val="BodyText"/>
      </w:pPr>
      <w:r w:rsidRPr="00B93EE1">
        <w:t>As highlighted in the previous Review, New Zealand does not have a single incentive scheme exclusively dedicated to manufacturing activities. However, a number of programmes with broader economic objectives are of benefit to manufacturing companies (</w:t>
      </w:r>
      <w:r w:rsidRPr="001A2CCA">
        <w:t>Section 3.3.1</w:t>
      </w:r>
      <w:r w:rsidRPr="00B93EE1">
        <w:t>). These programmes are mainly delivered through two separate public entities, Callaghan Innovation (for innovation-oriented firms) and New Zealand Trade and Enterprise (</w:t>
      </w:r>
      <w:proofErr w:type="spellStart"/>
      <w:r w:rsidRPr="00B93EE1">
        <w:t>NZTE</w:t>
      </w:r>
      <w:proofErr w:type="spellEnd"/>
      <w:r w:rsidRPr="00B93EE1">
        <w:t xml:space="preserve">) (an international business development agency). Callaghan Innovation's offerings include its Lean service, which provides workshops and coaching programmes to improve companies' competitiveness and performance, and its Research and Development Solutions Division, which provides services around product development, workshops, pilot plants, testing and failure analysis, near market research, and contracting R&amp;D. The </w:t>
      </w:r>
      <w:proofErr w:type="spellStart"/>
      <w:r w:rsidRPr="00B93EE1">
        <w:t>NZTE's</w:t>
      </w:r>
      <w:proofErr w:type="spellEnd"/>
      <w:r w:rsidRPr="00B93EE1">
        <w:t xml:space="preserve"> International Growth Fund (</w:t>
      </w:r>
      <w:proofErr w:type="spellStart"/>
      <w:r w:rsidRPr="00B93EE1">
        <w:t>IGF</w:t>
      </w:r>
      <w:proofErr w:type="spellEnd"/>
      <w:r w:rsidRPr="00B93EE1">
        <w:t xml:space="preserve">) assists firms that have the potential </w:t>
      </w:r>
      <w:r w:rsidRPr="00B93EE1">
        <w:lastRenderedPageBreak/>
        <w:t>to contribute to New Zealand's long-term economic growth and acquire key capabilities for business growth.</w:t>
      </w:r>
    </w:p>
    <w:p w14:paraId="7D2276E3" w14:textId="77777777" w:rsidR="00120717" w:rsidRPr="00F64A35" w:rsidRDefault="00120717" w:rsidP="008B54EB">
      <w:pPr>
        <w:pStyle w:val="BodyText"/>
      </w:pPr>
      <w:r w:rsidRPr="00B93EE1">
        <w:t>In response to the COVID</w:t>
      </w:r>
      <w:r w:rsidRPr="00B93EE1">
        <w:noBreakHyphen/>
        <w:t>19 pandemic and its economic impact, companies in New Zealand, including those operating in the manufacturing sector, were given a number of support measures under a Wage Subsidy Scheme and a Leave Subsidy Scheme. Business advisory services were also increased so that firms were able to access advice and information on business disruption and response.</w:t>
      </w:r>
    </w:p>
    <w:p w14:paraId="2E37DC00" w14:textId="77777777" w:rsidR="00120717" w:rsidRPr="00F64A35" w:rsidRDefault="00120717" w:rsidP="008B54EB">
      <w:pPr>
        <w:pStyle w:val="BodyText"/>
      </w:pPr>
      <w:r w:rsidRPr="00B93EE1">
        <w:t xml:space="preserve">The main environmental measures in manufacturing consisted of the phase-down, under the </w:t>
      </w:r>
      <w:proofErr w:type="spellStart"/>
      <w:r w:rsidRPr="00B93EE1">
        <w:t>NZETS</w:t>
      </w:r>
      <w:proofErr w:type="spellEnd"/>
      <w:r w:rsidRPr="00B93EE1">
        <w:t xml:space="preserve">, of all industrial allocations (free allocation of carbon emission rights) from 2021. Under the new system, the </w:t>
      </w:r>
      <w:proofErr w:type="spellStart"/>
      <w:r w:rsidRPr="00B93EE1">
        <w:t>NZETS</w:t>
      </w:r>
      <w:proofErr w:type="spellEnd"/>
      <w:r w:rsidRPr="00B93EE1">
        <w:t xml:space="preserve"> will reduce the amount of free allocation for every activity by 1% each year from 2021 to 2030, with greater reductions (2%) annually after 2030 and 3% annually after 2040.</w:t>
      </w:r>
    </w:p>
    <w:p w14:paraId="2FFFB774" w14:textId="77777777" w:rsidR="00120717" w:rsidRPr="00F64A35" w:rsidRDefault="00120717" w:rsidP="00745CEA">
      <w:pPr>
        <w:pStyle w:val="Heading2"/>
      </w:pPr>
      <w:bookmarkStart w:id="237" w:name="_Toc97800202"/>
      <w:r w:rsidRPr="00B93EE1">
        <w:t>Services</w:t>
      </w:r>
      <w:bookmarkEnd w:id="237"/>
    </w:p>
    <w:p w14:paraId="002DB39D" w14:textId="77777777" w:rsidR="00120717" w:rsidRPr="00F64A35" w:rsidRDefault="00120717" w:rsidP="00E962FF">
      <w:pPr>
        <w:pStyle w:val="Heading3"/>
        <w:numPr>
          <w:ilvl w:val="2"/>
          <w:numId w:val="41"/>
        </w:numPr>
      </w:pPr>
      <w:bookmarkStart w:id="238" w:name="_Toc97800203"/>
      <w:r w:rsidRPr="00B93EE1">
        <w:t>Financial services</w:t>
      </w:r>
      <w:bookmarkEnd w:id="238"/>
    </w:p>
    <w:p w14:paraId="745032AC" w14:textId="77777777" w:rsidR="00120717" w:rsidRPr="00F64A35" w:rsidRDefault="00120717" w:rsidP="008B54EB">
      <w:pPr>
        <w:pStyle w:val="BodyText"/>
      </w:pPr>
      <w:r w:rsidRPr="00B93EE1">
        <w:t>The sector accounted for 6.2% of GDP in 2018/2019 (</w:t>
      </w:r>
      <w:r w:rsidRPr="001A2CCA">
        <w:t>Chart 1.1</w:t>
      </w:r>
      <w:r w:rsidRPr="00B93EE1">
        <w:t>) and 3% of total employment. The financial system is dominated by the banking industry, with assets totalling NZD 644 billion in 2021, i.e. some 86% of overall financial system assets. In contrast, capital markets remained less developed by international standards, with total market capitalization of equities at the New Zealand Stock Exchange of around NZD 182 billion, while the domestic bond market is around NZD 165 billion (excluding government debt). The managed fund industry is also small compared to banks, with around NZD 185 billion in assets under management. Furthermore, the banking system provides 94% of lending to the non-financial private sector in New Zealand. Together capital market funding (issuance of corporate bonds) and non-bank lending institutions (</w:t>
      </w:r>
      <w:proofErr w:type="spellStart"/>
      <w:r w:rsidRPr="00B93EE1">
        <w:t>NBLIs</w:t>
      </w:r>
      <w:proofErr w:type="spellEnd"/>
      <w:r w:rsidRPr="00B93EE1">
        <w:t>) account for only 6%.</w:t>
      </w:r>
      <w:r w:rsidRPr="00B93EE1">
        <w:rPr>
          <w:rStyle w:val="FootnoteReference"/>
        </w:rPr>
        <w:footnoteReference w:id="380"/>
      </w:r>
    </w:p>
    <w:p w14:paraId="43B4E9DF" w14:textId="5DA0A32B" w:rsidR="00120717" w:rsidRPr="00F64A35" w:rsidRDefault="00120717" w:rsidP="008B54EB">
      <w:pPr>
        <w:pStyle w:val="BodyText"/>
      </w:pPr>
      <w:r w:rsidRPr="00B93EE1">
        <w:t xml:space="preserve">There were no changes to foreign participation conditions during the review period. The financial sector is subject to the general provisions of the Overseas Investment Act 2005 </w:t>
      </w:r>
      <w:r w:rsidRPr="001A2CCA">
        <w:t>(Section 2</w:t>
      </w:r>
      <w:r w:rsidR="00377DE8">
        <w:t>.4</w:t>
      </w:r>
      <w:r w:rsidRPr="00B93EE1">
        <w:t xml:space="preserve">). There are no sector-specific restrictions on foreign investment, with local and foreign financial institutions competing on the same conditions in the domestic market. All companies, domestic and foreign, have access to a range of financing options in the local market. New Zealand does not apply a capital gains tax </w:t>
      </w:r>
      <w:r w:rsidRPr="00B93EE1">
        <w:rPr>
          <w:bCs/>
        </w:rPr>
        <w:t>but has a bright-line test requiring people who buy and sell a residential property less than 10 years apart (other than as their main home) to pay income tax on any profit</w:t>
      </w:r>
      <w:r w:rsidRPr="00B93EE1">
        <w:t>.</w:t>
      </w:r>
    </w:p>
    <w:p w14:paraId="0E7CDBC4" w14:textId="77777777" w:rsidR="00120717" w:rsidRPr="00F64A35" w:rsidRDefault="00120717" w:rsidP="008B54EB">
      <w:pPr>
        <w:pStyle w:val="BodyText"/>
      </w:pPr>
      <w:r w:rsidRPr="00B93EE1">
        <w:t>There is no restriction on cross-border supply of financial services, including insurance relating to transport and transit of goods; reinsurance and retrocession and services auxiliary to insurance; provision and transfer of financial information and financial data processing and related software; advisory, intermediation, and other auxiliary financial services; and certain electronic payment and portfolio management services.</w:t>
      </w:r>
    </w:p>
    <w:p w14:paraId="6707BA2E" w14:textId="77777777" w:rsidR="00120717" w:rsidRPr="00F64A35" w:rsidRDefault="00120717" w:rsidP="008B54EB">
      <w:pPr>
        <w:pStyle w:val="BodyText"/>
      </w:pPr>
      <w:r w:rsidRPr="00B93EE1">
        <w:t>The Reserve Bank of New Zealand (</w:t>
      </w:r>
      <w:proofErr w:type="spellStart"/>
      <w:r w:rsidRPr="00B93EE1">
        <w:t>RBNZ</w:t>
      </w:r>
      <w:proofErr w:type="spellEnd"/>
      <w:r w:rsidRPr="00B93EE1">
        <w:t xml:space="preserve">) is responsible for promoting the maintenance of a sound and efficient financial system. To help achieve this, the </w:t>
      </w:r>
      <w:proofErr w:type="spellStart"/>
      <w:r w:rsidRPr="00B93EE1">
        <w:t>RBNZ</w:t>
      </w:r>
      <w:proofErr w:type="spellEnd"/>
      <w:r w:rsidRPr="00B93EE1">
        <w:t xml:space="preserve"> regulates and supervises banks and insurers, regulates non-bank deposit takers</w:t>
      </w:r>
      <w:r w:rsidRPr="00B93EE1">
        <w:rPr>
          <w:rStyle w:val="FootnoteReference"/>
        </w:rPr>
        <w:footnoteReference w:id="381"/>
      </w:r>
      <w:r w:rsidRPr="00B93EE1">
        <w:t>, and oversees financial market infrastructures (</w:t>
      </w:r>
      <w:proofErr w:type="spellStart"/>
      <w:r w:rsidRPr="00B93EE1">
        <w:t>FMIs</w:t>
      </w:r>
      <w:proofErr w:type="spellEnd"/>
      <w:r w:rsidRPr="00B93EE1">
        <w:t>).</w:t>
      </w:r>
    </w:p>
    <w:p w14:paraId="2E7E5798" w14:textId="77777777" w:rsidR="00120717" w:rsidRPr="00F64A35" w:rsidRDefault="00120717" w:rsidP="008B54EB">
      <w:pPr>
        <w:pStyle w:val="BodyText"/>
      </w:pPr>
      <w:r w:rsidRPr="00B93EE1">
        <w:t xml:space="preserve">A Council of Financial Regulators is in place to facilitate cooperation between the </w:t>
      </w:r>
      <w:proofErr w:type="spellStart"/>
      <w:r w:rsidRPr="00B93EE1">
        <w:t>RBNZ</w:t>
      </w:r>
      <w:proofErr w:type="spellEnd"/>
      <w:r w:rsidRPr="00B93EE1">
        <w:t xml:space="preserve"> (banks and insurance regulators), the Financial Markets Authority (</w:t>
      </w:r>
      <w:proofErr w:type="spellStart"/>
      <w:r w:rsidRPr="00B93EE1">
        <w:t>FMA</w:t>
      </w:r>
      <w:proofErr w:type="spellEnd"/>
      <w:r w:rsidRPr="00B93EE1">
        <w:t>) (the capital markets regulator), and other government departments involved in financial regulation.</w:t>
      </w:r>
    </w:p>
    <w:p w14:paraId="3FF336BD" w14:textId="77777777" w:rsidR="00120717" w:rsidRPr="00F64A35" w:rsidRDefault="00120717" w:rsidP="008B54EB">
      <w:pPr>
        <w:pStyle w:val="BodyText"/>
      </w:pPr>
      <w:r w:rsidRPr="00B93EE1">
        <w:t>The Anti-Money Laundering and Countering Financing of Terrorism Act (AML/</w:t>
      </w:r>
      <w:proofErr w:type="spellStart"/>
      <w:r w:rsidRPr="00B93EE1">
        <w:t>CFT</w:t>
      </w:r>
      <w:proofErr w:type="spellEnd"/>
      <w:r w:rsidRPr="00B93EE1">
        <w:t>) 2009 seeks to contribute to public confidence in New Zealand's financial system and bring New Zealand's approach to detecting and deterring money laundering and terrorism financing in line with international standards.</w:t>
      </w:r>
      <w:r w:rsidRPr="00B93EE1">
        <w:rPr>
          <w:rStyle w:val="FootnoteReference"/>
        </w:rPr>
        <w:footnoteReference w:id="382"/>
      </w:r>
      <w:r w:rsidRPr="00B93EE1">
        <w:t xml:space="preserve"> The Act provides a regime for the supervision, monitoring, and </w:t>
      </w:r>
      <w:r w:rsidRPr="00B93EE1">
        <w:lastRenderedPageBreak/>
        <w:t>enforcement of AML/</w:t>
      </w:r>
      <w:proofErr w:type="spellStart"/>
      <w:r w:rsidRPr="00B93EE1">
        <w:t>CFT</w:t>
      </w:r>
      <w:proofErr w:type="spellEnd"/>
      <w:r w:rsidRPr="00B93EE1">
        <w:t xml:space="preserve"> obligations by the </w:t>
      </w:r>
      <w:proofErr w:type="spellStart"/>
      <w:r w:rsidRPr="00B93EE1">
        <w:t>RBNZ</w:t>
      </w:r>
      <w:proofErr w:type="spellEnd"/>
      <w:r w:rsidRPr="00B93EE1">
        <w:t xml:space="preserve">, the </w:t>
      </w:r>
      <w:proofErr w:type="spellStart"/>
      <w:r w:rsidRPr="00B93EE1">
        <w:t>FMA</w:t>
      </w:r>
      <w:proofErr w:type="spellEnd"/>
      <w:r w:rsidRPr="00B93EE1">
        <w:t>, and the Department of Internal Affairs. It also put in place a set of requirements relating to customer due diligence, account monitoring, and suspicious transaction reporting. The AML/</w:t>
      </w:r>
      <w:proofErr w:type="spellStart"/>
      <w:r w:rsidRPr="00B93EE1">
        <w:t>CFT</w:t>
      </w:r>
      <w:proofErr w:type="spellEnd"/>
      <w:r w:rsidRPr="00B93EE1">
        <w:t xml:space="preserve"> Act was amended in 2018 to extend the coverage of the legislation to capture designated non-financial businesses and professions, e.g. lawyers.</w:t>
      </w:r>
    </w:p>
    <w:p w14:paraId="7087C64D" w14:textId="77777777" w:rsidR="00120717" w:rsidRPr="00F64A35" w:rsidRDefault="00120717" w:rsidP="008B54EB">
      <w:pPr>
        <w:pStyle w:val="BodyText"/>
      </w:pPr>
      <w:r w:rsidRPr="00B93EE1">
        <w:t>On 9 July 2021, a new set of regulations on AML/</w:t>
      </w:r>
      <w:proofErr w:type="spellStart"/>
      <w:r w:rsidRPr="00B93EE1">
        <w:t>CFT</w:t>
      </w:r>
      <w:proofErr w:type="spellEnd"/>
      <w:r w:rsidRPr="00B93EE1">
        <w:t xml:space="preserve"> came into force.</w:t>
      </w:r>
      <w:r w:rsidRPr="00B93EE1">
        <w:rPr>
          <w:rStyle w:val="FootnoteReference"/>
        </w:rPr>
        <w:footnoteReference w:id="383"/>
      </w:r>
      <w:r w:rsidRPr="00B93EE1">
        <w:t xml:space="preserve"> Some of the changes introduced by the amendment regulations provide clarification to the existing regulations and exemptions. The amendment regulations also expand and amend reporting entities' customer due diligence obligations to establish whether their customer (a company) has any nominee directors, nominee shareholders, or nominee general partners; verify information about such persons in the prescribed manner; and, where such nominees exist, undertake enhanced customer due diligence.</w:t>
      </w:r>
    </w:p>
    <w:p w14:paraId="23CF696B" w14:textId="77777777" w:rsidR="00120717" w:rsidRPr="00F64A35" w:rsidRDefault="00120717" w:rsidP="008B54EB">
      <w:pPr>
        <w:pStyle w:val="BodyText"/>
      </w:pPr>
      <w:r w:rsidRPr="00B93EE1">
        <w:t xml:space="preserve">The main challenges facing New Zealand's financial sector include the rapid increase in </w:t>
      </w:r>
      <w:r w:rsidRPr="00B93EE1">
        <w:rPr>
          <w:shd w:val="clear" w:color="auto" w:fill="FFFFFF"/>
        </w:rPr>
        <w:t>housing prices over the past 18 months to above what appears to be sustainable, increasing the chance of a correction. Also, recent buyers are borrowing more relative to their income, and may be vulnerable to higher mortgage rates or a fall in house prices.</w:t>
      </w:r>
      <w:r w:rsidRPr="00B93EE1">
        <w:t xml:space="preserve"> Another important risk is that posed by climate change. The </w:t>
      </w:r>
      <w:proofErr w:type="spellStart"/>
      <w:r w:rsidRPr="00B93EE1">
        <w:t>RBNZ</w:t>
      </w:r>
      <w:proofErr w:type="spellEnd"/>
      <w:r w:rsidRPr="00B93EE1">
        <w:t xml:space="preserve"> sees climate change as a risk to financial stability, given its associated physical and transitional risks. In recent years, for example, the costs of weather-related catastrophes in New Zealand have been rising. During the review period, New Zealand experienced some of its most costly tornados, floods, hailstorms, and fires. For insurance companies, this implies increasing claims</w:t>
      </w:r>
      <w:r w:rsidRPr="00B93EE1">
        <w:rPr>
          <w:rStyle w:val="FootnoteReference"/>
          <w:szCs w:val="18"/>
        </w:rPr>
        <w:footnoteReference w:id="384"/>
      </w:r>
      <w:r w:rsidRPr="00B93EE1">
        <w:t>, leading to situations where insurance cover might become more expensive or unavailable, as it would no longer be commercially viable.</w:t>
      </w:r>
    </w:p>
    <w:p w14:paraId="670BE1A5" w14:textId="77777777" w:rsidR="00120717" w:rsidRPr="00F64A35" w:rsidRDefault="00120717" w:rsidP="008B54EB">
      <w:pPr>
        <w:pStyle w:val="BodyText"/>
      </w:pPr>
      <w:r w:rsidRPr="00B93EE1">
        <w:t>For banks, this will mean increased risks to the properties they rely on as collateral.</w:t>
      </w:r>
      <w:r w:rsidRPr="00B93EE1">
        <w:rPr>
          <w:rStyle w:val="FootnoteReference"/>
        </w:rPr>
        <w:footnoteReference w:id="385"/>
      </w:r>
      <w:r w:rsidRPr="00B93EE1">
        <w:t xml:space="preserve"> There will also be an increased risk of default, for example, by agricultural borrowers dealing with the impacts of increasingly extreme weather, such as droughts. In that respect, financial authorities are looking to introduce a mandatory climate-related financial disclosure for financial entities. In October 2021, the Financial Sector (Climate-related Disclosures and Other Matters) Amendment Bill was passed and received Royal Assent. It aims to make climate-related disclosure mandatory for several entities, including</w:t>
      </w:r>
      <w:r w:rsidRPr="00B93EE1">
        <w:rPr>
          <w:rFonts w:ascii="Roboto" w:hAnsi="Roboto"/>
          <w:color w:val="000000"/>
          <w:shd w:val="clear" w:color="auto" w:fill="FFFFFF"/>
        </w:rPr>
        <w:t xml:space="preserve"> </w:t>
      </w:r>
      <w:r w:rsidRPr="00B93EE1">
        <w:t>large listed companies with a market capitalization of more than NZD 60 million; and large licensed insurers, registered banks, credit unions, building societies, and managers of investment schemes with more than NZD 1 billion in assets. The aim is to ensure that businesses factor the effects of climate change into their business decisions.</w:t>
      </w:r>
      <w:r w:rsidRPr="00B93EE1">
        <w:rPr>
          <w:rStyle w:val="FootnoteReference"/>
        </w:rPr>
        <w:footnoteReference w:id="386"/>
      </w:r>
      <w:r w:rsidRPr="00B93EE1">
        <w:t xml:space="preserve"> The Government has tasked the External Reporting Board (</w:t>
      </w:r>
      <w:proofErr w:type="spellStart"/>
      <w:r w:rsidRPr="00B93EE1">
        <w:t>XRB</w:t>
      </w:r>
      <w:proofErr w:type="spellEnd"/>
      <w:r w:rsidRPr="00B93EE1">
        <w:t>), an independent Crown entity responsible for accounting, auditing, and assurance standards in New Zealand, with developing reporting standards to support the new reporting regime. The first climate standard is expected in December 2022.</w:t>
      </w:r>
    </w:p>
    <w:p w14:paraId="4DDC647C" w14:textId="77777777" w:rsidR="00120717" w:rsidRPr="00F64A35" w:rsidRDefault="00120717" w:rsidP="00E962FF">
      <w:pPr>
        <w:pStyle w:val="Heading4"/>
        <w:numPr>
          <w:ilvl w:val="3"/>
          <w:numId w:val="42"/>
        </w:numPr>
      </w:pPr>
      <w:bookmarkStart w:id="239" w:name="_Toc97800204"/>
      <w:r w:rsidRPr="00B93EE1">
        <w:t>Banking</w:t>
      </w:r>
      <w:bookmarkEnd w:id="239"/>
    </w:p>
    <w:p w14:paraId="1B07D851" w14:textId="77777777" w:rsidR="00120717" w:rsidRPr="00F64A35" w:rsidRDefault="00120717" w:rsidP="008B54EB">
      <w:pPr>
        <w:pStyle w:val="BodyText"/>
      </w:pPr>
      <w:r w:rsidRPr="00B93EE1">
        <w:t>There are currently 27 registered banks (up from 25 in 2014) (Table 4.7). The four large Australian-owned banks (</w:t>
      </w:r>
      <w:proofErr w:type="spellStart"/>
      <w:r w:rsidRPr="00B93EE1">
        <w:t>ANZ</w:t>
      </w:r>
      <w:proofErr w:type="spellEnd"/>
      <w:r w:rsidRPr="00B93EE1">
        <w:t xml:space="preserve"> Bank, </w:t>
      </w:r>
      <w:proofErr w:type="spellStart"/>
      <w:r w:rsidRPr="00B93EE1">
        <w:t>ASB</w:t>
      </w:r>
      <w:proofErr w:type="spellEnd"/>
      <w:r w:rsidRPr="00B93EE1">
        <w:t xml:space="preserve"> Bank, Bank of New Zealand, and Westpac New Zealand) hold 85% of bank lending, and the five New Zealand-owned banks account for 9%, illustrating that New Zealand's overall banking industry continued to be dominated by these four institutions, also classified as the country's domestic systemically important banks (D-</w:t>
      </w:r>
      <w:proofErr w:type="spellStart"/>
      <w:r w:rsidRPr="00B93EE1">
        <w:t>SIBs</w:t>
      </w:r>
      <w:proofErr w:type="spellEnd"/>
      <w:r w:rsidRPr="00B93EE1">
        <w:t xml:space="preserve">). However, the </w:t>
      </w:r>
      <w:proofErr w:type="spellStart"/>
      <w:r w:rsidRPr="00B93EE1">
        <w:t>RBNZ's</w:t>
      </w:r>
      <w:proofErr w:type="spellEnd"/>
      <w:r w:rsidRPr="00B93EE1">
        <w:t xml:space="preserve"> November 2021 Financial Stability Report indicates that concentration across key bank lending and deposit markets has been gradually decreasing. Domestic-owned banks have increased their market shares in the residential mortgage lending and household deposit markets over the past two decades.</w:t>
      </w:r>
    </w:p>
    <w:p w14:paraId="17026B27" w14:textId="07ED7B8C" w:rsidR="00120717" w:rsidRPr="00B93EE1" w:rsidRDefault="00D37A97" w:rsidP="00D37A97">
      <w:pPr>
        <w:pStyle w:val="Caption"/>
      </w:pPr>
      <w:bookmarkStart w:id="240" w:name="_Toc97793411"/>
      <w:r>
        <w:lastRenderedPageBreak/>
        <w:t xml:space="preserve">Table </w:t>
      </w:r>
      <w:r w:rsidR="0012793B">
        <w:fldChar w:fldCharType="begin"/>
      </w:r>
      <w:r w:rsidR="0012793B">
        <w:instrText xml:space="preserve"> STYLEREF 1 \s </w:instrText>
      </w:r>
      <w:r w:rsidR="0012793B">
        <w:fldChar w:fldCharType="separate"/>
      </w:r>
      <w:r>
        <w:rPr>
          <w:noProof/>
        </w:rPr>
        <w:t>4</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7</w:t>
      </w:r>
      <w:r w:rsidR="0012793B">
        <w:rPr>
          <w:noProof/>
        </w:rPr>
        <w:fldChar w:fldCharType="end"/>
      </w:r>
      <w:r>
        <w:t xml:space="preserve"> </w:t>
      </w:r>
      <w:r w:rsidR="00120717" w:rsidRPr="00B93EE1">
        <w:t>Registered banks, 2022</w:t>
      </w:r>
      <w:bookmarkEnd w:id="240"/>
    </w:p>
    <w:tbl>
      <w:tblPr>
        <w:tblStyle w:val="WTOTable1"/>
        <w:tblW w:w="0" w:type="auto"/>
        <w:jc w:val="center"/>
        <w:tblLook w:val="04A0" w:firstRow="1" w:lastRow="0" w:firstColumn="1" w:lastColumn="0" w:noHBand="0" w:noVBand="1"/>
      </w:tblPr>
      <w:tblGrid>
        <w:gridCol w:w="4068"/>
        <w:gridCol w:w="3314"/>
        <w:gridCol w:w="1634"/>
      </w:tblGrid>
      <w:tr w:rsidR="00120717" w:rsidRPr="00B93EE1" w14:paraId="1232D467" w14:textId="77777777" w:rsidTr="0023186F">
        <w:trPr>
          <w:cnfStyle w:val="100000000000" w:firstRow="1" w:lastRow="0" w:firstColumn="0" w:lastColumn="0" w:oddVBand="0" w:evenVBand="0" w:oddHBand="0" w:evenHBand="0" w:firstRowFirstColumn="0" w:firstRowLastColumn="0" w:lastRowFirstColumn="0" w:lastRowLastColumn="0"/>
          <w:jc w:val="center"/>
        </w:trPr>
        <w:tc>
          <w:tcPr>
            <w:tcW w:w="0" w:type="auto"/>
            <w:vAlign w:val="center"/>
          </w:tcPr>
          <w:p w14:paraId="52D574D5" w14:textId="77777777" w:rsidR="00120717" w:rsidRPr="00B93EE1" w:rsidRDefault="00120717" w:rsidP="00AA39ED">
            <w:pPr>
              <w:keepNext/>
              <w:keepLines/>
              <w:jc w:val="left"/>
              <w:rPr>
                <w:b w:val="0"/>
                <w:sz w:val="16"/>
                <w:szCs w:val="16"/>
              </w:rPr>
            </w:pPr>
            <w:r w:rsidRPr="00B93EE1">
              <w:rPr>
                <w:sz w:val="16"/>
                <w:szCs w:val="16"/>
              </w:rPr>
              <w:t>Bank</w:t>
            </w:r>
          </w:p>
        </w:tc>
        <w:tc>
          <w:tcPr>
            <w:tcW w:w="0" w:type="auto"/>
            <w:vAlign w:val="center"/>
          </w:tcPr>
          <w:p w14:paraId="61EFFC06" w14:textId="77777777" w:rsidR="00120717" w:rsidRPr="00B93EE1" w:rsidRDefault="00120717" w:rsidP="00AA39ED">
            <w:pPr>
              <w:keepNext/>
              <w:keepLines/>
              <w:jc w:val="left"/>
              <w:rPr>
                <w:b w:val="0"/>
                <w:sz w:val="16"/>
                <w:szCs w:val="16"/>
              </w:rPr>
            </w:pPr>
            <w:r w:rsidRPr="00B93EE1">
              <w:rPr>
                <w:sz w:val="16"/>
                <w:szCs w:val="16"/>
              </w:rPr>
              <w:t>Ultimate parent</w:t>
            </w:r>
          </w:p>
        </w:tc>
        <w:tc>
          <w:tcPr>
            <w:tcW w:w="0" w:type="auto"/>
            <w:vAlign w:val="center"/>
          </w:tcPr>
          <w:p w14:paraId="4EA45A8E" w14:textId="77777777" w:rsidR="00120717" w:rsidRPr="00B93EE1" w:rsidRDefault="00120717" w:rsidP="00AA39ED">
            <w:pPr>
              <w:keepNext/>
              <w:keepLines/>
              <w:jc w:val="left"/>
              <w:rPr>
                <w:b w:val="0"/>
                <w:sz w:val="16"/>
                <w:szCs w:val="16"/>
              </w:rPr>
            </w:pPr>
            <w:r w:rsidRPr="00B93EE1">
              <w:rPr>
                <w:sz w:val="16"/>
                <w:szCs w:val="16"/>
              </w:rPr>
              <w:t>Country of parent</w:t>
            </w:r>
          </w:p>
        </w:tc>
      </w:tr>
      <w:tr w:rsidR="00120717" w:rsidRPr="00B93EE1" w14:paraId="212EB57C" w14:textId="77777777" w:rsidTr="0023186F">
        <w:trPr>
          <w:jc w:val="center"/>
        </w:trPr>
        <w:tc>
          <w:tcPr>
            <w:tcW w:w="0" w:type="auto"/>
          </w:tcPr>
          <w:p w14:paraId="430B2C97" w14:textId="77777777" w:rsidR="00120717" w:rsidRPr="00B93EE1" w:rsidRDefault="00120717" w:rsidP="00172256">
            <w:pPr>
              <w:keepNext/>
              <w:keepLines/>
              <w:spacing w:after="60"/>
              <w:jc w:val="left"/>
              <w:rPr>
                <w:sz w:val="16"/>
                <w:szCs w:val="16"/>
              </w:rPr>
            </w:pPr>
            <w:r w:rsidRPr="00B93EE1">
              <w:rPr>
                <w:sz w:val="16"/>
                <w:szCs w:val="16"/>
              </w:rPr>
              <w:t>Australia and New Zealand Banking Group Limited</w:t>
            </w:r>
          </w:p>
        </w:tc>
        <w:tc>
          <w:tcPr>
            <w:tcW w:w="0" w:type="auto"/>
          </w:tcPr>
          <w:p w14:paraId="1EBA6709" w14:textId="77777777" w:rsidR="00120717" w:rsidRPr="00B93EE1" w:rsidRDefault="00120717" w:rsidP="00172256">
            <w:pPr>
              <w:keepNext/>
              <w:keepLines/>
              <w:spacing w:after="60"/>
              <w:jc w:val="left"/>
              <w:rPr>
                <w:sz w:val="16"/>
                <w:szCs w:val="16"/>
              </w:rPr>
            </w:pPr>
            <w:r w:rsidRPr="00B93EE1">
              <w:rPr>
                <w:sz w:val="16"/>
                <w:szCs w:val="16"/>
              </w:rPr>
              <w:t>Branch</w:t>
            </w:r>
          </w:p>
        </w:tc>
        <w:tc>
          <w:tcPr>
            <w:tcW w:w="0" w:type="auto"/>
          </w:tcPr>
          <w:p w14:paraId="700F975D" w14:textId="77777777" w:rsidR="00120717" w:rsidRPr="00B93EE1" w:rsidRDefault="00120717" w:rsidP="00172256">
            <w:pPr>
              <w:keepNext/>
              <w:keepLines/>
              <w:spacing w:after="60"/>
              <w:rPr>
                <w:sz w:val="16"/>
                <w:szCs w:val="16"/>
              </w:rPr>
            </w:pPr>
            <w:r w:rsidRPr="00B93EE1">
              <w:rPr>
                <w:sz w:val="16"/>
                <w:szCs w:val="16"/>
              </w:rPr>
              <w:t>Australia</w:t>
            </w:r>
          </w:p>
        </w:tc>
      </w:tr>
      <w:tr w:rsidR="00120717" w:rsidRPr="00B93EE1" w14:paraId="33025F59"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17F522B4" w14:textId="77777777" w:rsidR="00120717" w:rsidRPr="00B93EE1" w:rsidRDefault="00120717" w:rsidP="000249B3">
            <w:pPr>
              <w:spacing w:after="60"/>
              <w:jc w:val="left"/>
              <w:rPr>
                <w:sz w:val="16"/>
                <w:szCs w:val="16"/>
              </w:rPr>
            </w:pPr>
            <w:proofErr w:type="spellStart"/>
            <w:r w:rsidRPr="00B93EE1">
              <w:rPr>
                <w:sz w:val="16"/>
                <w:szCs w:val="16"/>
              </w:rPr>
              <w:t>ANZ</w:t>
            </w:r>
            <w:proofErr w:type="spellEnd"/>
            <w:r w:rsidRPr="00B93EE1">
              <w:rPr>
                <w:sz w:val="16"/>
                <w:szCs w:val="16"/>
              </w:rPr>
              <w:t xml:space="preserve"> Bank Limited</w:t>
            </w:r>
          </w:p>
        </w:tc>
        <w:tc>
          <w:tcPr>
            <w:tcW w:w="0" w:type="auto"/>
          </w:tcPr>
          <w:p w14:paraId="3240FFE6" w14:textId="77777777" w:rsidR="00120717" w:rsidRPr="00B93EE1" w:rsidRDefault="00120717" w:rsidP="000249B3">
            <w:pPr>
              <w:spacing w:after="60"/>
              <w:jc w:val="left"/>
              <w:rPr>
                <w:sz w:val="16"/>
                <w:szCs w:val="16"/>
              </w:rPr>
            </w:pPr>
            <w:r w:rsidRPr="00B93EE1">
              <w:rPr>
                <w:sz w:val="16"/>
                <w:szCs w:val="16"/>
              </w:rPr>
              <w:t>Australia and New Zealand Banking Group Limited</w:t>
            </w:r>
          </w:p>
        </w:tc>
        <w:tc>
          <w:tcPr>
            <w:tcW w:w="0" w:type="auto"/>
          </w:tcPr>
          <w:p w14:paraId="02A5F05A" w14:textId="77777777" w:rsidR="00120717" w:rsidRPr="00B93EE1" w:rsidRDefault="00120717" w:rsidP="000249B3">
            <w:pPr>
              <w:spacing w:after="60"/>
              <w:rPr>
                <w:sz w:val="16"/>
                <w:szCs w:val="16"/>
              </w:rPr>
            </w:pPr>
            <w:r w:rsidRPr="00B93EE1">
              <w:rPr>
                <w:sz w:val="16"/>
                <w:szCs w:val="16"/>
              </w:rPr>
              <w:t>Australia</w:t>
            </w:r>
          </w:p>
        </w:tc>
      </w:tr>
      <w:tr w:rsidR="00120717" w:rsidRPr="00B93EE1" w14:paraId="6B0121DD" w14:textId="77777777" w:rsidTr="0023186F">
        <w:trPr>
          <w:jc w:val="center"/>
        </w:trPr>
        <w:tc>
          <w:tcPr>
            <w:tcW w:w="0" w:type="auto"/>
          </w:tcPr>
          <w:p w14:paraId="7D10AB14" w14:textId="77777777" w:rsidR="00120717" w:rsidRPr="00B93EE1" w:rsidRDefault="00120717" w:rsidP="000249B3">
            <w:pPr>
              <w:spacing w:after="60"/>
              <w:jc w:val="left"/>
              <w:rPr>
                <w:sz w:val="16"/>
                <w:szCs w:val="16"/>
              </w:rPr>
            </w:pPr>
            <w:r w:rsidRPr="00B93EE1">
              <w:rPr>
                <w:sz w:val="16"/>
                <w:szCs w:val="16"/>
              </w:rPr>
              <w:t>Commonwealth Bank of Australia</w:t>
            </w:r>
          </w:p>
        </w:tc>
        <w:tc>
          <w:tcPr>
            <w:tcW w:w="0" w:type="auto"/>
          </w:tcPr>
          <w:p w14:paraId="038015A1" w14:textId="77777777" w:rsidR="00120717" w:rsidRPr="00B93EE1" w:rsidRDefault="00120717" w:rsidP="000249B3">
            <w:pPr>
              <w:spacing w:after="60"/>
              <w:jc w:val="left"/>
              <w:rPr>
                <w:sz w:val="16"/>
                <w:szCs w:val="16"/>
              </w:rPr>
            </w:pPr>
            <w:r w:rsidRPr="00B93EE1">
              <w:rPr>
                <w:sz w:val="16"/>
                <w:szCs w:val="16"/>
              </w:rPr>
              <w:t>Branch</w:t>
            </w:r>
          </w:p>
        </w:tc>
        <w:tc>
          <w:tcPr>
            <w:tcW w:w="0" w:type="auto"/>
          </w:tcPr>
          <w:p w14:paraId="63CA8299" w14:textId="77777777" w:rsidR="00120717" w:rsidRPr="00B93EE1" w:rsidRDefault="00120717" w:rsidP="000249B3">
            <w:pPr>
              <w:spacing w:after="60"/>
              <w:rPr>
                <w:sz w:val="16"/>
                <w:szCs w:val="16"/>
              </w:rPr>
            </w:pPr>
            <w:r w:rsidRPr="00B93EE1">
              <w:rPr>
                <w:sz w:val="16"/>
                <w:szCs w:val="16"/>
              </w:rPr>
              <w:t>Australia</w:t>
            </w:r>
          </w:p>
        </w:tc>
      </w:tr>
      <w:tr w:rsidR="00120717" w:rsidRPr="00B93EE1" w14:paraId="0B8B9C8A"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257D05E9" w14:textId="77777777" w:rsidR="00120717" w:rsidRPr="00B93EE1" w:rsidRDefault="00120717" w:rsidP="000249B3">
            <w:pPr>
              <w:spacing w:after="60"/>
              <w:jc w:val="left"/>
              <w:rPr>
                <w:sz w:val="16"/>
                <w:szCs w:val="16"/>
              </w:rPr>
            </w:pPr>
            <w:proofErr w:type="spellStart"/>
            <w:r w:rsidRPr="00B93EE1">
              <w:rPr>
                <w:sz w:val="16"/>
                <w:szCs w:val="16"/>
              </w:rPr>
              <w:t>ASB</w:t>
            </w:r>
            <w:proofErr w:type="spellEnd"/>
            <w:r w:rsidRPr="00B93EE1">
              <w:rPr>
                <w:sz w:val="16"/>
                <w:szCs w:val="16"/>
              </w:rPr>
              <w:t xml:space="preserve"> Bank Limited</w:t>
            </w:r>
          </w:p>
        </w:tc>
        <w:tc>
          <w:tcPr>
            <w:tcW w:w="0" w:type="auto"/>
          </w:tcPr>
          <w:p w14:paraId="48588167" w14:textId="77777777" w:rsidR="00120717" w:rsidRPr="00B93EE1" w:rsidRDefault="00120717" w:rsidP="000249B3">
            <w:pPr>
              <w:spacing w:after="60"/>
              <w:jc w:val="left"/>
              <w:rPr>
                <w:sz w:val="16"/>
                <w:szCs w:val="16"/>
              </w:rPr>
            </w:pPr>
            <w:r w:rsidRPr="00B93EE1">
              <w:rPr>
                <w:sz w:val="16"/>
                <w:szCs w:val="16"/>
              </w:rPr>
              <w:t>Commonwealth Bank of Australia</w:t>
            </w:r>
          </w:p>
        </w:tc>
        <w:tc>
          <w:tcPr>
            <w:tcW w:w="0" w:type="auto"/>
          </w:tcPr>
          <w:p w14:paraId="06692A62" w14:textId="77777777" w:rsidR="00120717" w:rsidRPr="00B93EE1" w:rsidRDefault="00120717" w:rsidP="000249B3">
            <w:pPr>
              <w:spacing w:after="60"/>
              <w:rPr>
                <w:sz w:val="16"/>
                <w:szCs w:val="16"/>
              </w:rPr>
            </w:pPr>
            <w:r w:rsidRPr="00B93EE1">
              <w:rPr>
                <w:sz w:val="16"/>
                <w:szCs w:val="16"/>
              </w:rPr>
              <w:t>Australia</w:t>
            </w:r>
          </w:p>
        </w:tc>
      </w:tr>
      <w:tr w:rsidR="00120717" w:rsidRPr="00B93EE1" w14:paraId="55A1381C" w14:textId="77777777" w:rsidTr="0023186F">
        <w:trPr>
          <w:jc w:val="center"/>
        </w:trPr>
        <w:tc>
          <w:tcPr>
            <w:tcW w:w="0" w:type="auto"/>
          </w:tcPr>
          <w:p w14:paraId="060110AF" w14:textId="77777777" w:rsidR="00120717" w:rsidRPr="00B93EE1" w:rsidRDefault="00120717" w:rsidP="000249B3">
            <w:pPr>
              <w:spacing w:after="60"/>
              <w:jc w:val="left"/>
              <w:rPr>
                <w:sz w:val="16"/>
                <w:szCs w:val="16"/>
              </w:rPr>
            </w:pPr>
            <w:r w:rsidRPr="00B93EE1">
              <w:rPr>
                <w:sz w:val="16"/>
                <w:szCs w:val="16"/>
              </w:rPr>
              <w:t>Bank of New Zealand</w:t>
            </w:r>
          </w:p>
        </w:tc>
        <w:tc>
          <w:tcPr>
            <w:tcW w:w="0" w:type="auto"/>
          </w:tcPr>
          <w:p w14:paraId="71E9C60A" w14:textId="77777777" w:rsidR="00120717" w:rsidRPr="00B93EE1" w:rsidRDefault="00120717" w:rsidP="000249B3">
            <w:pPr>
              <w:spacing w:after="60"/>
              <w:jc w:val="left"/>
              <w:rPr>
                <w:sz w:val="16"/>
                <w:szCs w:val="16"/>
              </w:rPr>
            </w:pPr>
            <w:r w:rsidRPr="00B93EE1">
              <w:rPr>
                <w:sz w:val="16"/>
                <w:szCs w:val="16"/>
              </w:rPr>
              <w:t>National Australia Bank</w:t>
            </w:r>
          </w:p>
        </w:tc>
        <w:tc>
          <w:tcPr>
            <w:tcW w:w="0" w:type="auto"/>
          </w:tcPr>
          <w:p w14:paraId="305F5DE0" w14:textId="77777777" w:rsidR="00120717" w:rsidRPr="00B93EE1" w:rsidRDefault="00120717" w:rsidP="000249B3">
            <w:pPr>
              <w:spacing w:after="60"/>
              <w:rPr>
                <w:sz w:val="16"/>
                <w:szCs w:val="16"/>
              </w:rPr>
            </w:pPr>
            <w:r w:rsidRPr="00B93EE1">
              <w:rPr>
                <w:sz w:val="16"/>
                <w:szCs w:val="16"/>
              </w:rPr>
              <w:t>Australia</w:t>
            </w:r>
          </w:p>
        </w:tc>
      </w:tr>
      <w:tr w:rsidR="00120717" w:rsidRPr="00B93EE1" w14:paraId="07FDCFCB"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24F26CEE" w14:textId="77777777" w:rsidR="00120717" w:rsidRPr="00B93EE1" w:rsidRDefault="00120717" w:rsidP="000249B3">
            <w:pPr>
              <w:spacing w:after="60"/>
              <w:jc w:val="left"/>
              <w:rPr>
                <w:sz w:val="16"/>
                <w:szCs w:val="16"/>
              </w:rPr>
            </w:pPr>
            <w:r w:rsidRPr="00B93EE1">
              <w:rPr>
                <w:sz w:val="16"/>
                <w:szCs w:val="16"/>
              </w:rPr>
              <w:t>Bank of Baroda (New Zealand) Limited</w:t>
            </w:r>
          </w:p>
        </w:tc>
        <w:tc>
          <w:tcPr>
            <w:tcW w:w="0" w:type="auto"/>
          </w:tcPr>
          <w:p w14:paraId="0349A960" w14:textId="77777777" w:rsidR="00120717" w:rsidRPr="00B93EE1" w:rsidRDefault="00120717" w:rsidP="000249B3">
            <w:pPr>
              <w:spacing w:after="60"/>
              <w:jc w:val="left"/>
              <w:rPr>
                <w:sz w:val="16"/>
                <w:szCs w:val="16"/>
              </w:rPr>
            </w:pPr>
            <w:r w:rsidRPr="00B93EE1">
              <w:rPr>
                <w:sz w:val="16"/>
                <w:szCs w:val="16"/>
              </w:rPr>
              <w:t>Bank of Baroda</w:t>
            </w:r>
          </w:p>
        </w:tc>
        <w:tc>
          <w:tcPr>
            <w:tcW w:w="0" w:type="auto"/>
          </w:tcPr>
          <w:p w14:paraId="3BF38338" w14:textId="77777777" w:rsidR="00120717" w:rsidRPr="00B93EE1" w:rsidRDefault="00120717" w:rsidP="000249B3">
            <w:pPr>
              <w:spacing w:after="60"/>
              <w:rPr>
                <w:sz w:val="16"/>
                <w:szCs w:val="16"/>
              </w:rPr>
            </w:pPr>
            <w:r w:rsidRPr="00B93EE1">
              <w:rPr>
                <w:sz w:val="16"/>
                <w:szCs w:val="16"/>
              </w:rPr>
              <w:t>India</w:t>
            </w:r>
          </w:p>
        </w:tc>
      </w:tr>
      <w:tr w:rsidR="00120717" w:rsidRPr="00B93EE1" w14:paraId="03FCDED4" w14:textId="77777777" w:rsidTr="0023186F">
        <w:trPr>
          <w:jc w:val="center"/>
        </w:trPr>
        <w:tc>
          <w:tcPr>
            <w:tcW w:w="0" w:type="auto"/>
          </w:tcPr>
          <w:p w14:paraId="2F195E10" w14:textId="77777777" w:rsidR="00120717" w:rsidRPr="00B93EE1" w:rsidRDefault="00120717" w:rsidP="000249B3">
            <w:pPr>
              <w:spacing w:after="60"/>
              <w:jc w:val="left"/>
              <w:rPr>
                <w:sz w:val="16"/>
                <w:szCs w:val="16"/>
                <w:vertAlign w:val="superscript"/>
              </w:rPr>
            </w:pPr>
            <w:r w:rsidRPr="00B93EE1">
              <w:rPr>
                <w:sz w:val="16"/>
                <w:szCs w:val="16"/>
              </w:rPr>
              <w:t>Bank of China (New Zealand) Limited</w:t>
            </w:r>
          </w:p>
        </w:tc>
        <w:tc>
          <w:tcPr>
            <w:tcW w:w="0" w:type="auto"/>
          </w:tcPr>
          <w:p w14:paraId="7B3A51F1" w14:textId="77777777" w:rsidR="00120717" w:rsidRPr="00B93EE1" w:rsidRDefault="00120717" w:rsidP="000249B3">
            <w:pPr>
              <w:spacing w:after="60"/>
              <w:jc w:val="left"/>
              <w:rPr>
                <w:sz w:val="16"/>
                <w:szCs w:val="16"/>
              </w:rPr>
            </w:pPr>
            <w:r w:rsidRPr="00B93EE1">
              <w:rPr>
                <w:sz w:val="16"/>
                <w:szCs w:val="16"/>
              </w:rPr>
              <w:t>Bank of China</w:t>
            </w:r>
          </w:p>
        </w:tc>
        <w:tc>
          <w:tcPr>
            <w:tcW w:w="0" w:type="auto"/>
          </w:tcPr>
          <w:p w14:paraId="07668B5B" w14:textId="77777777" w:rsidR="00120717" w:rsidRPr="00B93EE1" w:rsidRDefault="00120717" w:rsidP="000249B3">
            <w:pPr>
              <w:spacing w:after="60"/>
              <w:rPr>
                <w:sz w:val="16"/>
                <w:szCs w:val="16"/>
              </w:rPr>
            </w:pPr>
            <w:r w:rsidRPr="00B93EE1">
              <w:rPr>
                <w:sz w:val="16"/>
                <w:szCs w:val="16"/>
              </w:rPr>
              <w:t>China</w:t>
            </w:r>
          </w:p>
        </w:tc>
      </w:tr>
      <w:tr w:rsidR="00120717" w:rsidRPr="00B93EE1" w14:paraId="1F31144E"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16FD2A68" w14:textId="77777777" w:rsidR="00120717" w:rsidRPr="00B93EE1" w:rsidRDefault="00120717" w:rsidP="000249B3">
            <w:pPr>
              <w:spacing w:after="60"/>
              <w:jc w:val="left"/>
              <w:rPr>
                <w:sz w:val="16"/>
                <w:szCs w:val="16"/>
              </w:rPr>
            </w:pPr>
            <w:r w:rsidRPr="00B93EE1">
              <w:rPr>
                <w:sz w:val="16"/>
                <w:szCs w:val="16"/>
              </w:rPr>
              <w:t>Bank of China Limited</w:t>
            </w:r>
          </w:p>
        </w:tc>
        <w:tc>
          <w:tcPr>
            <w:tcW w:w="0" w:type="auto"/>
          </w:tcPr>
          <w:p w14:paraId="0950A4E3" w14:textId="77777777" w:rsidR="00120717" w:rsidRPr="00B93EE1" w:rsidRDefault="00120717" w:rsidP="000249B3">
            <w:pPr>
              <w:spacing w:after="60"/>
              <w:jc w:val="left"/>
              <w:rPr>
                <w:sz w:val="16"/>
                <w:szCs w:val="16"/>
              </w:rPr>
            </w:pPr>
            <w:r w:rsidRPr="00B93EE1">
              <w:rPr>
                <w:sz w:val="16"/>
                <w:szCs w:val="16"/>
              </w:rPr>
              <w:t>Branch</w:t>
            </w:r>
          </w:p>
        </w:tc>
        <w:tc>
          <w:tcPr>
            <w:tcW w:w="0" w:type="auto"/>
          </w:tcPr>
          <w:p w14:paraId="75D2486A" w14:textId="77777777" w:rsidR="00120717" w:rsidRPr="00B93EE1" w:rsidRDefault="00120717" w:rsidP="000249B3">
            <w:pPr>
              <w:spacing w:after="60"/>
              <w:rPr>
                <w:sz w:val="16"/>
                <w:szCs w:val="16"/>
              </w:rPr>
            </w:pPr>
            <w:r w:rsidRPr="00B93EE1">
              <w:rPr>
                <w:sz w:val="16"/>
                <w:szCs w:val="16"/>
              </w:rPr>
              <w:t>China</w:t>
            </w:r>
          </w:p>
        </w:tc>
      </w:tr>
      <w:tr w:rsidR="00120717" w:rsidRPr="00B93EE1" w14:paraId="682546B7" w14:textId="77777777" w:rsidTr="0023186F">
        <w:trPr>
          <w:jc w:val="center"/>
        </w:trPr>
        <w:tc>
          <w:tcPr>
            <w:tcW w:w="0" w:type="auto"/>
          </w:tcPr>
          <w:p w14:paraId="38E4A950" w14:textId="77777777" w:rsidR="00120717" w:rsidRPr="00B93EE1" w:rsidRDefault="00120717" w:rsidP="000249B3">
            <w:pPr>
              <w:spacing w:after="60"/>
              <w:jc w:val="left"/>
              <w:rPr>
                <w:sz w:val="16"/>
                <w:szCs w:val="16"/>
              </w:rPr>
            </w:pPr>
            <w:r w:rsidRPr="00B93EE1">
              <w:rPr>
                <w:sz w:val="16"/>
                <w:szCs w:val="16"/>
              </w:rPr>
              <w:t>Bank of India (New Zealand) Limited</w:t>
            </w:r>
          </w:p>
        </w:tc>
        <w:tc>
          <w:tcPr>
            <w:tcW w:w="0" w:type="auto"/>
          </w:tcPr>
          <w:p w14:paraId="374025A6" w14:textId="77777777" w:rsidR="00120717" w:rsidRPr="00B93EE1" w:rsidRDefault="00120717" w:rsidP="000249B3">
            <w:pPr>
              <w:spacing w:after="60"/>
              <w:jc w:val="left"/>
              <w:rPr>
                <w:sz w:val="16"/>
                <w:szCs w:val="16"/>
              </w:rPr>
            </w:pPr>
            <w:r w:rsidRPr="00B93EE1">
              <w:rPr>
                <w:sz w:val="16"/>
                <w:szCs w:val="16"/>
              </w:rPr>
              <w:t>Bank of India</w:t>
            </w:r>
          </w:p>
        </w:tc>
        <w:tc>
          <w:tcPr>
            <w:tcW w:w="0" w:type="auto"/>
          </w:tcPr>
          <w:p w14:paraId="32F12500" w14:textId="77777777" w:rsidR="00120717" w:rsidRPr="00B93EE1" w:rsidRDefault="00120717" w:rsidP="000249B3">
            <w:pPr>
              <w:spacing w:after="60"/>
              <w:rPr>
                <w:sz w:val="16"/>
                <w:szCs w:val="16"/>
              </w:rPr>
            </w:pPr>
            <w:r w:rsidRPr="00B93EE1">
              <w:rPr>
                <w:sz w:val="16"/>
                <w:szCs w:val="16"/>
              </w:rPr>
              <w:t>India</w:t>
            </w:r>
          </w:p>
        </w:tc>
      </w:tr>
      <w:tr w:rsidR="00120717" w:rsidRPr="00B93EE1" w14:paraId="29BA63C0"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7916D2E3" w14:textId="77777777" w:rsidR="00120717" w:rsidRPr="00B93EE1" w:rsidRDefault="00120717" w:rsidP="000249B3">
            <w:pPr>
              <w:spacing w:after="60"/>
              <w:jc w:val="left"/>
              <w:rPr>
                <w:sz w:val="16"/>
                <w:szCs w:val="16"/>
              </w:rPr>
            </w:pPr>
            <w:r w:rsidRPr="00B93EE1">
              <w:rPr>
                <w:sz w:val="16"/>
                <w:szCs w:val="16"/>
              </w:rPr>
              <w:t>Citibank N.A.</w:t>
            </w:r>
          </w:p>
        </w:tc>
        <w:tc>
          <w:tcPr>
            <w:tcW w:w="0" w:type="auto"/>
          </w:tcPr>
          <w:p w14:paraId="7BA54AB1" w14:textId="77777777" w:rsidR="00120717" w:rsidRPr="00B93EE1" w:rsidRDefault="00120717" w:rsidP="000249B3">
            <w:pPr>
              <w:spacing w:after="60"/>
              <w:jc w:val="left"/>
              <w:rPr>
                <w:sz w:val="16"/>
                <w:szCs w:val="16"/>
              </w:rPr>
            </w:pPr>
            <w:r w:rsidRPr="00B93EE1">
              <w:rPr>
                <w:sz w:val="16"/>
                <w:szCs w:val="16"/>
              </w:rPr>
              <w:t>Branch</w:t>
            </w:r>
          </w:p>
        </w:tc>
        <w:tc>
          <w:tcPr>
            <w:tcW w:w="0" w:type="auto"/>
          </w:tcPr>
          <w:p w14:paraId="0F2F6ECD" w14:textId="77777777" w:rsidR="00120717" w:rsidRPr="00B93EE1" w:rsidRDefault="00120717" w:rsidP="000249B3">
            <w:pPr>
              <w:spacing w:after="60"/>
              <w:rPr>
                <w:sz w:val="16"/>
                <w:szCs w:val="16"/>
              </w:rPr>
            </w:pPr>
            <w:r w:rsidRPr="00B93EE1">
              <w:rPr>
                <w:sz w:val="16"/>
                <w:szCs w:val="16"/>
              </w:rPr>
              <w:t>United States</w:t>
            </w:r>
          </w:p>
        </w:tc>
      </w:tr>
      <w:tr w:rsidR="00120717" w:rsidRPr="00B93EE1" w14:paraId="4DDE1BD0" w14:textId="77777777" w:rsidTr="0023186F">
        <w:trPr>
          <w:jc w:val="center"/>
        </w:trPr>
        <w:tc>
          <w:tcPr>
            <w:tcW w:w="0" w:type="auto"/>
          </w:tcPr>
          <w:p w14:paraId="6E9175D8" w14:textId="77777777" w:rsidR="00120717" w:rsidRPr="00B93EE1" w:rsidRDefault="00120717" w:rsidP="000249B3">
            <w:pPr>
              <w:spacing w:after="60"/>
              <w:jc w:val="left"/>
              <w:rPr>
                <w:sz w:val="16"/>
                <w:szCs w:val="16"/>
                <w:vertAlign w:val="superscript"/>
              </w:rPr>
            </w:pPr>
            <w:r w:rsidRPr="00B93EE1">
              <w:rPr>
                <w:sz w:val="16"/>
                <w:szCs w:val="16"/>
              </w:rPr>
              <w:t>China Construction Bank (New Zealand) Limited</w:t>
            </w:r>
          </w:p>
        </w:tc>
        <w:tc>
          <w:tcPr>
            <w:tcW w:w="0" w:type="auto"/>
          </w:tcPr>
          <w:p w14:paraId="5D62C90B" w14:textId="77777777" w:rsidR="00120717" w:rsidRPr="00B93EE1" w:rsidRDefault="00120717" w:rsidP="000249B3">
            <w:pPr>
              <w:spacing w:after="60"/>
              <w:jc w:val="left"/>
              <w:rPr>
                <w:sz w:val="16"/>
                <w:szCs w:val="16"/>
              </w:rPr>
            </w:pPr>
            <w:r w:rsidRPr="00B93EE1">
              <w:rPr>
                <w:sz w:val="16"/>
                <w:szCs w:val="16"/>
              </w:rPr>
              <w:t>China Construction Bank</w:t>
            </w:r>
          </w:p>
        </w:tc>
        <w:tc>
          <w:tcPr>
            <w:tcW w:w="0" w:type="auto"/>
          </w:tcPr>
          <w:p w14:paraId="31C7824A" w14:textId="77777777" w:rsidR="00120717" w:rsidRPr="00B93EE1" w:rsidRDefault="00120717" w:rsidP="000249B3">
            <w:pPr>
              <w:spacing w:after="60"/>
              <w:rPr>
                <w:sz w:val="16"/>
                <w:szCs w:val="16"/>
              </w:rPr>
            </w:pPr>
            <w:r w:rsidRPr="00B93EE1">
              <w:rPr>
                <w:sz w:val="16"/>
                <w:szCs w:val="16"/>
              </w:rPr>
              <w:t>China</w:t>
            </w:r>
          </w:p>
        </w:tc>
      </w:tr>
      <w:tr w:rsidR="00120717" w:rsidRPr="00B93EE1" w14:paraId="7A7E344D"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5CDDC69D" w14:textId="77777777" w:rsidR="00120717" w:rsidRPr="00B93EE1" w:rsidRDefault="00120717" w:rsidP="000249B3">
            <w:pPr>
              <w:spacing w:after="60"/>
              <w:jc w:val="left"/>
              <w:rPr>
                <w:sz w:val="16"/>
                <w:szCs w:val="16"/>
              </w:rPr>
            </w:pPr>
            <w:r w:rsidRPr="00B93EE1">
              <w:rPr>
                <w:sz w:val="16"/>
                <w:szCs w:val="16"/>
              </w:rPr>
              <w:t>China Construction Bank Corporation</w:t>
            </w:r>
          </w:p>
        </w:tc>
        <w:tc>
          <w:tcPr>
            <w:tcW w:w="0" w:type="auto"/>
          </w:tcPr>
          <w:p w14:paraId="43195CE3" w14:textId="77777777" w:rsidR="00120717" w:rsidRPr="00B93EE1" w:rsidRDefault="00120717" w:rsidP="000249B3">
            <w:pPr>
              <w:spacing w:after="60"/>
              <w:jc w:val="left"/>
              <w:rPr>
                <w:sz w:val="16"/>
                <w:szCs w:val="16"/>
              </w:rPr>
            </w:pPr>
            <w:r w:rsidRPr="00B93EE1">
              <w:rPr>
                <w:sz w:val="16"/>
                <w:szCs w:val="16"/>
              </w:rPr>
              <w:t>Branch</w:t>
            </w:r>
          </w:p>
        </w:tc>
        <w:tc>
          <w:tcPr>
            <w:tcW w:w="0" w:type="auto"/>
          </w:tcPr>
          <w:p w14:paraId="3F0D40DD" w14:textId="77777777" w:rsidR="00120717" w:rsidRPr="00B93EE1" w:rsidRDefault="00120717" w:rsidP="000249B3">
            <w:pPr>
              <w:spacing w:after="60"/>
              <w:rPr>
                <w:sz w:val="16"/>
                <w:szCs w:val="16"/>
              </w:rPr>
            </w:pPr>
            <w:r w:rsidRPr="00B93EE1">
              <w:rPr>
                <w:sz w:val="16"/>
                <w:szCs w:val="16"/>
              </w:rPr>
              <w:t>China</w:t>
            </w:r>
          </w:p>
        </w:tc>
      </w:tr>
      <w:tr w:rsidR="00120717" w:rsidRPr="00B93EE1" w14:paraId="1A3082E6" w14:textId="77777777" w:rsidTr="0023186F">
        <w:trPr>
          <w:jc w:val="center"/>
        </w:trPr>
        <w:tc>
          <w:tcPr>
            <w:tcW w:w="0" w:type="auto"/>
          </w:tcPr>
          <w:p w14:paraId="56A95BE4" w14:textId="77777777" w:rsidR="00120717" w:rsidRPr="00B93EE1" w:rsidRDefault="00120717" w:rsidP="000249B3">
            <w:pPr>
              <w:spacing w:after="60"/>
              <w:jc w:val="left"/>
              <w:rPr>
                <w:sz w:val="16"/>
                <w:szCs w:val="16"/>
              </w:rPr>
            </w:pPr>
            <w:r w:rsidRPr="00B93EE1">
              <w:rPr>
                <w:sz w:val="16"/>
                <w:szCs w:val="16"/>
              </w:rPr>
              <w:t>Heartland Bank Limited</w:t>
            </w:r>
          </w:p>
        </w:tc>
        <w:tc>
          <w:tcPr>
            <w:tcW w:w="0" w:type="auto"/>
          </w:tcPr>
          <w:p w14:paraId="3A3725A7" w14:textId="77777777" w:rsidR="00120717" w:rsidRPr="00B93EE1" w:rsidRDefault="00120717" w:rsidP="000249B3">
            <w:pPr>
              <w:spacing w:after="60"/>
              <w:jc w:val="left"/>
              <w:rPr>
                <w:sz w:val="16"/>
                <w:szCs w:val="16"/>
              </w:rPr>
            </w:pPr>
            <w:proofErr w:type="spellStart"/>
            <w:r w:rsidRPr="00B93EE1">
              <w:rPr>
                <w:sz w:val="16"/>
                <w:szCs w:val="16"/>
              </w:rPr>
              <w:t>Hearthland</w:t>
            </w:r>
            <w:proofErr w:type="spellEnd"/>
            <w:r w:rsidRPr="00B93EE1">
              <w:rPr>
                <w:sz w:val="16"/>
                <w:szCs w:val="16"/>
              </w:rPr>
              <w:t xml:space="preserve"> New Zealand Limited</w:t>
            </w:r>
          </w:p>
        </w:tc>
        <w:tc>
          <w:tcPr>
            <w:tcW w:w="0" w:type="auto"/>
          </w:tcPr>
          <w:p w14:paraId="70AC39C1" w14:textId="77777777" w:rsidR="00120717" w:rsidRPr="00B93EE1" w:rsidRDefault="00120717" w:rsidP="000249B3">
            <w:pPr>
              <w:spacing w:after="60"/>
              <w:rPr>
                <w:sz w:val="16"/>
                <w:szCs w:val="16"/>
              </w:rPr>
            </w:pPr>
            <w:r w:rsidRPr="00B93EE1">
              <w:rPr>
                <w:sz w:val="16"/>
                <w:szCs w:val="16"/>
              </w:rPr>
              <w:t>New Zealand</w:t>
            </w:r>
          </w:p>
        </w:tc>
      </w:tr>
      <w:tr w:rsidR="00120717" w:rsidRPr="00B93EE1" w14:paraId="7DC65937"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521A66AE" w14:textId="77777777" w:rsidR="00120717" w:rsidRPr="00B93EE1" w:rsidRDefault="00120717" w:rsidP="000249B3">
            <w:pPr>
              <w:spacing w:after="60"/>
              <w:jc w:val="left"/>
              <w:rPr>
                <w:sz w:val="16"/>
                <w:szCs w:val="16"/>
              </w:rPr>
            </w:pPr>
            <w:r w:rsidRPr="00B93EE1">
              <w:rPr>
                <w:sz w:val="16"/>
                <w:szCs w:val="16"/>
              </w:rPr>
              <w:t>Industrial and Commercial Bank of China (New Zealand) Limited</w:t>
            </w:r>
          </w:p>
        </w:tc>
        <w:tc>
          <w:tcPr>
            <w:tcW w:w="0" w:type="auto"/>
          </w:tcPr>
          <w:p w14:paraId="59E1F2BB" w14:textId="77777777" w:rsidR="00120717" w:rsidRPr="00B93EE1" w:rsidRDefault="00120717" w:rsidP="000249B3">
            <w:pPr>
              <w:spacing w:after="60"/>
              <w:jc w:val="left"/>
              <w:rPr>
                <w:sz w:val="16"/>
                <w:szCs w:val="16"/>
              </w:rPr>
            </w:pPr>
            <w:r w:rsidRPr="00B93EE1">
              <w:rPr>
                <w:sz w:val="16"/>
                <w:szCs w:val="16"/>
              </w:rPr>
              <w:t>Industrial and Commercial Bank of China</w:t>
            </w:r>
          </w:p>
        </w:tc>
        <w:tc>
          <w:tcPr>
            <w:tcW w:w="0" w:type="auto"/>
          </w:tcPr>
          <w:p w14:paraId="4C29E1C0" w14:textId="77777777" w:rsidR="00120717" w:rsidRPr="00B93EE1" w:rsidRDefault="00120717" w:rsidP="000249B3">
            <w:pPr>
              <w:spacing w:after="60"/>
              <w:rPr>
                <w:sz w:val="16"/>
                <w:szCs w:val="16"/>
              </w:rPr>
            </w:pPr>
            <w:r w:rsidRPr="00B93EE1">
              <w:rPr>
                <w:sz w:val="16"/>
                <w:szCs w:val="16"/>
              </w:rPr>
              <w:t>China</w:t>
            </w:r>
          </w:p>
        </w:tc>
      </w:tr>
      <w:tr w:rsidR="00120717" w:rsidRPr="00B93EE1" w14:paraId="68E73542" w14:textId="77777777" w:rsidTr="0023186F">
        <w:trPr>
          <w:jc w:val="center"/>
        </w:trPr>
        <w:tc>
          <w:tcPr>
            <w:tcW w:w="0" w:type="auto"/>
          </w:tcPr>
          <w:p w14:paraId="3D598459" w14:textId="77777777" w:rsidR="00120717" w:rsidRPr="00B93EE1" w:rsidRDefault="00120717" w:rsidP="000249B3">
            <w:pPr>
              <w:spacing w:after="60"/>
              <w:jc w:val="left"/>
              <w:rPr>
                <w:sz w:val="16"/>
                <w:szCs w:val="16"/>
              </w:rPr>
            </w:pPr>
            <w:r w:rsidRPr="00B93EE1">
              <w:rPr>
                <w:sz w:val="16"/>
                <w:szCs w:val="16"/>
              </w:rPr>
              <w:t>Industrial and Commercial Bank of China</w:t>
            </w:r>
          </w:p>
        </w:tc>
        <w:tc>
          <w:tcPr>
            <w:tcW w:w="0" w:type="auto"/>
          </w:tcPr>
          <w:p w14:paraId="2E371D6E" w14:textId="77777777" w:rsidR="00120717" w:rsidRPr="00B93EE1" w:rsidRDefault="00120717" w:rsidP="000249B3">
            <w:pPr>
              <w:spacing w:after="60"/>
              <w:jc w:val="left"/>
              <w:rPr>
                <w:sz w:val="16"/>
                <w:szCs w:val="16"/>
              </w:rPr>
            </w:pPr>
            <w:r w:rsidRPr="00B93EE1">
              <w:rPr>
                <w:sz w:val="16"/>
                <w:szCs w:val="16"/>
              </w:rPr>
              <w:t>Branch</w:t>
            </w:r>
          </w:p>
        </w:tc>
        <w:tc>
          <w:tcPr>
            <w:tcW w:w="0" w:type="auto"/>
          </w:tcPr>
          <w:p w14:paraId="1370C94C" w14:textId="77777777" w:rsidR="00120717" w:rsidRPr="00B93EE1" w:rsidRDefault="00120717" w:rsidP="000249B3">
            <w:pPr>
              <w:spacing w:after="60"/>
              <w:rPr>
                <w:sz w:val="16"/>
                <w:szCs w:val="16"/>
              </w:rPr>
            </w:pPr>
            <w:r w:rsidRPr="00B93EE1">
              <w:rPr>
                <w:sz w:val="16"/>
                <w:szCs w:val="16"/>
              </w:rPr>
              <w:t>China</w:t>
            </w:r>
          </w:p>
        </w:tc>
      </w:tr>
      <w:tr w:rsidR="00120717" w:rsidRPr="00B93EE1" w14:paraId="1229C2A5"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08F31E37" w14:textId="77777777" w:rsidR="00120717" w:rsidRPr="00B93EE1" w:rsidRDefault="00120717" w:rsidP="000249B3">
            <w:pPr>
              <w:spacing w:after="60"/>
              <w:jc w:val="left"/>
              <w:rPr>
                <w:sz w:val="16"/>
                <w:szCs w:val="16"/>
              </w:rPr>
            </w:pPr>
            <w:r w:rsidRPr="00B93EE1">
              <w:rPr>
                <w:sz w:val="16"/>
                <w:szCs w:val="16"/>
              </w:rPr>
              <w:t>JPMorgan Chase Bank, N.A.</w:t>
            </w:r>
          </w:p>
        </w:tc>
        <w:tc>
          <w:tcPr>
            <w:tcW w:w="0" w:type="auto"/>
          </w:tcPr>
          <w:p w14:paraId="71DAD368" w14:textId="77777777" w:rsidR="00120717" w:rsidRPr="00B93EE1" w:rsidRDefault="00120717" w:rsidP="000249B3">
            <w:pPr>
              <w:spacing w:after="60"/>
              <w:jc w:val="left"/>
              <w:rPr>
                <w:sz w:val="16"/>
                <w:szCs w:val="16"/>
              </w:rPr>
            </w:pPr>
            <w:r w:rsidRPr="00B93EE1">
              <w:rPr>
                <w:sz w:val="16"/>
                <w:szCs w:val="16"/>
              </w:rPr>
              <w:t>Branch</w:t>
            </w:r>
          </w:p>
        </w:tc>
        <w:tc>
          <w:tcPr>
            <w:tcW w:w="0" w:type="auto"/>
          </w:tcPr>
          <w:p w14:paraId="72ED3C28" w14:textId="77777777" w:rsidR="00120717" w:rsidRPr="00B93EE1" w:rsidRDefault="00120717" w:rsidP="000249B3">
            <w:pPr>
              <w:spacing w:after="60"/>
              <w:rPr>
                <w:sz w:val="16"/>
                <w:szCs w:val="16"/>
              </w:rPr>
            </w:pPr>
            <w:r w:rsidRPr="00B93EE1">
              <w:rPr>
                <w:sz w:val="16"/>
                <w:szCs w:val="16"/>
              </w:rPr>
              <w:t>United States</w:t>
            </w:r>
          </w:p>
        </w:tc>
      </w:tr>
      <w:tr w:rsidR="00120717" w:rsidRPr="00B93EE1" w14:paraId="51F5EA88" w14:textId="77777777" w:rsidTr="0023186F">
        <w:trPr>
          <w:jc w:val="center"/>
        </w:trPr>
        <w:tc>
          <w:tcPr>
            <w:tcW w:w="0" w:type="auto"/>
          </w:tcPr>
          <w:p w14:paraId="671CEE02" w14:textId="77777777" w:rsidR="00120717" w:rsidRPr="00B93EE1" w:rsidRDefault="00120717" w:rsidP="000249B3">
            <w:pPr>
              <w:spacing w:after="60"/>
              <w:jc w:val="left"/>
              <w:rPr>
                <w:sz w:val="16"/>
                <w:szCs w:val="16"/>
              </w:rPr>
            </w:pPr>
            <w:proofErr w:type="spellStart"/>
            <w:r w:rsidRPr="00B93EE1">
              <w:rPr>
                <w:sz w:val="16"/>
                <w:szCs w:val="16"/>
              </w:rPr>
              <w:t>Kiwibank</w:t>
            </w:r>
            <w:proofErr w:type="spellEnd"/>
            <w:r w:rsidRPr="00B93EE1">
              <w:rPr>
                <w:sz w:val="16"/>
                <w:szCs w:val="16"/>
              </w:rPr>
              <w:t xml:space="preserve"> Limited</w:t>
            </w:r>
          </w:p>
        </w:tc>
        <w:tc>
          <w:tcPr>
            <w:tcW w:w="0" w:type="auto"/>
          </w:tcPr>
          <w:p w14:paraId="5BE3BA29" w14:textId="77777777" w:rsidR="00120717" w:rsidRPr="00B93EE1" w:rsidRDefault="00120717" w:rsidP="000249B3">
            <w:pPr>
              <w:spacing w:after="60"/>
              <w:jc w:val="left"/>
              <w:rPr>
                <w:sz w:val="16"/>
                <w:szCs w:val="16"/>
              </w:rPr>
            </w:pPr>
            <w:r w:rsidRPr="00B93EE1">
              <w:rPr>
                <w:sz w:val="16"/>
                <w:szCs w:val="16"/>
              </w:rPr>
              <w:t>New Zealand Post Limited</w:t>
            </w:r>
          </w:p>
        </w:tc>
        <w:tc>
          <w:tcPr>
            <w:tcW w:w="0" w:type="auto"/>
          </w:tcPr>
          <w:p w14:paraId="4A69A543" w14:textId="77777777" w:rsidR="00120717" w:rsidRPr="00B93EE1" w:rsidRDefault="00120717" w:rsidP="000249B3">
            <w:pPr>
              <w:spacing w:after="60"/>
              <w:rPr>
                <w:sz w:val="16"/>
                <w:szCs w:val="16"/>
              </w:rPr>
            </w:pPr>
            <w:r w:rsidRPr="00B93EE1">
              <w:rPr>
                <w:sz w:val="16"/>
                <w:szCs w:val="16"/>
              </w:rPr>
              <w:t>New Zealand</w:t>
            </w:r>
          </w:p>
        </w:tc>
      </w:tr>
      <w:tr w:rsidR="00120717" w:rsidRPr="00B93EE1" w14:paraId="609C9F6A"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62335286" w14:textId="77777777" w:rsidR="00120717" w:rsidRPr="00B93EE1" w:rsidRDefault="00120717" w:rsidP="000249B3">
            <w:pPr>
              <w:spacing w:after="60"/>
              <w:jc w:val="left"/>
              <w:rPr>
                <w:sz w:val="16"/>
                <w:szCs w:val="16"/>
              </w:rPr>
            </w:pPr>
            <w:proofErr w:type="spellStart"/>
            <w:r w:rsidRPr="00B93EE1">
              <w:rPr>
                <w:sz w:val="16"/>
                <w:szCs w:val="16"/>
              </w:rPr>
              <w:t>Kookmin</w:t>
            </w:r>
            <w:proofErr w:type="spellEnd"/>
            <w:r w:rsidRPr="00B93EE1">
              <w:rPr>
                <w:sz w:val="16"/>
                <w:szCs w:val="16"/>
              </w:rPr>
              <w:t xml:space="preserve"> Bank</w:t>
            </w:r>
          </w:p>
        </w:tc>
        <w:tc>
          <w:tcPr>
            <w:tcW w:w="0" w:type="auto"/>
          </w:tcPr>
          <w:p w14:paraId="65F1C6D4" w14:textId="77777777" w:rsidR="00120717" w:rsidRPr="00B93EE1" w:rsidRDefault="00120717" w:rsidP="000249B3">
            <w:pPr>
              <w:spacing w:after="60"/>
              <w:jc w:val="left"/>
              <w:rPr>
                <w:sz w:val="16"/>
                <w:szCs w:val="16"/>
              </w:rPr>
            </w:pPr>
            <w:r w:rsidRPr="00B93EE1">
              <w:rPr>
                <w:sz w:val="16"/>
                <w:szCs w:val="16"/>
              </w:rPr>
              <w:t>Branch</w:t>
            </w:r>
          </w:p>
        </w:tc>
        <w:tc>
          <w:tcPr>
            <w:tcW w:w="0" w:type="auto"/>
          </w:tcPr>
          <w:p w14:paraId="07659F4A" w14:textId="77777777" w:rsidR="00120717" w:rsidRPr="00B93EE1" w:rsidRDefault="00120717" w:rsidP="000249B3">
            <w:pPr>
              <w:spacing w:after="60"/>
              <w:rPr>
                <w:sz w:val="16"/>
                <w:szCs w:val="16"/>
              </w:rPr>
            </w:pPr>
            <w:r w:rsidRPr="00B93EE1">
              <w:rPr>
                <w:sz w:val="16"/>
                <w:szCs w:val="16"/>
              </w:rPr>
              <w:t xml:space="preserve">Korea, Rep. of </w:t>
            </w:r>
          </w:p>
        </w:tc>
      </w:tr>
      <w:tr w:rsidR="00120717" w:rsidRPr="00B93EE1" w14:paraId="33F43A7A" w14:textId="77777777" w:rsidTr="0023186F">
        <w:trPr>
          <w:jc w:val="center"/>
        </w:trPr>
        <w:tc>
          <w:tcPr>
            <w:tcW w:w="0" w:type="auto"/>
          </w:tcPr>
          <w:p w14:paraId="739C94EC" w14:textId="77777777" w:rsidR="00120717" w:rsidRPr="00B93EE1" w:rsidRDefault="00120717" w:rsidP="000249B3">
            <w:pPr>
              <w:spacing w:after="60"/>
              <w:jc w:val="left"/>
              <w:rPr>
                <w:sz w:val="16"/>
                <w:szCs w:val="16"/>
              </w:rPr>
            </w:pPr>
            <w:r w:rsidRPr="00B93EE1">
              <w:rPr>
                <w:sz w:val="16"/>
                <w:szCs w:val="16"/>
              </w:rPr>
              <w:t>Rabobank Nederland</w:t>
            </w:r>
          </w:p>
        </w:tc>
        <w:tc>
          <w:tcPr>
            <w:tcW w:w="0" w:type="auto"/>
          </w:tcPr>
          <w:p w14:paraId="590A25C2" w14:textId="77777777" w:rsidR="00120717" w:rsidRPr="00B93EE1" w:rsidRDefault="00120717" w:rsidP="000249B3">
            <w:pPr>
              <w:spacing w:after="60"/>
              <w:jc w:val="left"/>
              <w:rPr>
                <w:sz w:val="16"/>
                <w:szCs w:val="16"/>
              </w:rPr>
            </w:pPr>
            <w:r w:rsidRPr="00B93EE1">
              <w:rPr>
                <w:sz w:val="16"/>
                <w:szCs w:val="16"/>
              </w:rPr>
              <w:t>Branch</w:t>
            </w:r>
          </w:p>
        </w:tc>
        <w:tc>
          <w:tcPr>
            <w:tcW w:w="0" w:type="auto"/>
          </w:tcPr>
          <w:p w14:paraId="75575F69" w14:textId="77777777" w:rsidR="00120717" w:rsidRPr="00B93EE1" w:rsidRDefault="00120717" w:rsidP="000249B3">
            <w:pPr>
              <w:spacing w:after="60"/>
              <w:rPr>
                <w:sz w:val="16"/>
                <w:szCs w:val="16"/>
              </w:rPr>
            </w:pPr>
            <w:r w:rsidRPr="00B93EE1">
              <w:rPr>
                <w:sz w:val="16"/>
                <w:szCs w:val="16"/>
              </w:rPr>
              <w:t>Netherlands</w:t>
            </w:r>
          </w:p>
        </w:tc>
      </w:tr>
      <w:tr w:rsidR="00120717" w:rsidRPr="00B93EE1" w14:paraId="179AC6DB"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3B74338F" w14:textId="77777777" w:rsidR="00120717" w:rsidRPr="00B93EE1" w:rsidRDefault="00120717" w:rsidP="000249B3">
            <w:pPr>
              <w:spacing w:after="60"/>
              <w:jc w:val="left"/>
              <w:rPr>
                <w:sz w:val="16"/>
                <w:szCs w:val="16"/>
              </w:rPr>
            </w:pPr>
            <w:r w:rsidRPr="00B93EE1">
              <w:rPr>
                <w:sz w:val="16"/>
                <w:szCs w:val="16"/>
              </w:rPr>
              <w:t>Rabobank New Zealand Limited</w:t>
            </w:r>
          </w:p>
        </w:tc>
        <w:tc>
          <w:tcPr>
            <w:tcW w:w="0" w:type="auto"/>
          </w:tcPr>
          <w:p w14:paraId="73EADB99" w14:textId="77777777" w:rsidR="00120717" w:rsidRPr="00B93EE1" w:rsidRDefault="00120717" w:rsidP="000249B3">
            <w:pPr>
              <w:spacing w:after="60"/>
              <w:jc w:val="left"/>
              <w:rPr>
                <w:sz w:val="16"/>
                <w:szCs w:val="16"/>
              </w:rPr>
            </w:pPr>
            <w:r w:rsidRPr="00B93EE1">
              <w:rPr>
                <w:sz w:val="16"/>
                <w:szCs w:val="16"/>
              </w:rPr>
              <w:t>Rabobank Nederland</w:t>
            </w:r>
          </w:p>
        </w:tc>
        <w:tc>
          <w:tcPr>
            <w:tcW w:w="0" w:type="auto"/>
          </w:tcPr>
          <w:p w14:paraId="13F776F1" w14:textId="77777777" w:rsidR="00120717" w:rsidRPr="00B93EE1" w:rsidRDefault="00120717" w:rsidP="000249B3">
            <w:pPr>
              <w:spacing w:after="60"/>
              <w:rPr>
                <w:sz w:val="16"/>
                <w:szCs w:val="16"/>
              </w:rPr>
            </w:pPr>
            <w:r w:rsidRPr="00B93EE1">
              <w:rPr>
                <w:sz w:val="16"/>
                <w:szCs w:val="16"/>
              </w:rPr>
              <w:t>Netherlands</w:t>
            </w:r>
          </w:p>
        </w:tc>
      </w:tr>
      <w:tr w:rsidR="00120717" w:rsidRPr="00B93EE1" w14:paraId="6A348BC0" w14:textId="77777777" w:rsidTr="0023186F">
        <w:trPr>
          <w:jc w:val="center"/>
        </w:trPr>
        <w:tc>
          <w:tcPr>
            <w:tcW w:w="0" w:type="auto"/>
          </w:tcPr>
          <w:p w14:paraId="27CB8817" w14:textId="77777777" w:rsidR="00120717" w:rsidRPr="00B93EE1" w:rsidRDefault="00120717" w:rsidP="004D3E23">
            <w:pPr>
              <w:spacing w:after="60"/>
              <w:jc w:val="left"/>
              <w:rPr>
                <w:sz w:val="16"/>
                <w:szCs w:val="16"/>
              </w:rPr>
            </w:pPr>
            <w:r w:rsidRPr="00B93EE1">
              <w:rPr>
                <w:sz w:val="16"/>
                <w:szCs w:val="16"/>
              </w:rPr>
              <w:t>Southland Building Society</w:t>
            </w:r>
          </w:p>
        </w:tc>
        <w:tc>
          <w:tcPr>
            <w:tcW w:w="0" w:type="auto"/>
          </w:tcPr>
          <w:p w14:paraId="4630AD9A" w14:textId="77777777" w:rsidR="00120717" w:rsidRPr="00B93EE1" w:rsidRDefault="00120717" w:rsidP="004D3E23">
            <w:pPr>
              <w:spacing w:after="60"/>
              <w:jc w:val="left"/>
              <w:rPr>
                <w:sz w:val="16"/>
                <w:szCs w:val="16"/>
              </w:rPr>
            </w:pPr>
            <w:r w:rsidRPr="00B93EE1">
              <w:rPr>
                <w:sz w:val="16"/>
                <w:szCs w:val="16"/>
              </w:rPr>
              <w:t>SBS Group</w:t>
            </w:r>
          </w:p>
        </w:tc>
        <w:tc>
          <w:tcPr>
            <w:tcW w:w="0" w:type="auto"/>
          </w:tcPr>
          <w:p w14:paraId="5480BF37" w14:textId="77777777" w:rsidR="00120717" w:rsidRPr="00B93EE1" w:rsidRDefault="00120717" w:rsidP="004D3E23">
            <w:pPr>
              <w:spacing w:after="60"/>
              <w:rPr>
                <w:sz w:val="16"/>
                <w:szCs w:val="16"/>
              </w:rPr>
            </w:pPr>
            <w:r w:rsidRPr="00B93EE1">
              <w:rPr>
                <w:sz w:val="16"/>
                <w:szCs w:val="16"/>
              </w:rPr>
              <w:t>New Zealand</w:t>
            </w:r>
          </w:p>
        </w:tc>
      </w:tr>
      <w:tr w:rsidR="00120717" w:rsidRPr="00B93EE1" w14:paraId="3FD81368"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7CE23EBB" w14:textId="77777777" w:rsidR="00120717" w:rsidRPr="00B93EE1" w:rsidRDefault="00120717" w:rsidP="004D3E23">
            <w:pPr>
              <w:spacing w:after="60"/>
              <w:jc w:val="left"/>
              <w:rPr>
                <w:sz w:val="16"/>
                <w:szCs w:val="16"/>
              </w:rPr>
            </w:pPr>
            <w:r w:rsidRPr="00B93EE1">
              <w:rPr>
                <w:sz w:val="16"/>
                <w:szCs w:val="16"/>
              </w:rPr>
              <w:t>The Bank of Tokyo-Mitsubishi Limited</w:t>
            </w:r>
          </w:p>
        </w:tc>
        <w:tc>
          <w:tcPr>
            <w:tcW w:w="0" w:type="auto"/>
          </w:tcPr>
          <w:p w14:paraId="0E8D810D" w14:textId="77777777" w:rsidR="00120717" w:rsidRPr="00B93EE1" w:rsidRDefault="00120717" w:rsidP="004D3E23">
            <w:pPr>
              <w:spacing w:after="60"/>
              <w:jc w:val="left"/>
              <w:rPr>
                <w:sz w:val="16"/>
                <w:szCs w:val="16"/>
              </w:rPr>
            </w:pPr>
            <w:r w:rsidRPr="00B93EE1">
              <w:rPr>
                <w:sz w:val="16"/>
                <w:szCs w:val="16"/>
              </w:rPr>
              <w:t>Branch</w:t>
            </w:r>
          </w:p>
        </w:tc>
        <w:tc>
          <w:tcPr>
            <w:tcW w:w="0" w:type="auto"/>
          </w:tcPr>
          <w:p w14:paraId="659C7F9A" w14:textId="77777777" w:rsidR="00120717" w:rsidRPr="00B93EE1" w:rsidRDefault="00120717" w:rsidP="004D3E23">
            <w:pPr>
              <w:spacing w:after="60"/>
              <w:rPr>
                <w:sz w:val="16"/>
                <w:szCs w:val="16"/>
              </w:rPr>
            </w:pPr>
            <w:r w:rsidRPr="00B93EE1">
              <w:rPr>
                <w:sz w:val="16"/>
                <w:szCs w:val="16"/>
              </w:rPr>
              <w:t>Japan</w:t>
            </w:r>
          </w:p>
        </w:tc>
      </w:tr>
      <w:tr w:rsidR="00120717" w:rsidRPr="00B93EE1" w14:paraId="6C1853B6" w14:textId="77777777" w:rsidTr="0023186F">
        <w:trPr>
          <w:jc w:val="center"/>
        </w:trPr>
        <w:tc>
          <w:tcPr>
            <w:tcW w:w="0" w:type="auto"/>
          </w:tcPr>
          <w:p w14:paraId="5F6D5C2A" w14:textId="77777777" w:rsidR="00120717" w:rsidRPr="00B93EE1" w:rsidRDefault="00120717" w:rsidP="004D3E23">
            <w:pPr>
              <w:spacing w:after="60"/>
              <w:jc w:val="left"/>
              <w:rPr>
                <w:sz w:val="16"/>
                <w:szCs w:val="16"/>
              </w:rPr>
            </w:pPr>
            <w:r w:rsidRPr="00B93EE1">
              <w:rPr>
                <w:sz w:val="16"/>
                <w:szCs w:val="16"/>
              </w:rPr>
              <w:t>The Co-operative Bank Limited</w:t>
            </w:r>
          </w:p>
        </w:tc>
        <w:tc>
          <w:tcPr>
            <w:tcW w:w="0" w:type="auto"/>
          </w:tcPr>
          <w:p w14:paraId="017599DE" w14:textId="77777777" w:rsidR="00120717" w:rsidRPr="00B93EE1" w:rsidRDefault="00120717" w:rsidP="004D3E23">
            <w:pPr>
              <w:spacing w:after="60"/>
              <w:jc w:val="left"/>
              <w:rPr>
                <w:sz w:val="16"/>
                <w:szCs w:val="16"/>
              </w:rPr>
            </w:pPr>
            <w:r w:rsidRPr="00B93EE1">
              <w:rPr>
                <w:sz w:val="16"/>
                <w:szCs w:val="16"/>
              </w:rPr>
              <w:t>Cooperative</w:t>
            </w:r>
          </w:p>
        </w:tc>
        <w:tc>
          <w:tcPr>
            <w:tcW w:w="0" w:type="auto"/>
          </w:tcPr>
          <w:p w14:paraId="179C8EA0" w14:textId="77777777" w:rsidR="00120717" w:rsidRPr="00B93EE1" w:rsidRDefault="00120717" w:rsidP="004D3E23">
            <w:pPr>
              <w:spacing w:after="60"/>
              <w:rPr>
                <w:sz w:val="16"/>
                <w:szCs w:val="16"/>
                <w:highlight w:val="yellow"/>
              </w:rPr>
            </w:pPr>
            <w:r w:rsidRPr="00B93EE1">
              <w:rPr>
                <w:sz w:val="16"/>
                <w:szCs w:val="16"/>
              </w:rPr>
              <w:t>New Zealand</w:t>
            </w:r>
          </w:p>
        </w:tc>
      </w:tr>
      <w:tr w:rsidR="00120717" w:rsidRPr="00B93EE1" w14:paraId="4459EB97"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7C504C4F" w14:textId="77777777" w:rsidR="00120717" w:rsidRPr="00B93EE1" w:rsidRDefault="00120717" w:rsidP="004D3E23">
            <w:pPr>
              <w:spacing w:after="60"/>
              <w:jc w:val="left"/>
              <w:rPr>
                <w:sz w:val="16"/>
                <w:szCs w:val="16"/>
              </w:rPr>
            </w:pPr>
            <w:r w:rsidRPr="00B93EE1">
              <w:rPr>
                <w:sz w:val="16"/>
                <w:szCs w:val="16"/>
              </w:rPr>
              <w:t>The Hong Kong and Shanghai Banking Corporation Limited</w:t>
            </w:r>
          </w:p>
        </w:tc>
        <w:tc>
          <w:tcPr>
            <w:tcW w:w="0" w:type="auto"/>
          </w:tcPr>
          <w:p w14:paraId="2F8C7D8B" w14:textId="77777777" w:rsidR="00120717" w:rsidRPr="00B93EE1" w:rsidRDefault="00120717" w:rsidP="004D3E23">
            <w:pPr>
              <w:spacing w:after="60"/>
              <w:jc w:val="left"/>
              <w:rPr>
                <w:sz w:val="16"/>
                <w:szCs w:val="16"/>
              </w:rPr>
            </w:pPr>
            <w:r w:rsidRPr="00B93EE1">
              <w:rPr>
                <w:sz w:val="16"/>
                <w:szCs w:val="16"/>
              </w:rPr>
              <w:t>Branch</w:t>
            </w:r>
          </w:p>
        </w:tc>
        <w:tc>
          <w:tcPr>
            <w:tcW w:w="0" w:type="auto"/>
          </w:tcPr>
          <w:p w14:paraId="3BB9074D" w14:textId="77777777" w:rsidR="00120717" w:rsidRPr="00B93EE1" w:rsidRDefault="00120717" w:rsidP="004D3E23">
            <w:pPr>
              <w:spacing w:after="60"/>
              <w:rPr>
                <w:sz w:val="16"/>
                <w:szCs w:val="16"/>
              </w:rPr>
            </w:pPr>
            <w:r w:rsidRPr="00B93EE1">
              <w:rPr>
                <w:sz w:val="16"/>
                <w:szCs w:val="16"/>
              </w:rPr>
              <w:t>United Kingdom</w:t>
            </w:r>
          </w:p>
        </w:tc>
      </w:tr>
      <w:tr w:rsidR="00120717" w:rsidRPr="00B93EE1" w14:paraId="41D1C9A5" w14:textId="77777777" w:rsidTr="0023186F">
        <w:trPr>
          <w:jc w:val="center"/>
        </w:trPr>
        <w:tc>
          <w:tcPr>
            <w:tcW w:w="0" w:type="auto"/>
          </w:tcPr>
          <w:p w14:paraId="48AFD8CC" w14:textId="77777777" w:rsidR="00120717" w:rsidRPr="00B93EE1" w:rsidRDefault="00120717" w:rsidP="004D3E23">
            <w:pPr>
              <w:spacing w:after="60"/>
              <w:jc w:val="left"/>
              <w:rPr>
                <w:sz w:val="16"/>
                <w:szCs w:val="16"/>
              </w:rPr>
            </w:pPr>
            <w:r w:rsidRPr="00B93EE1">
              <w:rPr>
                <w:sz w:val="16"/>
                <w:szCs w:val="16"/>
              </w:rPr>
              <w:t>TSB Bank Limited</w:t>
            </w:r>
          </w:p>
        </w:tc>
        <w:tc>
          <w:tcPr>
            <w:tcW w:w="0" w:type="auto"/>
          </w:tcPr>
          <w:p w14:paraId="1D1CD4E4" w14:textId="77777777" w:rsidR="00120717" w:rsidRPr="00B93EE1" w:rsidRDefault="00120717" w:rsidP="004D3E23">
            <w:pPr>
              <w:spacing w:after="60"/>
              <w:jc w:val="left"/>
              <w:rPr>
                <w:sz w:val="16"/>
                <w:szCs w:val="16"/>
              </w:rPr>
            </w:pPr>
            <w:r w:rsidRPr="00B93EE1">
              <w:rPr>
                <w:sz w:val="16"/>
                <w:szCs w:val="16"/>
              </w:rPr>
              <w:t>TSB Community Trust</w:t>
            </w:r>
          </w:p>
        </w:tc>
        <w:tc>
          <w:tcPr>
            <w:tcW w:w="0" w:type="auto"/>
          </w:tcPr>
          <w:p w14:paraId="761FECF1" w14:textId="77777777" w:rsidR="00120717" w:rsidRPr="00B93EE1" w:rsidRDefault="00120717" w:rsidP="004D3E23">
            <w:pPr>
              <w:spacing w:after="60"/>
              <w:rPr>
                <w:sz w:val="16"/>
                <w:szCs w:val="16"/>
              </w:rPr>
            </w:pPr>
            <w:r w:rsidRPr="00B93EE1">
              <w:rPr>
                <w:sz w:val="16"/>
                <w:szCs w:val="16"/>
              </w:rPr>
              <w:t>New Zealand</w:t>
            </w:r>
          </w:p>
        </w:tc>
      </w:tr>
      <w:tr w:rsidR="00120717" w:rsidRPr="00B93EE1" w14:paraId="6ACEDBEE" w14:textId="77777777" w:rsidTr="0023186F">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28318E98" w14:textId="77777777" w:rsidR="00120717" w:rsidRPr="00B93EE1" w:rsidRDefault="00120717" w:rsidP="004D3E23">
            <w:pPr>
              <w:spacing w:after="60"/>
              <w:jc w:val="left"/>
              <w:rPr>
                <w:sz w:val="16"/>
                <w:szCs w:val="16"/>
              </w:rPr>
            </w:pPr>
            <w:r w:rsidRPr="00B93EE1">
              <w:rPr>
                <w:sz w:val="16"/>
                <w:szCs w:val="16"/>
              </w:rPr>
              <w:t>Westpac Banking Corporation</w:t>
            </w:r>
          </w:p>
        </w:tc>
        <w:tc>
          <w:tcPr>
            <w:tcW w:w="0" w:type="auto"/>
          </w:tcPr>
          <w:p w14:paraId="103813EB" w14:textId="77777777" w:rsidR="00120717" w:rsidRPr="00B93EE1" w:rsidRDefault="00120717" w:rsidP="004D3E23">
            <w:pPr>
              <w:spacing w:after="60"/>
              <w:jc w:val="left"/>
              <w:rPr>
                <w:sz w:val="16"/>
                <w:szCs w:val="16"/>
              </w:rPr>
            </w:pPr>
            <w:r w:rsidRPr="00B93EE1">
              <w:rPr>
                <w:sz w:val="16"/>
                <w:szCs w:val="16"/>
              </w:rPr>
              <w:t>Branch</w:t>
            </w:r>
          </w:p>
        </w:tc>
        <w:tc>
          <w:tcPr>
            <w:tcW w:w="0" w:type="auto"/>
          </w:tcPr>
          <w:p w14:paraId="5260E8C6" w14:textId="77777777" w:rsidR="00120717" w:rsidRPr="00B93EE1" w:rsidRDefault="00120717" w:rsidP="004D3E23">
            <w:pPr>
              <w:spacing w:after="60"/>
              <w:rPr>
                <w:sz w:val="16"/>
                <w:szCs w:val="16"/>
              </w:rPr>
            </w:pPr>
            <w:r w:rsidRPr="00B93EE1">
              <w:rPr>
                <w:sz w:val="16"/>
                <w:szCs w:val="16"/>
              </w:rPr>
              <w:t>Australia</w:t>
            </w:r>
          </w:p>
        </w:tc>
      </w:tr>
      <w:tr w:rsidR="00120717" w:rsidRPr="00B93EE1" w14:paraId="6E19FA29" w14:textId="77777777" w:rsidTr="0023186F">
        <w:trPr>
          <w:jc w:val="center"/>
        </w:trPr>
        <w:tc>
          <w:tcPr>
            <w:tcW w:w="0" w:type="auto"/>
          </w:tcPr>
          <w:p w14:paraId="1CD817CC" w14:textId="77777777" w:rsidR="00120717" w:rsidRPr="00B93EE1" w:rsidRDefault="00120717" w:rsidP="004D3E23">
            <w:pPr>
              <w:spacing w:after="60"/>
              <w:jc w:val="left"/>
              <w:rPr>
                <w:sz w:val="16"/>
                <w:szCs w:val="16"/>
              </w:rPr>
            </w:pPr>
            <w:r w:rsidRPr="00B93EE1">
              <w:rPr>
                <w:sz w:val="16"/>
                <w:szCs w:val="16"/>
              </w:rPr>
              <w:t>Westpac New Zealand Limited</w:t>
            </w:r>
          </w:p>
        </w:tc>
        <w:tc>
          <w:tcPr>
            <w:tcW w:w="0" w:type="auto"/>
          </w:tcPr>
          <w:p w14:paraId="2915BAF6" w14:textId="77777777" w:rsidR="00120717" w:rsidRPr="00B93EE1" w:rsidRDefault="00120717" w:rsidP="004D3E23">
            <w:pPr>
              <w:spacing w:after="60"/>
              <w:jc w:val="left"/>
              <w:rPr>
                <w:sz w:val="16"/>
                <w:szCs w:val="16"/>
              </w:rPr>
            </w:pPr>
            <w:r w:rsidRPr="00B93EE1">
              <w:rPr>
                <w:sz w:val="16"/>
                <w:szCs w:val="16"/>
              </w:rPr>
              <w:t>Westpac Banking Corporation</w:t>
            </w:r>
          </w:p>
        </w:tc>
        <w:tc>
          <w:tcPr>
            <w:tcW w:w="0" w:type="auto"/>
          </w:tcPr>
          <w:p w14:paraId="41B23EA4" w14:textId="77777777" w:rsidR="00120717" w:rsidRPr="00B93EE1" w:rsidRDefault="00120717" w:rsidP="004D3E23">
            <w:pPr>
              <w:spacing w:after="60"/>
              <w:rPr>
                <w:sz w:val="16"/>
                <w:szCs w:val="16"/>
              </w:rPr>
            </w:pPr>
            <w:r w:rsidRPr="00B93EE1">
              <w:rPr>
                <w:sz w:val="16"/>
                <w:szCs w:val="16"/>
              </w:rPr>
              <w:t>Australia</w:t>
            </w:r>
          </w:p>
        </w:tc>
      </w:tr>
    </w:tbl>
    <w:p w14:paraId="759ED5E7" w14:textId="77777777" w:rsidR="00120717" w:rsidRPr="00B93EE1" w:rsidRDefault="00120717" w:rsidP="00FD7477">
      <w:pPr>
        <w:pStyle w:val="NoteText"/>
        <w:spacing w:before="120" w:after="240"/>
      </w:pPr>
      <w:r w:rsidRPr="00B93EE1">
        <w:t>Source:</w:t>
      </w:r>
      <w:r w:rsidRPr="00B93EE1">
        <w:rPr>
          <w:i/>
        </w:rPr>
        <w:tab/>
      </w:r>
      <w:proofErr w:type="spellStart"/>
      <w:r w:rsidRPr="00B93EE1">
        <w:rPr>
          <w:iCs/>
        </w:rPr>
        <w:t>RBNZ</w:t>
      </w:r>
      <w:proofErr w:type="spellEnd"/>
      <w:r w:rsidRPr="00B93EE1">
        <w:rPr>
          <w:iCs/>
        </w:rPr>
        <w:t xml:space="preserve">, </w:t>
      </w:r>
      <w:r w:rsidRPr="00B93EE1">
        <w:rPr>
          <w:i/>
        </w:rPr>
        <w:t>Register of Registered Banks in New Zealand</w:t>
      </w:r>
      <w:r w:rsidRPr="00B93EE1">
        <w:rPr>
          <w:iCs/>
        </w:rPr>
        <w:t>. Viewed at:</w:t>
      </w:r>
      <w:r w:rsidRPr="00B93EE1">
        <w:t xml:space="preserve"> </w:t>
      </w:r>
      <w:hyperlink r:id="rId42" w:history="1">
        <w:r w:rsidRPr="00B93EE1">
          <w:rPr>
            <w:rStyle w:val="Hyperlink"/>
          </w:rPr>
          <w:t>https://www.rbnz.govt.nz/regulation-and-supervision/banks/register</w:t>
        </w:r>
      </w:hyperlink>
      <w:r w:rsidRPr="00B93EE1">
        <w:t>.</w:t>
      </w:r>
    </w:p>
    <w:p w14:paraId="6980E50B" w14:textId="77777777" w:rsidR="00120717" w:rsidRPr="00F64A35" w:rsidRDefault="00120717" w:rsidP="008B54EB">
      <w:pPr>
        <w:pStyle w:val="BodyText"/>
      </w:pPr>
      <w:r w:rsidRPr="00B93EE1">
        <w:t>In general, banks' asset quality was high during the review period. The proportion of non</w:t>
      </w:r>
      <w:r w:rsidRPr="00B93EE1">
        <w:noBreakHyphen/>
        <w:t>performing loans (NPLs), which was 0.9% in 2014, was on a decreasing trend until 2019, but deteriorated in 2020 due to the COVID</w:t>
      </w:r>
      <w:r w:rsidRPr="00B93EE1">
        <w:noBreakHyphen/>
        <w:t>19 pandemic (Table 4.8). Industries most affected by COVID</w:t>
      </w:r>
      <w:r w:rsidRPr="00B93EE1">
        <w:noBreakHyphen/>
        <w:t>19 restrictions, such as hospitality, tourism, and transport, experienced higher than average NPLs. However, in 2021, NPLs returned to the low levels seen before the COVID</w:t>
      </w:r>
      <w:r w:rsidRPr="00B93EE1">
        <w:noBreakHyphen/>
        <w:t>19 pandemic (0.45%).</w:t>
      </w:r>
      <w:r w:rsidRPr="00B93EE1">
        <w:rPr>
          <w:rStyle w:val="FootnoteReference"/>
        </w:rPr>
        <w:footnoteReference w:id="387"/>
      </w:r>
      <w:r w:rsidRPr="00B93EE1">
        <w:t xml:space="preserve"> Most of the mortgage borrowers who during the initial lockdown in 2020 temporarily deferred their payments, or switched to interest-only, have returned to making principal repayments. Further, the share of borrowers on banks' hardship programmes remains low, despite the COVID</w:t>
      </w:r>
      <w:r w:rsidRPr="00B93EE1">
        <w:noBreakHyphen/>
        <w:t>19 pandemic. Banks' profitability was relatively high but fell slightly in 2020 due to impairment charges. Tier 1 capital ratios were also high and exceeded regulatory minimums during the review period, and increased further in 2021 (15.4%), as banks retained their earnings.</w:t>
      </w:r>
    </w:p>
    <w:p w14:paraId="10DFC704" w14:textId="40F217FD" w:rsidR="00120717" w:rsidRPr="00B93EE1" w:rsidRDefault="00D37A97" w:rsidP="00D37A97">
      <w:pPr>
        <w:pStyle w:val="Caption"/>
      </w:pPr>
      <w:bookmarkStart w:id="241" w:name="_Toc97793412"/>
      <w:r>
        <w:lastRenderedPageBreak/>
        <w:t xml:space="preserve">Table </w:t>
      </w:r>
      <w:r w:rsidR="0012793B">
        <w:fldChar w:fldCharType="begin"/>
      </w:r>
      <w:r w:rsidR="0012793B">
        <w:instrText xml:space="preserve"> STYLEREF 1 \s </w:instrText>
      </w:r>
      <w:r w:rsidR="0012793B">
        <w:fldChar w:fldCharType="separate"/>
      </w:r>
      <w:r>
        <w:rPr>
          <w:noProof/>
        </w:rPr>
        <w:t>4</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8</w:t>
      </w:r>
      <w:r w:rsidR="0012793B">
        <w:rPr>
          <w:noProof/>
        </w:rPr>
        <w:fldChar w:fldCharType="end"/>
      </w:r>
      <w:r>
        <w:t xml:space="preserve"> </w:t>
      </w:r>
      <w:r w:rsidR="00120717" w:rsidRPr="00B93EE1">
        <w:t>Banking sector indicators, 2015-20</w:t>
      </w:r>
      <w:bookmarkEnd w:id="241"/>
    </w:p>
    <w:tbl>
      <w:tblPr>
        <w:tblStyle w:val="WTOTable1"/>
        <w:tblW w:w="0" w:type="auto"/>
        <w:tblLayout w:type="fixed"/>
        <w:tblLook w:val="04A0" w:firstRow="1" w:lastRow="0" w:firstColumn="1" w:lastColumn="0" w:noHBand="0" w:noVBand="1"/>
      </w:tblPr>
      <w:tblGrid>
        <w:gridCol w:w="3256"/>
        <w:gridCol w:w="921"/>
        <w:gridCol w:w="920"/>
        <w:gridCol w:w="994"/>
        <w:gridCol w:w="992"/>
        <w:gridCol w:w="992"/>
        <w:gridCol w:w="941"/>
      </w:tblGrid>
      <w:tr w:rsidR="00120717" w:rsidRPr="00B93EE1" w14:paraId="202941D1" w14:textId="77777777" w:rsidTr="007020EE">
        <w:trPr>
          <w:cnfStyle w:val="100000000000" w:firstRow="1" w:lastRow="0" w:firstColumn="0" w:lastColumn="0" w:oddVBand="0" w:evenVBand="0" w:oddHBand="0" w:evenHBand="0" w:firstRowFirstColumn="0" w:firstRowLastColumn="0" w:lastRowFirstColumn="0" w:lastRowLastColumn="0"/>
          <w:tblHeader/>
        </w:trPr>
        <w:tc>
          <w:tcPr>
            <w:tcW w:w="3256" w:type="dxa"/>
            <w:noWrap/>
            <w:hideMark/>
          </w:tcPr>
          <w:p w14:paraId="73E2AD21" w14:textId="77777777" w:rsidR="00120717" w:rsidRPr="00B93EE1" w:rsidRDefault="00120717" w:rsidP="00AE005F">
            <w:pPr>
              <w:keepNext/>
              <w:keepLines/>
              <w:tabs>
                <w:tab w:val="left" w:pos="567"/>
              </w:tabs>
              <w:jc w:val="left"/>
              <w:rPr>
                <w:rFonts w:eastAsia="Times New Roman"/>
                <w:sz w:val="16"/>
                <w:szCs w:val="16"/>
              </w:rPr>
            </w:pPr>
            <w:r w:rsidRPr="00B93EE1">
              <w:rPr>
                <w:rFonts w:eastAsia="Times New Roman"/>
                <w:bCs/>
                <w:sz w:val="16"/>
                <w:szCs w:val="16"/>
                <w:lang w:eastAsia="en-NZ"/>
              </w:rPr>
              <w:t> </w:t>
            </w:r>
          </w:p>
        </w:tc>
        <w:tc>
          <w:tcPr>
            <w:tcW w:w="921" w:type="dxa"/>
            <w:noWrap/>
            <w:hideMark/>
          </w:tcPr>
          <w:p w14:paraId="5A18D288"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bCs/>
                <w:sz w:val="16"/>
                <w:szCs w:val="16"/>
                <w:lang w:eastAsia="en-NZ"/>
              </w:rPr>
              <w:t>2015</w:t>
            </w:r>
          </w:p>
        </w:tc>
        <w:tc>
          <w:tcPr>
            <w:tcW w:w="920" w:type="dxa"/>
            <w:noWrap/>
            <w:hideMark/>
          </w:tcPr>
          <w:p w14:paraId="05519BE1"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bCs/>
                <w:sz w:val="16"/>
                <w:szCs w:val="16"/>
                <w:lang w:eastAsia="en-NZ"/>
              </w:rPr>
              <w:t>2016</w:t>
            </w:r>
          </w:p>
        </w:tc>
        <w:tc>
          <w:tcPr>
            <w:tcW w:w="994" w:type="dxa"/>
            <w:noWrap/>
            <w:hideMark/>
          </w:tcPr>
          <w:p w14:paraId="26D5AC81"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bCs/>
                <w:sz w:val="16"/>
                <w:szCs w:val="16"/>
                <w:lang w:eastAsia="en-NZ"/>
              </w:rPr>
              <w:t>2017</w:t>
            </w:r>
          </w:p>
        </w:tc>
        <w:tc>
          <w:tcPr>
            <w:tcW w:w="992" w:type="dxa"/>
            <w:noWrap/>
            <w:hideMark/>
          </w:tcPr>
          <w:p w14:paraId="6E479951"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bCs/>
                <w:sz w:val="16"/>
                <w:szCs w:val="16"/>
                <w:lang w:eastAsia="en-NZ"/>
              </w:rPr>
              <w:t>2018</w:t>
            </w:r>
          </w:p>
        </w:tc>
        <w:tc>
          <w:tcPr>
            <w:tcW w:w="992" w:type="dxa"/>
            <w:noWrap/>
            <w:hideMark/>
          </w:tcPr>
          <w:p w14:paraId="4BD1AB11"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bCs/>
                <w:sz w:val="16"/>
                <w:szCs w:val="16"/>
                <w:lang w:eastAsia="en-NZ"/>
              </w:rPr>
              <w:t>2019</w:t>
            </w:r>
          </w:p>
        </w:tc>
        <w:tc>
          <w:tcPr>
            <w:tcW w:w="941" w:type="dxa"/>
            <w:hideMark/>
          </w:tcPr>
          <w:p w14:paraId="459C81B8"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bCs/>
                <w:sz w:val="16"/>
                <w:szCs w:val="16"/>
                <w:lang w:eastAsia="en-NZ"/>
              </w:rPr>
              <w:t>2020</w:t>
            </w:r>
          </w:p>
        </w:tc>
      </w:tr>
      <w:tr w:rsidR="00120717" w:rsidRPr="00B93EE1" w14:paraId="4EEA82B6" w14:textId="77777777" w:rsidTr="007020EE">
        <w:tc>
          <w:tcPr>
            <w:tcW w:w="3256" w:type="dxa"/>
            <w:noWrap/>
            <w:hideMark/>
          </w:tcPr>
          <w:p w14:paraId="69CEBDD3" w14:textId="77777777" w:rsidR="00120717" w:rsidRPr="00B93EE1" w:rsidRDefault="00120717" w:rsidP="00AE005F">
            <w:pPr>
              <w:keepNext/>
              <w:keepLines/>
              <w:tabs>
                <w:tab w:val="left" w:pos="567"/>
              </w:tabs>
              <w:jc w:val="left"/>
              <w:rPr>
                <w:rFonts w:eastAsia="Times New Roman"/>
                <w:sz w:val="16"/>
                <w:szCs w:val="16"/>
              </w:rPr>
            </w:pPr>
            <w:r w:rsidRPr="00B93EE1">
              <w:rPr>
                <w:rFonts w:eastAsia="Times New Roman"/>
                <w:color w:val="000000"/>
                <w:sz w:val="16"/>
                <w:szCs w:val="16"/>
                <w:lang w:eastAsia="en-NZ"/>
              </w:rPr>
              <w:t>Number of registered banks</w:t>
            </w:r>
          </w:p>
        </w:tc>
        <w:tc>
          <w:tcPr>
            <w:tcW w:w="921" w:type="dxa"/>
            <w:noWrap/>
            <w:hideMark/>
          </w:tcPr>
          <w:p w14:paraId="3B552BC2"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25</w:t>
            </w:r>
          </w:p>
        </w:tc>
        <w:tc>
          <w:tcPr>
            <w:tcW w:w="920" w:type="dxa"/>
            <w:noWrap/>
            <w:hideMark/>
          </w:tcPr>
          <w:p w14:paraId="4D7C7EBA"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24</w:t>
            </w:r>
          </w:p>
        </w:tc>
        <w:tc>
          <w:tcPr>
            <w:tcW w:w="994" w:type="dxa"/>
            <w:noWrap/>
            <w:hideMark/>
          </w:tcPr>
          <w:p w14:paraId="3C1689D3"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25</w:t>
            </w:r>
          </w:p>
        </w:tc>
        <w:tc>
          <w:tcPr>
            <w:tcW w:w="992" w:type="dxa"/>
            <w:noWrap/>
            <w:hideMark/>
          </w:tcPr>
          <w:p w14:paraId="47B23ED7"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26</w:t>
            </w:r>
          </w:p>
        </w:tc>
        <w:tc>
          <w:tcPr>
            <w:tcW w:w="992" w:type="dxa"/>
            <w:noWrap/>
            <w:hideMark/>
          </w:tcPr>
          <w:p w14:paraId="1C219A1F"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26</w:t>
            </w:r>
          </w:p>
        </w:tc>
        <w:tc>
          <w:tcPr>
            <w:tcW w:w="941" w:type="dxa"/>
            <w:hideMark/>
          </w:tcPr>
          <w:p w14:paraId="50224CD6"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27</w:t>
            </w:r>
          </w:p>
        </w:tc>
      </w:tr>
      <w:tr w:rsidR="00120717" w:rsidRPr="00B93EE1" w14:paraId="133C3D2C" w14:textId="77777777" w:rsidTr="007020EE">
        <w:trPr>
          <w:cnfStyle w:val="000000010000" w:firstRow="0" w:lastRow="0" w:firstColumn="0" w:lastColumn="0" w:oddVBand="0" w:evenVBand="0" w:oddHBand="0" w:evenHBand="1" w:firstRowFirstColumn="0" w:firstRowLastColumn="0" w:lastRowFirstColumn="0" w:lastRowLastColumn="0"/>
        </w:trPr>
        <w:tc>
          <w:tcPr>
            <w:tcW w:w="3256" w:type="dxa"/>
            <w:noWrap/>
            <w:hideMark/>
          </w:tcPr>
          <w:p w14:paraId="15A55936" w14:textId="77777777" w:rsidR="00120717" w:rsidRPr="00B93EE1" w:rsidRDefault="00120717" w:rsidP="00AE005F">
            <w:pPr>
              <w:keepNext/>
              <w:keepLines/>
              <w:tabs>
                <w:tab w:val="left" w:pos="567"/>
              </w:tabs>
              <w:jc w:val="left"/>
              <w:rPr>
                <w:rFonts w:eastAsia="Times New Roman"/>
                <w:sz w:val="16"/>
                <w:szCs w:val="16"/>
              </w:rPr>
            </w:pPr>
            <w:r w:rsidRPr="00B93EE1">
              <w:rPr>
                <w:rFonts w:eastAsia="Times New Roman"/>
                <w:color w:val="000000"/>
                <w:sz w:val="16"/>
                <w:szCs w:val="16"/>
                <w:lang w:eastAsia="en-NZ"/>
              </w:rPr>
              <w:t>Total assets (NZD million)</w:t>
            </w:r>
          </w:p>
        </w:tc>
        <w:tc>
          <w:tcPr>
            <w:tcW w:w="921" w:type="dxa"/>
            <w:noWrap/>
            <w:hideMark/>
          </w:tcPr>
          <w:p w14:paraId="035C1EF9"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479,146</w:t>
            </w:r>
          </w:p>
        </w:tc>
        <w:tc>
          <w:tcPr>
            <w:tcW w:w="920" w:type="dxa"/>
            <w:noWrap/>
            <w:hideMark/>
          </w:tcPr>
          <w:p w14:paraId="001CEC56"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510,213</w:t>
            </w:r>
          </w:p>
        </w:tc>
        <w:tc>
          <w:tcPr>
            <w:tcW w:w="994" w:type="dxa"/>
            <w:noWrap/>
            <w:hideMark/>
          </w:tcPr>
          <w:p w14:paraId="70A3435B"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525,954</w:t>
            </w:r>
          </w:p>
        </w:tc>
        <w:tc>
          <w:tcPr>
            <w:tcW w:w="992" w:type="dxa"/>
            <w:noWrap/>
            <w:hideMark/>
          </w:tcPr>
          <w:p w14:paraId="425BE907"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548,961</w:t>
            </w:r>
          </w:p>
        </w:tc>
        <w:tc>
          <w:tcPr>
            <w:tcW w:w="992" w:type="dxa"/>
            <w:noWrap/>
            <w:hideMark/>
          </w:tcPr>
          <w:p w14:paraId="5B079A37"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583,613</w:t>
            </w:r>
          </w:p>
        </w:tc>
        <w:tc>
          <w:tcPr>
            <w:tcW w:w="941" w:type="dxa"/>
            <w:hideMark/>
          </w:tcPr>
          <w:p w14:paraId="4DB426AB" w14:textId="77777777" w:rsidR="00120717" w:rsidRPr="00B93EE1" w:rsidRDefault="00120717" w:rsidP="00AE005F">
            <w:pPr>
              <w:keepNext/>
              <w:keepLines/>
              <w:tabs>
                <w:tab w:val="left" w:pos="567"/>
              </w:tabs>
              <w:jc w:val="right"/>
              <w:rPr>
                <w:rFonts w:eastAsia="Times New Roman"/>
                <w:sz w:val="16"/>
                <w:szCs w:val="16"/>
              </w:rPr>
            </w:pPr>
            <w:r w:rsidRPr="00B93EE1">
              <w:rPr>
                <w:rFonts w:eastAsia="Times New Roman"/>
                <w:sz w:val="16"/>
                <w:szCs w:val="16"/>
              </w:rPr>
              <w:t>634,012</w:t>
            </w:r>
          </w:p>
        </w:tc>
      </w:tr>
      <w:tr w:rsidR="00120717" w:rsidRPr="00B93EE1" w14:paraId="7DF0533F" w14:textId="77777777" w:rsidTr="007020EE">
        <w:tc>
          <w:tcPr>
            <w:tcW w:w="3256" w:type="dxa"/>
            <w:noWrap/>
            <w:hideMark/>
          </w:tcPr>
          <w:p w14:paraId="09038CAA" w14:textId="77777777" w:rsidR="00120717" w:rsidRPr="00B93EE1" w:rsidRDefault="00120717" w:rsidP="007020EE">
            <w:pPr>
              <w:tabs>
                <w:tab w:val="left" w:pos="567"/>
              </w:tabs>
              <w:jc w:val="left"/>
              <w:rPr>
                <w:rFonts w:eastAsia="Times New Roman"/>
                <w:sz w:val="16"/>
                <w:szCs w:val="16"/>
              </w:rPr>
            </w:pPr>
            <w:r w:rsidRPr="00B93EE1">
              <w:rPr>
                <w:rFonts w:eastAsia="Times New Roman"/>
                <w:color w:val="000000"/>
                <w:sz w:val="16"/>
                <w:szCs w:val="16"/>
                <w:lang w:eastAsia="en-NZ"/>
              </w:rPr>
              <w:t>Total income (NZD million)</w:t>
            </w:r>
          </w:p>
        </w:tc>
        <w:tc>
          <w:tcPr>
            <w:tcW w:w="921" w:type="dxa"/>
            <w:noWrap/>
            <w:hideMark/>
          </w:tcPr>
          <w:p w14:paraId="68381AC4"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12,409</w:t>
            </w:r>
          </w:p>
        </w:tc>
        <w:tc>
          <w:tcPr>
            <w:tcW w:w="920" w:type="dxa"/>
            <w:noWrap/>
            <w:hideMark/>
          </w:tcPr>
          <w:p w14:paraId="4B67B635"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12,713</w:t>
            </w:r>
          </w:p>
        </w:tc>
        <w:tc>
          <w:tcPr>
            <w:tcW w:w="994" w:type="dxa"/>
            <w:noWrap/>
            <w:hideMark/>
          </w:tcPr>
          <w:p w14:paraId="64C5E365"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13,076</w:t>
            </w:r>
          </w:p>
        </w:tc>
        <w:tc>
          <w:tcPr>
            <w:tcW w:w="992" w:type="dxa"/>
            <w:noWrap/>
            <w:hideMark/>
          </w:tcPr>
          <w:p w14:paraId="16B19939"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13,868</w:t>
            </w:r>
          </w:p>
        </w:tc>
        <w:tc>
          <w:tcPr>
            <w:tcW w:w="992" w:type="dxa"/>
            <w:noWrap/>
            <w:hideMark/>
          </w:tcPr>
          <w:p w14:paraId="364FD907"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14,059</w:t>
            </w:r>
          </w:p>
        </w:tc>
        <w:tc>
          <w:tcPr>
            <w:tcW w:w="941" w:type="dxa"/>
            <w:hideMark/>
          </w:tcPr>
          <w:p w14:paraId="3045B9A9"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13,632</w:t>
            </w:r>
          </w:p>
        </w:tc>
      </w:tr>
      <w:tr w:rsidR="00120717" w:rsidRPr="00B93EE1" w14:paraId="5AD1B382" w14:textId="77777777" w:rsidTr="007020EE">
        <w:trPr>
          <w:cnfStyle w:val="000000010000" w:firstRow="0" w:lastRow="0" w:firstColumn="0" w:lastColumn="0" w:oddVBand="0" w:evenVBand="0" w:oddHBand="0" w:evenHBand="1" w:firstRowFirstColumn="0" w:firstRowLastColumn="0" w:lastRowFirstColumn="0" w:lastRowLastColumn="0"/>
        </w:trPr>
        <w:tc>
          <w:tcPr>
            <w:tcW w:w="3256" w:type="dxa"/>
            <w:noWrap/>
            <w:hideMark/>
          </w:tcPr>
          <w:p w14:paraId="07B68356" w14:textId="77777777" w:rsidR="00120717" w:rsidRPr="00B93EE1" w:rsidRDefault="00120717" w:rsidP="007020EE">
            <w:pPr>
              <w:tabs>
                <w:tab w:val="left" w:pos="567"/>
              </w:tabs>
              <w:jc w:val="left"/>
              <w:rPr>
                <w:rFonts w:eastAsia="Times New Roman"/>
                <w:sz w:val="16"/>
                <w:szCs w:val="16"/>
              </w:rPr>
            </w:pPr>
            <w:r w:rsidRPr="00B93EE1">
              <w:rPr>
                <w:rFonts w:eastAsia="Times New Roman"/>
                <w:color w:val="000000"/>
                <w:sz w:val="16"/>
                <w:szCs w:val="16"/>
                <w:lang w:eastAsia="en-NZ"/>
              </w:rPr>
              <w:t>Net interest income (NZD million)</w:t>
            </w:r>
          </w:p>
        </w:tc>
        <w:tc>
          <w:tcPr>
            <w:tcW w:w="921" w:type="dxa"/>
            <w:noWrap/>
            <w:hideMark/>
          </w:tcPr>
          <w:p w14:paraId="7FD93FFF"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9,411</w:t>
            </w:r>
          </w:p>
        </w:tc>
        <w:tc>
          <w:tcPr>
            <w:tcW w:w="920" w:type="dxa"/>
            <w:noWrap/>
            <w:hideMark/>
          </w:tcPr>
          <w:p w14:paraId="4C791DF6"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9,725</w:t>
            </w:r>
          </w:p>
        </w:tc>
        <w:tc>
          <w:tcPr>
            <w:tcW w:w="994" w:type="dxa"/>
            <w:noWrap/>
            <w:hideMark/>
          </w:tcPr>
          <w:p w14:paraId="5D7F37D0"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9,919</w:t>
            </w:r>
          </w:p>
        </w:tc>
        <w:tc>
          <w:tcPr>
            <w:tcW w:w="992" w:type="dxa"/>
            <w:noWrap/>
            <w:hideMark/>
          </w:tcPr>
          <w:p w14:paraId="748D1168"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10,708</w:t>
            </w:r>
          </w:p>
        </w:tc>
        <w:tc>
          <w:tcPr>
            <w:tcW w:w="992" w:type="dxa"/>
            <w:noWrap/>
            <w:hideMark/>
          </w:tcPr>
          <w:p w14:paraId="62E1C3BB"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10,812</w:t>
            </w:r>
          </w:p>
        </w:tc>
        <w:tc>
          <w:tcPr>
            <w:tcW w:w="941" w:type="dxa"/>
            <w:hideMark/>
          </w:tcPr>
          <w:p w14:paraId="0A1ECE01"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10,969</w:t>
            </w:r>
          </w:p>
        </w:tc>
      </w:tr>
      <w:tr w:rsidR="00120717" w:rsidRPr="00B93EE1" w14:paraId="536F961A" w14:textId="77777777" w:rsidTr="007020EE">
        <w:tc>
          <w:tcPr>
            <w:tcW w:w="3256" w:type="dxa"/>
            <w:noWrap/>
            <w:hideMark/>
          </w:tcPr>
          <w:p w14:paraId="39E07671" w14:textId="77777777" w:rsidR="00120717" w:rsidRPr="00B93EE1" w:rsidRDefault="00120717" w:rsidP="007020EE">
            <w:pPr>
              <w:tabs>
                <w:tab w:val="left" w:pos="567"/>
              </w:tabs>
              <w:jc w:val="left"/>
              <w:rPr>
                <w:rFonts w:eastAsia="Times New Roman"/>
                <w:sz w:val="16"/>
                <w:szCs w:val="16"/>
              </w:rPr>
            </w:pPr>
            <w:r w:rsidRPr="00B93EE1">
              <w:rPr>
                <w:rFonts w:eastAsia="Times New Roman"/>
                <w:color w:val="000000"/>
                <w:sz w:val="16"/>
                <w:szCs w:val="16"/>
                <w:lang w:eastAsia="en-NZ"/>
              </w:rPr>
              <w:t xml:space="preserve">Operating expenses as a % of total income </w:t>
            </w:r>
          </w:p>
        </w:tc>
        <w:tc>
          <w:tcPr>
            <w:tcW w:w="921" w:type="dxa"/>
            <w:noWrap/>
            <w:hideMark/>
          </w:tcPr>
          <w:p w14:paraId="732C9C52"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40.56</w:t>
            </w:r>
          </w:p>
        </w:tc>
        <w:tc>
          <w:tcPr>
            <w:tcW w:w="920" w:type="dxa"/>
            <w:noWrap/>
            <w:hideMark/>
          </w:tcPr>
          <w:p w14:paraId="1175FCBD"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42.24</w:t>
            </w:r>
          </w:p>
        </w:tc>
        <w:tc>
          <w:tcPr>
            <w:tcW w:w="994" w:type="dxa"/>
            <w:noWrap/>
            <w:hideMark/>
          </w:tcPr>
          <w:p w14:paraId="766D9761"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41.55</w:t>
            </w:r>
          </w:p>
        </w:tc>
        <w:tc>
          <w:tcPr>
            <w:tcW w:w="992" w:type="dxa"/>
            <w:noWrap/>
            <w:hideMark/>
          </w:tcPr>
          <w:p w14:paraId="65555155"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40.21</w:t>
            </w:r>
          </w:p>
        </w:tc>
        <w:tc>
          <w:tcPr>
            <w:tcW w:w="992" w:type="dxa"/>
            <w:noWrap/>
            <w:hideMark/>
          </w:tcPr>
          <w:p w14:paraId="151E15B4"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43.02</w:t>
            </w:r>
          </w:p>
        </w:tc>
        <w:tc>
          <w:tcPr>
            <w:tcW w:w="941" w:type="dxa"/>
            <w:hideMark/>
          </w:tcPr>
          <w:p w14:paraId="3E335C7A"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46.17</w:t>
            </w:r>
          </w:p>
        </w:tc>
      </w:tr>
      <w:tr w:rsidR="00120717" w:rsidRPr="00B93EE1" w14:paraId="49442DC3" w14:textId="77777777" w:rsidTr="007020EE">
        <w:trPr>
          <w:cnfStyle w:val="000000010000" w:firstRow="0" w:lastRow="0" w:firstColumn="0" w:lastColumn="0" w:oddVBand="0" w:evenVBand="0" w:oddHBand="0" w:evenHBand="1" w:firstRowFirstColumn="0" w:firstRowLastColumn="0" w:lastRowFirstColumn="0" w:lastRowLastColumn="0"/>
        </w:trPr>
        <w:tc>
          <w:tcPr>
            <w:tcW w:w="3256" w:type="dxa"/>
            <w:noWrap/>
            <w:hideMark/>
          </w:tcPr>
          <w:p w14:paraId="7ADE3EDB" w14:textId="77777777" w:rsidR="00120717" w:rsidRPr="00B93EE1" w:rsidRDefault="00120717" w:rsidP="007020EE">
            <w:pPr>
              <w:tabs>
                <w:tab w:val="left" w:pos="567"/>
              </w:tabs>
              <w:jc w:val="left"/>
              <w:rPr>
                <w:rFonts w:eastAsia="Times New Roman"/>
                <w:sz w:val="16"/>
                <w:szCs w:val="16"/>
              </w:rPr>
            </w:pPr>
            <w:r w:rsidRPr="00B93EE1">
              <w:rPr>
                <w:rFonts w:eastAsia="Times New Roman"/>
                <w:color w:val="000000"/>
                <w:sz w:val="16"/>
                <w:szCs w:val="16"/>
                <w:lang w:eastAsia="en-NZ"/>
              </w:rPr>
              <w:t>Net profit after tax (NZD million)</w:t>
            </w:r>
          </w:p>
        </w:tc>
        <w:tc>
          <w:tcPr>
            <w:tcW w:w="921" w:type="dxa"/>
            <w:noWrap/>
            <w:hideMark/>
          </w:tcPr>
          <w:p w14:paraId="3B1E487A"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5,072</w:t>
            </w:r>
          </w:p>
        </w:tc>
        <w:tc>
          <w:tcPr>
            <w:tcW w:w="920" w:type="dxa"/>
            <w:noWrap/>
            <w:hideMark/>
          </w:tcPr>
          <w:p w14:paraId="13CF3FF9"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4,961</w:t>
            </w:r>
          </w:p>
        </w:tc>
        <w:tc>
          <w:tcPr>
            <w:tcW w:w="994" w:type="dxa"/>
            <w:noWrap/>
            <w:hideMark/>
          </w:tcPr>
          <w:p w14:paraId="10D5EA28"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5,406</w:t>
            </w:r>
          </w:p>
        </w:tc>
        <w:tc>
          <w:tcPr>
            <w:tcW w:w="992" w:type="dxa"/>
            <w:noWrap/>
            <w:hideMark/>
          </w:tcPr>
          <w:p w14:paraId="7984CAEF"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5,766</w:t>
            </w:r>
          </w:p>
        </w:tc>
        <w:tc>
          <w:tcPr>
            <w:tcW w:w="992" w:type="dxa"/>
            <w:noWrap/>
            <w:hideMark/>
          </w:tcPr>
          <w:p w14:paraId="766A1AD2"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5,540</w:t>
            </w:r>
          </w:p>
        </w:tc>
        <w:tc>
          <w:tcPr>
            <w:tcW w:w="941" w:type="dxa"/>
            <w:hideMark/>
          </w:tcPr>
          <w:p w14:paraId="5F93EEFC"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4,302</w:t>
            </w:r>
          </w:p>
        </w:tc>
      </w:tr>
      <w:tr w:rsidR="00120717" w:rsidRPr="00B93EE1" w14:paraId="2C5D7686" w14:textId="77777777" w:rsidTr="007020EE">
        <w:tc>
          <w:tcPr>
            <w:tcW w:w="3256" w:type="dxa"/>
            <w:noWrap/>
            <w:hideMark/>
          </w:tcPr>
          <w:p w14:paraId="579C611D" w14:textId="77777777" w:rsidR="00120717" w:rsidRPr="00B93EE1" w:rsidRDefault="00120717" w:rsidP="007020EE">
            <w:pPr>
              <w:tabs>
                <w:tab w:val="left" w:pos="567"/>
              </w:tabs>
              <w:jc w:val="left"/>
              <w:rPr>
                <w:rFonts w:eastAsia="Times New Roman"/>
                <w:sz w:val="16"/>
                <w:szCs w:val="16"/>
              </w:rPr>
            </w:pPr>
            <w:r w:rsidRPr="00B93EE1">
              <w:rPr>
                <w:rFonts w:eastAsia="Times New Roman"/>
                <w:color w:val="000000"/>
                <w:sz w:val="16"/>
                <w:szCs w:val="16"/>
                <w:lang w:eastAsia="en-NZ"/>
              </w:rPr>
              <w:t>Return on assets (</w:t>
            </w:r>
            <w:proofErr w:type="spellStart"/>
            <w:r w:rsidRPr="00B93EE1">
              <w:rPr>
                <w:rFonts w:eastAsia="Times New Roman"/>
                <w:color w:val="000000"/>
                <w:sz w:val="16"/>
                <w:szCs w:val="16"/>
                <w:lang w:eastAsia="en-NZ"/>
              </w:rPr>
              <w:t>ROA</w:t>
            </w:r>
            <w:proofErr w:type="spellEnd"/>
            <w:r w:rsidRPr="00B93EE1">
              <w:rPr>
                <w:rFonts w:eastAsia="Times New Roman"/>
                <w:color w:val="000000"/>
                <w:sz w:val="16"/>
                <w:szCs w:val="16"/>
                <w:lang w:eastAsia="en-NZ"/>
              </w:rPr>
              <w:t>) (%)</w:t>
            </w:r>
          </w:p>
        </w:tc>
        <w:tc>
          <w:tcPr>
            <w:tcW w:w="921" w:type="dxa"/>
            <w:noWrap/>
            <w:hideMark/>
          </w:tcPr>
          <w:p w14:paraId="2546761F"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1.10</w:t>
            </w:r>
          </w:p>
        </w:tc>
        <w:tc>
          <w:tcPr>
            <w:tcW w:w="920" w:type="dxa"/>
            <w:noWrap/>
            <w:hideMark/>
          </w:tcPr>
          <w:p w14:paraId="1B2E3BE9"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0.99</w:t>
            </w:r>
          </w:p>
        </w:tc>
        <w:tc>
          <w:tcPr>
            <w:tcW w:w="994" w:type="dxa"/>
            <w:noWrap/>
            <w:hideMark/>
          </w:tcPr>
          <w:p w14:paraId="57BD1968"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1.05</w:t>
            </w:r>
          </w:p>
        </w:tc>
        <w:tc>
          <w:tcPr>
            <w:tcW w:w="992" w:type="dxa"/>
            <w:noWrap/>
            <w:hideMark/>
          </w:tcPr>
          <w:p w14:paraId="0C849ABA"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1.07</w:t>
            </w:r>
          </w:p>
        </w:tc>
        <w:tc>
          <w:tcPr>
            <w:tcW w:w="992" w:type="dxa"/>
            <w:noWrap/>
            <w:hideMark/>
          </w:tcPr>
          <w:p w14:paraId="56309348"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0.98</w:t>
            </w:r>
          </w:p>
        </w:tc>
        <w:tc>
          <w:tcPr>
            <w:tcW w:w="941" w:type="dxa"/>
            <w:hideMark/>
          </w:tcPr>
          <w:p w14:paraId="208F1676"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0.70</w:t>
            </w:r>
          </w:p>
        </w:tc>
      </w:tr>
      <w:tr w:rsidR="00120717" w:rsidRPr="00B93EE1" w14:paraId="71B1327A" w14:textId="77777777" w:rsidTr="007020EE">
        <w:trPr>
          <w:cnfStyle w:val="000000010000" w:firstRow="0" w:lastRow="0" w:firstColumn="0" w:lastColumn="0" w:oddVBand="0" w:evenVBand="0" w:oddHBand="0" w:evenHBand="1" w:firstRowFirstColumn="0" w:firstRowLastColumn="0" w:lastRowFirstColumn="0" w:lastRowLastColumn="0"/>
        </w:trPr>
        <w:tc>
          <w:tcPr>
            <w:tcW w:w="3256" w:type="dxa"/>
            <w:noWrap/>
            <w:hideMark/>
          </w:tcPr>
          <w:p w14:paraId="1898BB5D" w14:textId="77777777" w:rsidR="00120717" w:rsidRPr="00B93EE1" w:rsidRDefault="00120717" w:rsidP="007020EE">
            <w:pPr>
              <w:tabs>
                <w:tab w:val="left" w:pos="567"/>
              </w:tabs>
              <w:jc w:val="left"/>
              <w:rPr>
                <w:rFonts w:eastAsia="Times New Roman"/>
                <w:sz w:val="16"/>
                <w:szCs w:val="16"/>
              </w:rPr>
            </w:pPr>
            <w:r w:rsidRPr="00B93EE1">
              <w:rPr>
                <w:rFonts w:eastAsia="Times New Roman"/>
                <w:color w:val="000000"/>
                <w:sz w:val="16"/>
                <w:szCs w:val="16"/>
                <w:lang w:eastAsia="en-NZ"/>
              </w:rPr>
              <w:t>Return on equity (ROE) (%)</w:t>
            </w:r>
          </w:p>
        </w:tc>
        <w:tc>
          <w:tcPr>
            <w:tcW w:w="921" w:type="dxa"/>
            <w:noWrap/>
            <w:hideMark/>
          </w:tcPr>
          <w:p w14:paraId="3658999B"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15.22</w:t>
            </w:r>
          </w:p>
        </w:tc>
        <w:tc>
          <w:tcPr>
            <w:tcW w:w="920" w:type="dxa"/>
            <w:noWrap/>
            <w:hideMark/>
          </w:tcPr>
          <w:p w14:paraId="00099958"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13.90</w:t>
            </w:r>
          </w:p>
        </w:tc>
        <w:tc>
          <w:tcPr>
            <w:tcW w:w="994" w:type="dxa"/>
            <w:noWrap/>
            <w:hideMark/>
          </w:tcPr>
          <w:p w14:paraId="0B4C63C5"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14.47</w:t>
            </w:r>
          </w:p>
        </w:tc>
        <w:tc>
          <w:tcPr>
            <w:tcW w:w="992" w:type="dxa"/>
            <w:noWrap/>
            <w:hideMark/>
          </w:tcPr>
          <w:p w14:paraId="0C9C22C9"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13.95</w:t>
            </w:r>
          </w:p>
        </w:tc>
        <w:tc>
          <w:tcPr>
            <w:tcW w:w="992" w:type="dxa"/>
            <w:noWrap/>
            <w:hideMark/>
          </w:tcPr>
          <w:p w14:paraId="5CEF2C36"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12.84</w:t>
            </w:r>
          </w:p>
        </w:tc>
        <w:tc>
          <w:tcPr>
            <w:tcW w:w="941" w:type="dxa"/>
            <w:hideMark/>
          </w:tcPr>
          <w:p w14:paraId="5E800E4B"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9.30</w:t>
            </w:r>
          </w:p>
        </w:tc>
      </w:tr>
      <w:tr w:rsidR="00120717" w:rsidRPr="00B93EE1" w14:paraId="20B47FC1" w14:textId="77777777" w:rsidTr="007020EE">
        <w:tc>
          <w:tcPr>
            <w:tcW w:w="3256" w:type="dxa"/>
            <w:noWrap/>
            <w:hideMark/>
          </w:tcPr>
          <w:p w14:paraId="35EA6D5B" w14:textId="77777777" w:rsidR="00120717" w:rsidRPr="00B93EE1" w:rsidRDefault="00120717" w:rsidP="007020EE">
            <w:pPr>
              <w:tabs>
                <w:tab w:val="left" w:pos="567"/>
              </w:tabs>
              <w:jc w:val="left"/>
              <w:rPr>
                <w:rFonts w:eastAsia="Times New Roman"/>
                <w:sz w:val="16"/>
                <w:szCs w:val="16"/>
              </w:rPr>
            </w:pPr>
            <w:r w:rsidRPr="00B93EE1">
              <w:rPr>
                <w:rFonts w:eastAsia="Times New Roman"/>
                <w:color w:val="000000"/>
                <w:sz w:val="16"/>
                <w:szCs w:val="16"/>
                <w:lang w:eastAsia="en-NZ"/>
              </w:rPr>
              <w:t>Total capital (as a % of risk</w:t>
            </w:r>
            <w:r w:rsidRPr="00B93EE1">
              <w:rPr>
                <w:rFonts w:eastAsia="Times New Roman"/>
                <w:color w:val="000000"/>
                <w:sz w:val="16"/>
                <w:szCs w:val="16"/>
                <w:lang w:eastAsia="en-NZ"/>
              </w:rPr>
              <w:noBreakHyphen/>
              <w:t>weighted assets)</w:t>
            </w:r>
            <w:r w:rsidRPr="00B93EE1">
              <w:rPr>
                <w:rFonts w:eastAsia="Times New Roman"/>
                <w:color w:val="000000"/>
                <w:sz w:val="16"/>
                <w:szCs w:val="16"/>
                <w:vertAlign w:val="superscript"/>
                <w:lang w:eastAsia="en-NZ"/>
              </w:rPr>
              <w:t>a</w:t>
            </w:r>
          </w:p>
        </w:tc>
        <w:tc>
          <w:tcPr>
            <w:tcW w:w="921" w:type="dxa"/>
            <w:noWrap/>
            <w:hideMark/>
          </w:tcPr>
          <w:p w14:paraId="7D71F96C"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13.46</w:t>
            </w:r>
          </w:p>
        </w:tc>
        <w:tc>
          <w:tcPr>
            <w:tcW w:w="920" w:type="dxa"/>
            <w:noWrap/>
            <w:hideMark/>
          </w:tcPr>
          <w:p w14:paraId="187A9B60"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13.69</w:t>
            </w:r>
          </w:p>
        </w:tc>
        <w:tc>
          <w:tcPr>
            <w:tcW w:w="994" w:type="dxa"/>
            <w:noWrap/>
            <w:hideMark/>
          </w:tcPr>
          <w:p w14:paraId="32A75E29"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14.71</w:t>
            </w:r>
          </w:p>
        </w:tc>
        <w:tc>
          <w:tcPr>
            <w:tcW w:w="992" w:type="dxa"/>
            <w:noWrap/>
            <w:hideMark/>
          </w:tcPr>
          <w:p w14:paraId="59D40BC8"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14.98</w:t>
            </w:r>
          </w:p>
        </w:tc>
        <w:tc>
          <w:tcPr>
            <w:tcW w:w="992" w:type="dxa"/>
            <w:noWrap/>
            <w:hideMark/>
          </w:tcPr>
          <w:p w14:paraId="36D4DD09"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14.36</w:t>
            </w:r>
          </w:p>
        </w:tc>
        <w:tc>
          <w:tcPr>
            <w:tcW w:w="941" w:type="dxa"/>
            <w:hideMark/>
          </w:tcPr>
          <w:p w14:paraId="1F3072E5"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15.25</w:t>
            </w:r>
          </w:p>
        </w:tc>
      </w:tr>
      <w:tr w:rsidR="00120717" w:rsidRPr="00B93EE1" w14:paraId="1E144FE0" w14:textId="77777777" w:rsidTr="007020EE">
        <w:trPr>
          <w:cnfStyle w:val="000000010000" w:firstRow="0" w:lastRow="0" w:firstColumn="0" w:lastColumn="0" w:oddVBand="0" w:evenVBand="0" w:oddHBand="0" w:evenHBand="1" w:firstRowFirstColumn="0" w:firstRowLastColumn="0" w:lastRowFirstColumn="0" w:lastRowLastColumn="0"/>
        </w:trPr>
        <w:tc>
          <w:tcPr>
            <w:tcW w:w="3256" w:type="dxa"/>
            <w:noWrap/>
            <w:hideMark/>
          </w:tcPr>
          <w:p w14:paraId="4795CA4E" w14:textId="77777777" w:rsidR="00120717" w:rsidRPr="00B93EE1" w:rsidRDefault="00120717" w:rsidP="007020EE">
            <w:pPr>
              <w:tabs>
                <w:tab w:val="left" w:pos="567"/>
              </w:tabs>
              <w:ind w:left="170"/>
              <w:jc w:val="left"/>
              <w:rPr>
                <w:rFonts w:eastAsia="Times New Roman"/>
                <w:sz w:val="16"/>
                <w:szCs w:val="16"/>
              </w:rPr>
            </w:pPr>
            <w:r w:rsidRPr="00B93EE1">
              <w:rPr>
                <w:rFonts w:eastAsia="Times New Roman"/>
                <w:color w:val="000000"/>
                <w:sz w:val="16"/>
                <w:szCs w:val="16"/>
                <w:lang w:eastAsia="en-NZ"/>
              </w:rPr>
              <w:t>Tier 1 capital (as a % of risk</w:t>
            </w:r>
            <w:r w:rsidRPr="00B93EE1">
              <w:rPr>
                <w:rFonts w:eastAsia="Times New Roman"/>
                <w:color w:val="000000"/>
                <w:sz w:val="16"/>
                <w:szCs w:val="16"/>
                <w:lang w:eastAsia="en-NZ"/>
              </w:rPr>
              <w:noBreakHyphen/>
              <w:t>weighted assets)</w:t>
            </w:r>
          </w:p>
        </w:tc>
        <w:tc>
          <w:tcPr>
            <w:tcW w:w="921" w:type="dxa"/>
            <w:noWrap/>
            <w:hideMark/>
          </w:tcPr>
          <w:p w14:paraId="587EFF35"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12.05</w:t>
            </w:r>
          </w:p>
        </w:tc>
        <w:tc>
          <w:tcPr>
            <w:tcW w:w="920" w:type="dxa"/>
            <w:noWrap/>
            <w:hideMark/>
          </w:tcPr>
          <w:p w14:paraId="1B116B2C"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12.41</w:t>
            </w:r>
          </w:p>
        </w:tc>
        <w:tc>
          <w:tcPr>
            <w:tcW w:w="994" w:type="dxa"/>
            <w:noWrap/>
            <w:hideMark/>
          </w:tcPr>
          <w:p w14:paraId="06494570"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13.59</w:t>
            </w:r>
          </w:p>
        </w:tc>
        <w:tc>
          <w:tcPr>
            <w:tcW w:w="992" w:type="dxa"/>
            <w:noWrap/>
            <w:hideMark/>
          </w:tcPr>
          <w:p w14:paraId="43F993FB"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13.87</w:t>
            </w:r>
          </w:p>
        </w:tc>
        <w:tc>
          <w:tcPr>
            <w:tcW w:w="992" w:type="dxa"/>
            <w:noWrap/>
            <w:hideMark/>
          </w:tcPr>
          <w:p w14:paraId="58AEEA29"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13.50</w:t>
            </w:r>
          </w:p>
        </w:tc>
        <w:tc>
          <w:tcPr>
            <w:tcW w:w="941" w:type="dxa"/>
            <w:hideMark/>
          </w:tcPr>
          <w:p w14:paraId="495A08E7"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14.32</w:t>
            </w:r>
          </w:p>
        </w:tc>
      </w:tr>
      <w:tr w:rsidR="00120717" w:rsidRPr="00B93EE1" w14:paraId="01B73414" w14:textId="77777777" w:rsidTr="007020EE">
        <w:tc>
          <w:tcPr>
            <w:tcW w:w="3256" w:type="dxa"/>
            <w:noWrap/>
            <w:hideMark/>
          </w:tcPr>
          <w:p w14:paraId="0C490292" w14:textId="77777777" w:rsidR="00120717" w:rsidRPr="00B93EE1" w:rsidRDefault="00120717" w:rsidP="007020EE">
            <w:pPr>
              <w:tabs>
                <w:tab w:val="left" w:pos="567"/>
              </w:tabs>
              <w:ind w:left="170"/>
              <w:jc w:val="left"/>
              <w:rPr>
                <w:rFonts w:eastAsia="Times New Roman"/>
                <w:sz w:val="16"/>
                <w:szCs w:val="16"/>
              </w:rPr>
            </w:pPr>
            <w:r w:rsidRPr="00B93EE1">
              <w:rPr>
                <w:rFonts w:eastAsia="Times New Roman"/>
                <w:color w:val="000000"/>
                <w:sz w:val="16"/>
                <w:szCs w:val="16"/>
                <w:lang w:eastAsia="en-NZ"/>
              </w:rPr>
              <w:t>Tier 2 capital (as a % of risk</w:t>
            </w:r>
            <w:r w:rsidRPr="00B93EE1">
              <w:rPr>
                <w:rFonts w:eastAsia="Times New Roman"/>
                <w:color w:val="000000"/>
                <w:sz w:val="16"/>
                <w:szCs w:val="16"/>
                <w:lang w:eastAsia="en-NZ"/>
              </w:rPr>
              <w:noBreakHyphen/>
              <w:t>weighted assets)</w:t>
            </w:r>
            <w:r w:rsidRPr="00B93EE1">
              <w:rPr>
                <w:rFonts w:eastAsia="Times New Roman"/>
                <w:color w:val="000000"/>
                <w:sz w:val="16"/>
                <w:szCs w:val="16"/>
                <w:vertAlign w:val="superscript"/>
                <w:lang w:eastAsia="en-NZ"/>
              </w:rPr>
              <w:t>a</w:t>
            </w:r>
          </w:p>
        </w:tc>
        <w:tc>
          <w:tcPr>
            <w:tcW w:w="921" w:type="dxa"/>
            <w:noWrap/>
            <w:hideMark/>
          </w:tcPr>
          <w:p w14:paraId="67F4455F"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1.41</w:t>
            </w:r>
          </w:p>
        </w:tc>
        <w:tc>
          <w:tcPr>
            <w:tcW w:w="920" w:type="dxa"/>
            <w:noWrap/>
            <w:hideMark/>
          </w:tcPr>
          <w:p w14:paraId="21163F68"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1.28</w:t>
            </w:r>
          </w:p>
        </w:tc>
        <w:tc>
          <w:tcPr>
            <w:tcW w:w="994" w:type="dxa"/>
            <w:noWrap/>
            <w:hideMark/>
          </w:tcPr>
          <w:p w14:paraId="6D8B2FDA"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1.12</w:t>
            </w:r>
          </w:p>
        </w:tc>
        <w:tc>
          <w:tcPr>
            <w:tcW w:w="992" w:type="dxa"/>
            <w:noWrap/>
            <w:hideMark/>
          </w:tcPr>
          <w:p w14:paraId="0FB7AB72"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1.11</w:t>
            </w:r>
          </w:p>
        </w:tc>
        <w:tc>
          <w:tcPr>
            <w:tcW w:w="992" w:type="dxa"/>
            <w:noWrap/>
            <w:hideMark/>
          </w:tcPr>
          <w:p w14:paraId="1438E199"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0.86</w:t>
            </w:r>
          </w:p>
        </w:tc>
        <w:tc>
          <w:tcPr>
            <w:tcW w:w="941" w:type="dxa"/>
            <w:hideMark/>
          </w:tcPr>
          <w:p w14:paraId="6533725D"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0.93</w:t>
            </w:r>
          </w:p>
        </w:tc>
      </w:tr>
      <w:tr w:rsidR="00120717" w:rsidRPr="00B93EE1" w14:paraId="4D40DB1D" w14:textId="77777777" w:rsidTr="007020EE">
        <w:trPr>
          <w:cnfStyle w:val="000000010000" w:firstRow="0" w:lastRow="0" w:firstColumn="0" w:lastColumn="0" w:oddVBand="0" w:evenVBand="0" w:oddHBand="0" w:evenHBand="1" w:firstRowFirstColumn="0" w:firstRowLastColumn="0" w:lastRowFirstColumn="0" w:lastRowLastColumn="0"/>
        </w:trPr>
        <w:tc>
          <w:tcPr>
            <w:tcW w:w="3256" w:type="dxa"/>
            <w:noWrap/>
            <w:hideMark/>
          </w:tcPr>
          <w:p w14:paraId="6C559205" w14:textId="77777777" w:rsidR="00120717" w:rsidRPr="00B93EE1" w:rsidRDefault="00120717" w:rsidP="007020EE">
            <w:pPr>
              <w:tabs>
                <w:tab w:val="left" w:pos="567"/>
              </w:tabs>
              <w:jc w:val="left"/>
              <w:rPr>
                <w:rFonts w:eastAsia="Times New Roman"/>
                <w:sz w:val="16"/>
                <w:szCs w:val="16"/>
              </w:rPr>
            </w:pPr>
            <w:r w:rsidRPr="00B93EE1">
              <w:rPr>
                <w:rFonts w:eastAsia="Times New Roman"/>
                <w:color w:val="000000"/>
                <w:sz w:val="16"/>
                <w:szCs w:val="16"/>
                <w:lang w:eastAsia="en-NZ"/>
              </w:rPr>
              <w:t>Impaired assets/gross lending (%)</w:t>
            </w:r>
          </w:p>
        </w:tc>
        <w:tc>
          <w:tcPr>
            <w:tcW w:w="921" w:type="dxa"/>
            <w:noWrap/>
            <w:hideMark/>
          </w:tcPr>
          <w:p w14:paraId="29CFB0D9"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0.39</w:t>
            </w:r>
          </w:p>
        </w:tc>
        <w:tc>
          <w:tcPr>
            <w:tcW w:w="920" w:type="dxa"/>
            <w:noWrap/>
            <w:hideMark/>
          </w:tcPr>
          <w:p w14:paraId="1FC035F2"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0.40</w:t>
            </w:r>
          </w:p>
        </w:tc>
        <w:tc>
          <w:tcPr>
            <w:tcW w:w="994" w:type="dxa"/>
            <w:noWrap/>
            <w:hideMark/>
          </w:tcPr>
          <w:p w14:paraId="2BE258D6"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0.40</w:t>
            </w:r>
          </w:p>
        </w:tc>
        <w:tc>
          <w:tcPr>
            <w:tcW w:w="992" w:type="dxa"/>
            <w:noWrap/>
            <w:hideMark/>
          </w:tcPr>
          <w:p w14:paraId="2576CE01"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0.33</w:t>
            </w:r>
          </w:p>
        </w:tc>
        <w:tc>
          <w:tcPr>
            <w:tcW w:w="992" w:type="dxa"/>
            <w:noWrap/>
            <w:hideMark/>
          </w:tcPr>
          <w:p w14:paraId="59C9C20C"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0.41</w:t>
            </w:r>
          </w:p>
        </w:tc>
        <w:tc>
          <w:tcPr>
            <w:tcW w:w="941" w:type="dxa"/>
            <w:hideMark/>
          </w:tcPr>
          <w:p w14:paraId="2C261D5A"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0.38</w:t>
            </w:r>
          </w:p>
        </w:tc>
      </w:tr>
      <w:tr w:rsidR="00120717" w:rsidRPr="00B93EE1" w14:paraId="7A982315" w14:textId="77777777" w:rsidTr="007020EE">
        <w:tc>
          <w:tcPr>
            <w:tcW w:w="3256" w:type="dxa"/>
            <w:noWrap/>
            <w:hideMark/>
          </w:tcPr>
          <w:p w14:paraId="4C22C412" w14:textId="77777777" w:rsidR="00120717" w:rsidRPr="00B93EE1" w:rsidRDefault="00120717" w:rsidP="007020EE">
            <w:pPr>
              <w:tabs>
                <w:tab w:val="left" w:pos="567"/>
              </w:tabs>
              <w:jc w:val="left"/>
              <w:rPr>
                <w:rFonts w:eastAsia="Times New Roman"/>
                <w:sz w:val="16"/>
                <w:szCs w:val="16"/>
              </w:rPr>
            </w:pPr>
            <w:r w:rsidRPr="00B93EE1">
              <w:rPr>
                <w:rFonts w:eastAsia="Times New Roman"/>
                <w:color w:val="000000"/>
                <w:sz w:val="16"/>
                <w:szCs w:val="16"/>
                <w:lang w:eastAsia="en-NZ"/>
              </w:rPr>
              <w:t>Non-performing loans/gross lending (%)</w:t>
            </w:r>
          </w:p>
        </w:tc>
        <w:tc>
          <w:tcPr>
            <w:tcW w:w="921" w:type="dxa"/>
            <w:noWrap/>
            <w:hideMark/>
          </w:tcPr>
          <w:p w14:paraId="6CC8CCE4"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0.55</w:t>
            </w:r>
          </w:p>
        </w:tc>
        <w:tc>
          <w:tcPr>
            <w:tcW w:w="920" w:type="dxa"/>
            <w:noWrap/>
            <w:hideMark/>
          </w:tcPr>
          <w:p w14:paraId="6E69254F"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0.54</w:t>
            </w:r>
          </w:p>
        </w:tc>
        <w:tc>
          <w:tcPr>
            <w:tcW w:w="994" w:type="dxa"/>
            <w:noWrap/>
            <w:hideMark/>
          </w:tcPr>
          <w:p w14:paraId="52C949D9"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0.54</w:t>
            </w:r>
          </w:p>
        </w:tc>
        <w:tc>
          <w:tcPr>
            <w:tcW w:w="992" w:type="dxa"/>
            <w:noWrap/>
            <w:hideMark/>
          </w:tcPr>
          <w:p w14:paraId="0F22F74E"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0.47</w:t>
            </w:r>
          </w:p>
        </w:tc>
        <w:tc>
          <w:tcPr>
            <w:tcW w:w="992" w:type="dxa"/>
            <w:noWrap/>
            <w:hideMark/>
          </w:tcPr>
          <w:p w14:paraId="4B762D46"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0.59</w:t>
            </w:r>
          </w:p>
        </w:tc>
        <w:tc>
          <w:tcPr>
            <w:tcW w:w="941" w:type="dxa"/>
            <w:hideMark/>
          </w:tcPr>
          <w:p w14:paraId="0FB3AA47"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0.60</w:t>
            </w:r>
          </w:p>
        </w:tc>
      </w:tr>
      <w:tr w:rsidR="00120717" w:rsidRPr="00B93EE1" w14:paraId="502D0C45" w14:textId="77777777" w:rsidTr="007020EE">
        <w:trPr>
          <w:cnfStyle w:val="000000010000" w:firstRow="0" w:lastRow="0" w:firstColumn="0" w:lastColumn="0" w:oddVBand="0" w:evenVBand="0" w:oddHBand="0" w:evenHBand="1" w:firstRowFirstColumn="0" w:firstRowLastColumn="0" w:lastRowFirstColumn="0" w:lastRowLastColumn="0"/>
        </w:trPr>
        <w:tc>
          <w:tcPr>
            <w:tcW w:w="3256" w:type="dxa"/>
            <w:noWrap/>
            <w:hideMark/>
          </w:tcPr>
          <w:p w14:paraId="3986CCCC" w14:textId="77777777" w:rsidR="00120717" w:rsidRPr="00B93EE1" w:rsidRDefault="00120717" w:rsidP="007020EE">
            <w:pPr>
              <w:tabs>
                <w:tab w:val="left" w:pos="567"/>
              </w:tabs>
              <w:jc w:val="left"/>
              <w:rPr>
                <w:rFonts w:eastAsia="Times New Roman"/>
                <w:sz w:val="16"/>
                <w:szCs w:val="16"/>
              </w:rPr>
            </w:pPr>
            <w:r w:rsidRPr="00B93EE1">
              <w:rPr>
                <w:rFonts w:eastAsia="Times New Roman"/>
                <w:color w:val="000000"/>
                <w:sz w:val="16"/>
                <w:szCs w:val="16"/>
                <w:lang w:eastAsia="en-NZ"/>
              </w:rPr>
              <w:t>Specific provisions/impaired assets (%)</w:t>
            </w:r>
          </w:p>
        </w:tc>
        <w:tc>
          <w:tcPr>
            <w:tcW w:w="921" w:type="dxa"/>
            <w:noWrap/>
            <w:hideMark/>
          </w:tcPr>
          <w:p w14:paraId="036B84CE"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34.00</w:t>
            </w:r>
          </w:p>
        </w:tc>
        <w:tc>
          <w:tcPr>
            <w:tcW w:w="920" w:type="dxa"/>
            <w:noWrap/>
            <w:hideMark/>
          </w:tcPr>
          <w:p w14:paraId="4ED28C61"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26.43</w:t>
            </w:r>
          </w:p>
        </w:tc>
        <w:tc>
          <w:tcPr>
            <w:tcW w:w="994" w:type="dxa"/>
            <w:noWrap/>
            <w:hideMark/>
          </w:tcPr>
          <w:p w14:paraId="7E605241"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22.06</w:t>
            </w:r>
          </w:p>
        </w:tc>
        <w:tc>
          <w:tcPr>
            <w:tcW w:w="992" w:type="dxa"/>
            <w:noWrap/>
            <w:hideMark/>
          </w:tcPr>
          <w:p w14:paraId="504092D4"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25.13</w:t>
            </w:r>
          </w:p>
        </w:tc>
        <w:tc>
          <w:tcPr>
            <w:tcW w:w="992" w:type="dxa"/>
            <w:noWrap/>
            <w:hideMark/>
          </w:tcPr>
          <w:p w14:paraId="584DBBBC"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19.91</w:t>
            </w:r>
          </w:p>
        </w:tc>
        <w:tc>
          <w:tcPr>
            <w:tcW w:w="941" w:type="dxa"/>
            <w:hideMark/>
          </w:tcPr>
          <w:p w14:paraId="39280AA4" w14:textId="77777777" w:rsidR="00120717" w:rsidRPr="00B93EE1" w:rsidRDefault="00120717" w:rsidP="007020EE">
            <w:pPr>
              <w:tabs>
                <w:tab w:val="left" w:pos="567"/>
              </w:tabs>
              <w:jc w:val="right"/>
              <w:rPr>
                <w:rFonts w:eastAsia="Times New Roman"/>
                <w:sz w:val="16"/>
                <w:szCs w:val="16"/>
              </w:rPr>
            </w:pPr>
            <w:r w:rsidRPr="00B93EE1">
              <w:rPr>
                <w:rFonts w:eastAsia="Times New Roman"/>
                <w:sz w:val="16"/>
                <w:szCs w:val="16"/>
              </w:rPr>
              <w:t>27.06</w:t>
            </w:r>
          </w:p>
        </w:tc>
      </w:tr>
    </w:tbl>
    <w:p w14:paraId="6B3C92F9" w14:textId="77777777" w:rsidR="00120717" w:rsidRPr="00B93EE1" w:rsidRDefault="00120717" w:rsidP="00B37E7A">
      <w:pPr>
        <w:pStyle w:val="NoteText"/>
        <w:spacing w:before="120"/>
        <w:rPr>
          <w:color w:val="444444"/>
        </w:rPr>
      </w:pPr>
      <w:r w:rsidRPr="00B93EE1">
        <w:t>a</w:t>
      </w:r>
      <w:r w:rsidRPr="00B93EE1">
        <w:tab/>
        <w:t>Locally incorporated banks only. Overseas-incorporated banks are required to calculate capital and risk-weighted credit exposures in accordance with the requirements in their home jurisdiction; therefore they are not directly comparable</w:t>
      </w:r>
      <w:r w:rsidRPr="00B93EE1">
        <w:rPr>
          <w:color w:val="444444"/>
        </w:rPr>
        <w:t>.</w:t>
      </w:r>
    </w:p>
    <w:p w14:paraId="0DDF477B" w14:textId="77777777" w:rsidR="00120717" w:rsidRPr="00B93EE1" w:rsidRDefault="00120717" w:rsidP="00B37E7A">
      <w:pPr>
        <w:pStyle w:val="NoteText"/>
        <w:spacing w:before="120" w:after="240"/>
        <w:rPr>
          <w:rFonts w:eastAsia="Calibri"/>
          <w:iCs/>
        </w:rPr>
      </w:pPr>
      <w:r w:rsidRPr="00B93EE1">
        <w:rPr>
          <w:rFonts w:eastAsia="Calibri"/>
        </w:rPr>
        <w:t>Source:</w:t>
      </w:r>
      <w:r w:rsidRPr="00B93EE1">
        <w:rPr>
          <w:rFonts w:eastAsia="Calibri"/>
        </w:rPr>
        <w:tab/>
        <w:t>Information provided by the authorities.</w:t>
      </w:r>
    </w:p>
    <w:p w14:paraId="49C5F840" w14:textId="77777777" w:rsidR="00120717" w:rsidRPr="00F64A35" w:rsidRDefault="00120717" w:rsidP="008B54EB">
      <w:pPr>
        <w:pStyle w:val="BodyText"/>
      </w:pPr>
      <w:r w:rsidRPr="00B93EE1">
        <w:t>Non-bank deposit-taking institutions (</w:t>
      </w:r>
      <w:proofErr w:type="spellStart"/>
      <w:r w:rsidRPr="00B93EE1">
        <w:t>NBDTs</w:t>
      </w:r>
      <w:proofErr w:type="spellEnd"/>
      <w:r w:rsidRPr="00B93EE1">
        <w:t xml:space="preserve">) account for a relatively small part of the New Zealand financial system. In 2021, there were 18 </w:t>
      </w:r>
      <w:proofErr w:type="spellStart"/>
      <w:r w:rsidRPr="00B93EE1">
        <w:t>NBDTs</w:t>
      </w:r>
      <w:proofErr w:type="spellEnd"/>
      <w:r w:rsidRPr="00B93EE1">
        <w:t xml:space="preserve"> operating in New Zealand, which include building societies, credit unions, and deposit-taking finance companies. </w:t>
      </w:r>
      <w:proofErr w:type="spellStart"/>
      <w:r w:rsidRPr="00B93EE1">
        <w:t>NBDTs</w:t>
      </w:r>
      <w:proofErr w:type="spellEnd"/>
      <w:r w:rsidRPr="00B93EE1">
        <w:t xml:space="preserve"> play an important role in financial inclusion by serving communities that may traditionally be under-serviced by the banking system.</w:t>
      </w:r>
    </w:p>
    <w:p w14:paraId="4AD17C6D" w14:textId="77777777" w:rsidR="00120717" w:rsidRPr="00F64A35" w:rsidRDefault="00120717" w:rsidP="008B54EB">
      <w:pPr>
        <w:pStyle w:val="BodyText"/>
      </w:pPr>
      <w:r w:rsidRPr="00B93EE1">
        <w:t>Throughout the early stages of the COVID</w:t>
      </w:r>
      <w:r w:rsidRPr="00B93EE1">
        <w:noBreakHyphen/>
        <w:t xml:space="preserve">19 pandemic, the </w:t>
      </w:r>
      <w:proofErr w:type="spellStart"/>
      <w:r w:rsidRPr="00B93EE1">
        <w:t>RBNZ</w:t>
      </w:r>
      <w:proofErr w:type="spellEnd"/>
      <w:r w:rsidRPr="00B93EE1">
        <w:t xml:space="preserve"> undertook a number of regulatory actions to ensure that banks had sufficient headroom to continue to support borrowers. These included providing temporary funding and liquidity support, delaying planned increases to capital requirements to July 2022 (instead of July 2021), suspending bank dividend payments until at least July 2022, and temporarily adjusting loan-to-value ratio and core funding ratio (CFR) policies. However, in March 2021, the </w:t>
      </w:r>
      <w:proofErr w:type="spellStart"/>
      <w:r w:rsidRPr="00B93EE1">
        <w:t>RBNZ</w:t>
      </w:r>
      <w:proofErr w:type="spellEnd"/>
      <w:r w:rsidRPr="00B93EE1">
        <w:t xml:space="preserve"> eased the dividend restrictions placed on retail banks at the height of the COVID</w:t>
      </w:r>
      <w:r w:rsidRPr="00B93EE1">
        <w:noBreakHyphen/>
        <w:t>19 pandemic, allowing banks to pay up to a maximum of 50% of their earnings as dividends to their shareholders.</w:t>
      </w:r>
    </w:p>
    <w:p w14:paraId="619F3EE2" w14:textId="77777777" w:rsidR="00120717" w:rsidRPr="00F64A35" w:rsidRDefault="00120717" w:rsidP="008B54EB">
      <w:pPr>
        <w:pStyle w:val="BodyText"/>
      </w:pPr>
      <w:r w:rsidRPr="00B93EE1">
        <w:t xml:space="preserve">The banking sector is regulated by the </w:t>
      </w:r>
      <w:proofErr w:type="spellStart"/>
      <w:r w:rsidRPr="00B93EE1">
        <w:t>RBNZ</w:t>
      </w:r>
      <w:proofErr w:type="spellEnd"/>
      <w:r w:rsidRPr="00B93EE1">
        <w:t xml:space="preserve"> under the Reserve Bank of New Zealand Act 1989. The Act empowers the </w:t>
      </w:r>
      <w:proofErr w:type="spellStart"/>
      <w:r w:rsidRPr="00B93EE1">
        <w:t>RBNZ</w:t>
      </w:r>
      <w:proofErr w:type="spellEnd"/>
      <w:r w:rsidRPr="00B93EE1">
        <w:t xml:space="preserve"> to register and supervise banks for the purposes of promoting a sound and efficient financial system and avoiding significant damage to the system in the event of distress or bank failure. The authorities indicate that the Reserve Bank of New Zealand Act 1989 is being amended by the Reserve Bank Act 2021. The new Act will come into effect in July 2022. The Reserve Bank Act 2021 covers the governance and non-prudential functions of the </w:t>
      </w:r>
      <w:proofErr w:type="spellStart"/>
      <w:r w:rsidRPr="00B93EE1">
        <w:t>RBNZ</w:t>
      </w:r>
      <w:proofErr w:type="spellEnd"/>
      <w:r w:rsidRPr="00B93EE1">
        <w:t xml:space="preserve">, including monetary policy and the </w:t>
      </w:r>
      <w:proofErr w:type="spellStart"/>
      <w:r w:rsidRPr="00B93EE1">
        <w:t>RBNZ's</w:t>
      </w:r>
      <w:proofErr w:type="spellEnd"/>
      <w:r w:rsidRPr="00B93EE1">
        <w:t xml:space="preserve"> role as lender of last resort for the financial system. In addition, banks are subject to the Credit Contracts and Consumer Finance Act 2003, administered by the Commerce Commission, which requires creditors to disclose all aspects of credit contracts (e.g. fees, charges, and interest).</w:t>
      </w:r>
    </w:p>
    <w:p w14:paraId="353C4369" w14:textId="77777777" w:rsidR="00120717" w:rsidRPr="00F64A35" w:rsidRDefault="00120717" w:rsidP="008B54EB">
      <w:pPr>
        <w:pStyle w:val="BodyText"/>
      </w:pPr>
      <w:r w:rsidRPr="00B93EE1">
        <w:t xml:space="preserve">Both locally incorporated entities and bank branches incorporated overseas may apply for registration. There is no upper limit on the number of registered banks and no restrictions on the scope of financial services that a bank may provide. However, a banking group is not permitted to conduct material non-financial activities and insurance businesses in excess of 1% of total consolidated group assets. Only entities whose business substantially consists of borrowing and lending money or providing other financial services may be registered as banks. They must have a proven ability to conduct their business in a prudent manner and an appropriate standing in financial markets. The </w:t>
      </w:r>
      <w:proofErr w:type="spellStart"/>
      <w:r w:rsidRPr="00B93EE1">
        <w:t>RBNZ</w:t>
      </w:r>
      <w:proofErr w:type="spellEnd"/>
      <w:r w:rsidRPr="00B93EE1">
        <w:t xml:space="preserve"> considers both qualitative and quantitative criteria in the registration process.</w:t>
      </w:r>
    </w:p>
    <w:p w14:paraId="63F2EEC8" w14:textId="3C9203D8" w:rsidR="00120717" w:rsidRPr="00F64A35" w:rsidRDefault="00120717" w:rsidP="008B54EB">
      <w:pPr>
        <w:pStyle w:val="BodyText"/>
      </w:pPr>
      <w:r w:rsidRPr="00B93EE1">
        <w:lastRenderedPageBreak/>
        <w:t>New Zealand-incorporated banks must have a total capital of not less than NZD 30 million and meet the following capital ratio requirements and buffers in accordance with Basel III: (</w:t>
      </w:r>
      <w:proofErr w:type="spellStart"/>
      <w:r w:rsidRPr="00B93EE1">
        <w:t>i</w:t>
      </w:r>
      <w:proofErr w:type="spellEnd"/>
      <w:r w:rsidRPr="00B93EE1">
        <w:t xml:space="preserve">) a minimum ratio of 6% of Tier 1 capital to risk-weighted assets, and a minimum of 8% total capital ratio; (ii) a common equity Tier 1 capital ratio of not less than 4.5%; and (iii) a prudential capital buffer (PCB) of at least 2.5%, resulting in a total capital ratio of at least 10.5%. The </w:t>
      </w:r>
      <w:proofErr w:type="spellStart"/>
      <w:r w:rsidRPr="00B93EE1">
        <w:t>RBNZ</w:t>
      </w:r>
      <w:proofErr w:type="spellEnd"/>
      <w:r w:rsidRPr="00B93EE1">
        <w:t xml:space="preserve"> has the power to apply an additional counter-cyclical capital buffer under certain circumstances. In 2019, the </w:t>
      </w:r>
      <w:proofErr w:type="spellStart"/>
      <w:r w:rsidRPr="00B93EE1">
        <w:t>RBNZ</w:t>
      </w:r>
      <w:proofErr w:type="spellEnd"/>
      <w:r w:rsidRPr="00B93EE1">
        <w:t xml:space="preserve"> decided on an increase in capital ratios of banks. The increase in capital is set to be phased in over a seven</w:t>
      </w:r>
      <w:r w:rsidRPr="00B93EE1">
        <w:noBreakHyphen/>
        <w:t>year period, starting from July 2022 (initially July 2021). By the end of the transition period in 2028, New Zealand's D-</w:t>
      </w:r>
      <w:proofErr w:type="spellStart"/>
      <w:r w:rsidRPr="00B93EE1">
        <w:t>SIBs</w:t>
      </w:r>
      <w:proofErr w:type="spellEnd"/>
      <w:r w:rsidRPr="00B93EE1">
        <w:t xml:space="preserve"> will be required to have a common equity Tier 1 capital ratio of 4.5%, a Tier 1 capital ratio of 7%, and a total capital ratio of at least 18%, i.e. a total capital ratio of 9%, and a PCB of at least 9%.</w:t>
      </w:r>
      <w:r w:rsidRPr="00B93EE1">
        <w:rPr>
          <w:rStyle w:val="FootnoteReference"/>
        </w:rPr>
        <w:footnoteReference w:id="388"/>
      </w:r>
      <w:r w:rsidRPr="00B93EE1">
        <w:t xml:space="preserve"> All other registered banks will be required to have a CET1 capital ratio of 4.5%, a Tier 1 capital ratio of 7%, and a </w:t>
      </w:r>
      <w:r w:rsidR="00616413">
        <w:t xml:space="preserve">total </w:t>
      </w:r>
      <w:r w:rsidRPr="00B93EE1">
        <w:t>capital ratio of at least 16%, i.e. a total capital ratio of 9%, and a PCB of at least 7%.</w:t>
      </w:r>
    </w:p>
    <w:p w14:paraId="79BF4E1D" w14:textId="77777777" w:rsidR="00120717" w:rsidRPr="00F64A35" w:rsidRDefault="00120717" w:rsidP="008B54EB">
      <w:pPr>
        <w:pStyle w:val="BodyText"/>
      </w:pPr>
      <w:r w:rsidRPr="00B93EE1">
        <w:t>Locally incorporated banks must hold liquidity buffers that satisfy the one-week and one</w:t>
      </w:r>
      <w:r w:rsidRPr="00B93EE1">
        <w:noBreakHyphen/>
        <w:t xml:space="preserve">month mismatch ratios. In 2013, the </w:t>
      </w:r>
      <w:proofErr w:type="spellStart"/>
      <w:r w:rsidRPr="00B93EE1">
        <w:t>RBNZ</w:t>
      </w:r>
      <w:proofErr w:type="spellEnd"/>
      <w:r w:rsidRPr="00B93EE1">
        <w:t xml:space="preserve"> adopted a model under which it was required to comply with a minimum CFR that requires that at least 75% of total funding must come from liabilities other than short-term debt, such as retail deposits, long-term wholesale borrowing, and bank capital. On 2 April 2020, in the context of COVID</w:t>
      </w:r>
      <w:r w:rsidRPr="00B93EE1">
        <w:noBreakHyphen/>
        <w:t xml:space="preserve">19 pandemic, the </w:t>
      </w:r>
      <w:proofErr w:type="spellStart"/>
      <w:r w:rsidRPr="00B93EE1">
        <w:t>RBNZ</w:t>
      </w:r>
      <w:proofErr w:type="spellEnd"/>
      <w:r w:rsidRPr="00B93EE1">
        <w:t xml:space="preserve"> temporarily reduced the minimum CFR requirement from 75% to 50% to support banks' lending to the economy. On 1 January 2022, the minimum CFR requirement was increased to its previous level of 75%.</w:t>
      </w:r>
    </w:p>
    <w:p w14:paraId="3B24981C" w14:textId="77777777" w:rsidR="00120717" w:rsidRPr="00F64A35" w:rsidRDefault="00120717" w:rsidP="008B54EB">
      <w:pPr>
        <w:pStyle w:val="BodyText"/>
      </w:pPr>
      <w:r w:rsidRPr="00B93EE1">
        <w:t xml:space="preserve">Banks must submit monthly reports on liquidity risk to the </w:t>
      </w:r>
      <w:proofErr w:type="spellStart"/>
      <w:r w:rsidRPr="00B93EE1">
        <w:t>RBNZ</w:t>
      </w:r>
      <w:proofErr w:type="spellEnd"/>
      <w:r w:rsidRPr="00B93EE1">
        <w:t>, using a standard template, displaying their minimum ratios, a breakdown of liquid assets held, comprehensive data on cash inflows and outflows broken down by maturity, details of new funding raised over the latest month, and the cost of that funding.</w:t>
      </w:r>
    </w:p>
    <w:p w14:paraId="05EC4178" w14:textId="77777777" w:rsidR="00120717" w:rsidRPr="00F64A35" w:rsidRDefault="00120717" w:rsidP="008B54EB">
      <w:pPr>
        <w:pStyle w:val="BodyText"/>
      </w:pPr>
      <w:r w:rsidRPr="00B93EE1">
        <w:t xml:space="preserve">An overseas-incorporated entity wishing to register as a branch in New Zealand must have bank status in its home jurisdiction and the approval of its home supervisor to carry out banking activities in New Zealand. Overseas bank branches are not subject to minimum capital requirements, but the parent bank must demonstrate that it meets the prudential requirements, including minimum capital standards imposed on it by its home supervisor. However, the </w:t>
      </w:r>
      <w:proofErr w:type="spellStart"/>
      <w:r w:rsidRPr="00B93EE1">
        <w:t>RBNZ</w:t>
      </w:r>
      <w:proofErr w:type="spellEnd"/>
      <w:r w:rsidRPr="00B93EE1">
        <w:t xml:space="preserve"> may require a foreign bank to operate through a locally incorporated entity, rather than a branch in certain circumstances, i.e. when the bank is systemically important, when the bank intends to take retail deposits in New Zealand and there is depositor protection in the bank's home jurisdiction, or when supervisory arrangements (including disclosure requirements) and market disciplines in the home jurisdiction are deemed inadequate. The </w:t>
      </w:r>
      <w:proofErr w:type="spellStart"/>
      <w:r w:rsidRPr="00B93EE1">
        <w:t>RBNZ</w:t>
      </w:r>
      <w:proofErr w:type="spellEnd"/>
      <w:r w:rsidRPr="00B93EE1">
        <w:t xml:space="preserve"> is currently reviewing its policies relating to the registration of overseas-incorporated banks, with the objective of improving the consistency and clarity of the prudential requirements applying to banks operating under a branch model, and ensuring these are consistent with the </w:t>
      </w:r>
      <w:proofErr w:type="spellStart"/>
      <w:r w:rsidRPr="00B93EE1">
        <w:t>RBNZ's</w:t>
      </w:r>
      <w:proofErr w:type="spellEnd"/>
      <w:r w:rsidRPr="00B93EE1">
        <w:t xml:space="preserve"> financial stability mandate and risk appetite. The related consultation process was launched in October 2021 and will be concluded in March 2022.</w:t>
      </w:r>
      <w:r w:rsidRPr="00B93EE1">
        <w:rPr>
          <w:rStyle w:val="FootnoteReference"/>
        </w:rPr>
        <w:footnoteReference w:id="389"/>
      </w:r>
    </w:p>
    <w:p w14:paraId="53983D28" w14:textId="77777777" w:rsidR="00120717" w:rsidRPr="00F64A35" w:rsidRDefault="00120717" w:rsidP="008B54EB">
      <w:pPr>
        <w:pStyle w:val="BodyText"/>
      </w:pPr>
      <w:r w:rsidRPr="00B93EE1">
        <w:t xml:space="preserve">The </w:t>
      </w:r>
      <w:proofErr w:type="spellStart"/>
      <w:r w:rsidRPr="00B93EE1">
        <w:t>RBNZ</w:t>
      </w:r>
      <w:proofErr w:type="spellEnd"/>
      <w:r w:rsidRPr="00B93EE1">
        <w:t xml:space="preserve"> closely monitors banks' compliance with the prudential supervision regime but does not guarantee banks against failures. There were no bank failures or use of bank crisis management powers during the review period. Under current legislation, there is no formal deposit guarantee scheme.</w:t>
      </w:r>
    </w:p>
    <w:p w14:paraId="126F19F3" w14:textId="77777777" w:rsidR="00120717" w:rsidRPr="00F64A35" w:rsidRDefault="00120717" w:rsidP="008B54EB">
      <w:pPr>
        <w:pStyle w:val="BodyText"/>
      </w:pPr>
      <w:r w:rsidRPr="00B93EE1">
        <w:t xml:space="preserve">On 29 May 2018, the </w:t>
      </w:r>
      <w:proofErr w:type="spellStart"/>
      <w:r w:rsidRPr="00B93EE1">
        <w:t>RBNZ</w:t>
      </w:r>
      <w:proofErr w:type="spellEnd"/>
      <w:r w:rsidRPr="00B93EE1">
        <w:t xml:space="preserve"> launched the</w:t>
      </w:r>
      <w:r w:rsidRPr="00B93EE1">
        <w:rPr>
          <w:i/>
          <w:iCs/>
        </w:rPr>
        <w:t xml:space="preserve"> </w:t>
      </w:r>
      <w:r w:rsidRPr="00B93EE1">
        <w:t>Bank Financial Strength Dashboard (the Dashboard), an innovative online tool for sharing prudential and financial information on New Zealand</w:t>
      </w:r>
      <w:r w:rsidRPr="00B93EE1">
        <w:noBreakHyphen/>
        <w:t>incorporated banks.</w:t>
      </w:r>
      <w:r w:rsidRPr="00B93EE1">
        <w:rPr>
          <w:rStyle w:val="FootnoteReference"/>
          <w:rFonts w:cs="Verdana"/>
          <w:szCs w:val="18"/>
        </w:rPr>
        <w:footnoteReference w:id="390"/>
      </w:r>
      <w:r w:rsidRPr="00B93EE1">
        <w:t xml:space="preserve"> It makes prudential information easily accessible and comparable and aims to strengthen the market discipline of banks. The Dashboard is updated quarterly and is based on information provided by banks to the </w:t>
      </w:r>
      <w:proofErr w:type="spellStart"/>
      <w:r w:rsidRPr="00B93EE1">
        <w:t>RBNZ</w:t>
      </w:r>
      <w:proofErr w:type="spellEnd"/>
      <w:r w:rsidRPr="00B93EE1">
        <w:t>.</w:t>
      </w:r>
    </w:p>
    <w:p w14:paraId="4B4340C4" w14:textId="77777777" w:rsidR="00120717" w:rsidRPr="00F64A35" w:rsidRDefault="00120717" w:rsidP="007020EE">
      <w:pPr>
        <w:pStyle w:val="BodyText"/>
      </w:pPr>
      <w:r w:rsidRPr="00B93EE1">
        <w:lastRenderedPageBreak/>
        <w:t xml:space="preserve">The Non-Bank Deposit Takers Act 2013 provides a stand-alone framework for the prudential regulation of the </w:t>
      </w:r>
      <w:proofErr w:type="spellStart"/>
      <w:r w:rsidRPr="00B93EE1">
        <w:t>NBDT</w:t>
      </w:r>
      <w:proofErr w:type="spellEnd"/>
      <w:r w:rsidRPr="00B93EE1">
        <w:t xml:space="preserve"> sector. The Act incorporates prudential requirements and provisions on licensing, fit and proper requirements for directors and senior officers, changes of ownership, and investigation and enforcement. </w:t>
      </w:r>
      <w:proofErr w:type="spellStart"/>
      <w:r w:rsidRPr="00B93EE1">
        <w:t>NBDTs</w:t>
      </w:r>
      <w:proofErr w:type="spellEnd"/>
      <w:r w:rsidRPr="00B93EE1">
        <w:t xml:space="preserve"> are subject to regulatory requirements including capital adequacy, liquidity, related-party lending, governance, risk management, and credit rating obligations. According to the authorities, a proposed Deposit Takers Bill is expected to be passed in 2023, and is intended to provide for prudential regulation, establishing a single standards-based regime for the regulation and supervision of banks and </w:t>
      </w:r>
      <w:proofErr w:type="spellStart"/>
      <w:r w:rsidRPr="00B93EE1">
        <w:t>NBDTs</w:t>
      </w:r>
      <w:proofErr w:type="spellEnd"/>
      <w:r w:rsidRPr="00B93EE1">
        <w:t>. It also provides for the introduction of deposit insurance, with a limit of NZD 100,000 per customer per institution. Finally, it will include a revised set of crisis management powers, including a "no creditor worse off" safeguard.</w:t>
      </w:r>
    </w:p>
    <w:p w14:paraId="6E186F99" w14:textId="77777777" w:rsidR="00120717" w:rsidRPr="00F64A35" w:rsidRDefault="00120717" w:rsidP="00EE0018">
      <w:pPr>
        <w:pStyle w:val="Heading4"/>
      </w:pPr>
      <w:bookmarkStart w:id="242" w:name="_Toc97800205"/>
      <w:r w:rsidRPr="00B93EE1">
        <w:t>Insurance</w:t>
      </w:r>
      <w:bookmarkEnd w:id="242"/>
    </w:p>
    <w:p w14:paraId="3A7E3CF7" w14:textId="77777777" w:rsidR="00120717" w:rsidRPr="00F64A35" w:rsidRDefault="00120717" w:rsidP="00EE1302">
      <w:pPr>
        <w:pStyle w:val="BodyText"/>
      </w:pPr>
      <w:r w:rsidRPr="00B93EE1">
        <w:t>There are 88 licensed insurers currently operating in New Zealand, with approximately NZD 12 billion in gross premiums. Foreign-owned insurers account for 77% of gross premiums. Not all insurers that operate in New Zealand are required to be licensed. The largest non-licensed insurers are government-owned. Based on gross premium revenue in 2020, general insurance constitutes 62% of gross premiums, with 23% for life insurance and 15% for health insurance.</w:t>
      </w:r>
      <w:r w:rsidRPr="00B93EE1">
        <w:rPr>
          <w:rStyle w:val="FootnoteReference"/>
        </w:rPr>
        <w:footnoteReference w:id="391"/>
      </w:r>
    </w:p>
    <w:p w14:paraId="17F5974A" w14:textId="77777777" w:rsidR="00120717" w:rsidRPr="00F64A35" w:rsidRDefault="00120717" w:rsidP="00EE1302">
      <w:pPr>
        <w:pStyle w:val="BodyText"/>
      </w:pPr>
      <w:r w:rsidRPr="00B93EE1">
        <w:t>Insurers seeking to carry out insurance business in New Zealand must be licensed under the Insurance (Prudential Supervision) Act 2010 (</w:t>
      </w:r>
      <w:proofErr w:type="spellStart"/>
      <w:r w:rsidRPr="00B93EE1">
        <w:t>IPSA</w:t>
      </w:r>
      <w:proofErr w:type="spellEnd"/>
      <w:r w:rsidRPr="00B93EE1">
        <w:t xml:space="preserve">), which sets out a regulatory and prudential requirements framework. There have been no recent changes to requirements under </w:t>
      </w:r>
      <w:proofErr w:type="spellStart"/>
      <w:r w:rsidRPr="00B93EE1">
        <w:t>IPSA</w:t>
      </w:r>
      <w:proofErr w:type="spellEnd"/>
      <w:r w:rsidRPr="00B93EE1">
        <w:t xml:space="preserve"> and associated regulations and standards. The following government-owned general insurers are not subject to the insurance regulatory and prudential requirements: the Accident Compensation Corporation, the Earthquake Commission (co-insurer of residential dwellings for certain natural disasters), and Southern Response Earthquake Services. The Accident Compensation Corporation is the government provider of personal injury insurance; it is a statutory monopoly (although some large employers can contract out and cover their employees for work-related accidents), with its own legislation and is overseen by the </w:t>
      </w:r>
      <w:proofErr w:type="spellStart"/>
      <w:r w:rsidRPr="00B93EE1">
        <w:t>MBIE</w:t>
      </w:r>
      <w:proofErr w:type="spellEnd"/>
      <w:r w:rsidRPr="00B93EE1">
        <w:t xml:space="preserve"> and the Treasury. The Earthquake Commission is a monopoly provider of nationwide residential insurance for land and dwellings; it has its own legislation and is overseen by the Treasury. Southern Response is a run-off insurer for covered insurance claims arising from the Canterbury earthquake events between 2010 and 2012; it is overseen by the Treasury.</w:t>
      </w:r>
    </w:p>
    <w:p w14:paraId="43B9B744" w14:textId="77777777" w:rsidR="00120717" w:rsidRPr="00F64A35" w:rsidRDefault="00120717" w:rsidP="00490D1B">
      <w:pPr>
        <w:pStyle w:val="BodyText"/>
      </w:pPr>
      <w:r w:rsidRPr="00B93EE1">
        <w:t>Licensed insurers may provide more than one type of insurance (life, general, health) through the same entity. However, almost all life insurers are required to establish a statutory fund to legally separate and better protect life insurance policyholders. Licensed insurers can have dealings with related parties (with higher risk charges for solvency calculations); they can conduct any non</w:t>
      </w:r>
      <w:r w:rsidRPr="00B93EE1">
        <w:noBreakHyphen/>
        <w:t>insurance business within the insurer and can provide insurance in New Zealand and in other countries from within the same entity.</w:t>
      </w:r>
    </w:p>
    <w:p w14:paraId="46B88D2F" w14:textId="77777777" w:rsidR="00120717" w:rsidRPr="00F64A35" w:rsidRDefault="00120717" w:rsidP="00490D1B">
      <w:pPr>
        <w:pStyle w:val="BodyText"/>
      </w:pPr>
      <w:r w:rsidRPr="00B93EE1">
        <w:t>Insurers (domestic or foreign-owned) must: (</w:t>
      </w:r>
      <w:proofErr w:type="spellStart"/>
      <w:r w:rsidRPr="00B93EE1">
        <w:t>i</w:t>
      </w:r>
      <w:proofErr w:type="spellEnd"/>
      <w:r w:rsidRPr="00B93EE1">
        <w:t>) have the ability to carry on its business in a prudent manner; (ii) have a satisfactory fit and proper policy for directors and certain senior officers; (iii) have a proper risk management programme; (iv) be registered or qualify to be registered as a financial services provider; (v) unless exempted, have a current financial strength rating from an approved rating agency (currently S&amp;P, AM Best, and Fitch); (vi) comply with all conditions of licence; and (vii) comply with any other relevant legislation (including anti-money laundering as applicable). Solvency requirements may be on the New Zealand basis or on the home jurisdiction basis for those branches that are exempted from New Zealand requirements.</w:t>
      </w:r>
    </w:p>
    <w:p w14:paraId="310D29FA" w14:textId="77777777" w:rsidR="00120717" w:rsidRPr="00F64A35" w:rsidRDefault="00120717" w:rsidP="00490D1B">
      <w:pPr>
        <w:pStyle w:val="BodyText"/>
      </w:pPr>
      <w:r w:rsidRPr="00B93EE1">
        <w:t xml:space="preserve">In December 2014, the </w:t>
      </w:r>
      <w:proofErr w:type="spellStart"/>
      <w:r w:rsidRPr="00B93EE1">
        <w:t>RBNZ</w:t>
      </w:r>
      <w:proofErr w:type="spellEnd"/>
      <w:r w:rsidRPr="00B93EE1">
        <w:t xml:space="preserve"> issued a set of Insurance Solvency Standards that were further amended in 2018. The Standards specify the capital requirements for licensed insurers carrying on life insurance and non-life insurance businesses, methods for calculating and reporting solvency and related matters of a licensed insurer, and disclosure of solvency-related information. Unless exempted, there is a minimum capital amount of NZD 5 million for life insurance and NZD 3 million for non-life insurance. In 2020, the </w:t>
      </w:r>
      <w:proofErr w:type="spellStart"/>
      <w:r w:rsidRPr="00B93EE1">
        <w:t>RBNZ</w:t>
      </w:r>
      <w:proofErr w:type="spellEnd"/>
      <w:r w:rsidRPr="00B93EE1">
        <w:t xml:space="preserve"> began a review of the Insurance Solvency Standards. An updated, interim solvency standard is expected to be issued late in 2022, followed by a final standard one or two years later.</w:t>
      </w:r>
    </w:p>
    <w:p w14:paraId="611036DB" w14:textId="77777777" w:rsidR="00120717" w:rsidRPr="00F64A35" w:rsidRDefault="00120717" w:rsidP="008B54EB">
      <w:pPr>
        <w:pStyle w:val="BodyText"/>
      </w:pPr>
      <w:r w:rsidRPr="00B93EE1">
        <w:lastRenderedPageBreak/>
        <w:t>The effects of climate change have started to impact the New Zealand insurance market. In terms of nominal value of insurance claims, the five most expensive calendar years for weather event claims were the last five years (i.e. 2017-21 inclusive). The mostly costly individual events for various types of weather have also been recent – tornado (2021), floods (2021), hailstorms (2019), and wildfires (2020). According to the authorities, the weather-related losses, as well as the much larger earthquake losses in 2010, 2011, 2013, and 2016, have contributed to large increases in property insurance premium rates in recent years.</w:t>
      </w:r>
    </w:p>
    <w:p w14:paraId="461563FF" w14:textId="77777777" w:rsidR="00120717" w:rsidRPr="00F64A35" w:rsidRDefault="00120717" w:rsidP="002F51B6">
      <w:pPr>
        <w:pStyle w:val="Heading4"/>
      </w:pPr>
      <w:bookmarkStart w:id="243" w:name="_Toc97800206"/>
      <w:r w:rsidRPr="00B93EE1">
        <w:t>Other financial services</w:t>
      </w:r>
      <w:bookmarkEnd w:id="243"/>
    </w:p>
    <w:p w14:paraId="3DAA11D1" w14:textId="77777777" w:rsidR="00120717" w:rsidRPr="00F64A35" w:rsidRDefault="00120717" w:rsidP="008B54EB">
      <w:pPr>
        <w:pStyle w:val="BodyText"/>
      </w:pPr>
      <w:r w:rsidRPr="00B93EE1">
        <w:t>The capital market of New Zealand is small but has been growing in recent years with an increase in managed funds. The listed stock market capitalization was 54% of GDP in September 2021, and the total amount of bonds outstanding in the local market was 49% of GDP (excluding government bonds).</w:t>
      </w:r>
      <w:r w:rsidRPr="00B93EE1">
        <w:rPr>
          <w:rStyle w:val="FootnoteReference"/>
        </w:rPr>
        <w:footnoteReference w:id="392"/>
      </w:r>
      <w:r w:rsidRPr="00B93EE1">
        <w:t xml:space="preserve"> The bond market is dominated by central government issues and financial institutions.</w:t>
      </w:r>
      <w:r w:rsidRPr="00B93EE1">
        <w:rPr>
          <w:rStyle w:val="FootnoteReference"/>
        </w:rPr>
        <w:footnoteReference w:id="393"/>
      </w:r>
    </w:p>
    <w:p w14:paraId="407A5325" w14:textId="77777777" w:rsidR="00120717" w:rsidRPr="00F64A35" w:rsidRDefault="00120717" w:rsidP="008B54EB">
      <w:pPr>
        <w:pStyle w:val="BodyText"/>
      </w:pPr>
      <w:r w:rsidRPr="00B93EE1">
        <w:rPr>
          <w:rFonts w:cs="Verdana"/>
          <w:szCs w:val="18"/>
        </w:rPr>
        <w:t>The Financial Markets Conduct Act 2013 (</w:t>
      </w:r>
      <w:proofErr w:type="spellStart"/>
      <w:r w:rsidRPr="00B93EE1">
        <w:rPr>
          <w:rFonts w:cs="Verdana"/>
          <w:szCs w:val="18"/>
        </w:rPr>
        <w:t>FMCA</w:t>
      </w:r>
      <w:proofErr w:type="spellEnd"/>
      <w:r w:rsidRPr="00B93EE1">
        <w:rPr>
          <w:rFonts w:cs="Verdana"/>
          <w:szCs w:val="18"/>
        </w:rPr>
        <w:t xml:space="preserve">) continues to be the principal act that </w:t>
      </w:r>
      <w:r w:rsidRPr="00B93EE1">
        <w:t xml:space="preserve">regulates financial conduct in the capital markets. It governs the way financial products are offered, promoted, issued, and sold. The </w:t>
      </w:r>
      <w:proofErr w:type="spellStart"/>
      <w:r w:rsidRPr="00B93EE1">
        <w:t>FMCA</w:t>
      </w:r>
      <w:proofErr w:type="spellEnd"/>
      <w:r w:rsidRPr="00B93EE1">
        <w:t xml:space="preserve"> was progressively brought into force from April 2014. Although the new regime was in effect on 1 December 2014, most regulated entities had until 1 December 2016 to transition to the new regime. </w:t>
      </w:r>
      <w:r w:rsidRPr="00B93EE1">
        <w:rPr>
          <w:rFonts w:cs="Verdana"/>
          <w:szCs w:val="18"/>
        </w:rPr>
        <w:t xml:space="preserve">The </w:t>
      </w:r>
      <w:proofErr w:type="spellStart"/>
      <w:r w:rsidRPr="00B93EE1">
        <w:rPr>
          <w:rFonts w:cs="Verdana"/>
          <w:szCs w:val="18"/>
        </w:rPr>
        <w:t>FMCA</w:t>
      </w:r>
      <w:proofErr w:type="spellEnd"/>
      <w:r w:rsidRPr="00B93EE1">
        <w:rPr>
          <w:rFonts w:cs="Verdana"/>
          <w:szCs w:val="18"/>
        </w:rPr>
        <w:t xml:space="preserve"> established, </w:t>
      </w:r>
      <w:r w:rsidRPr="00B93EE1">
        <w:rPr>
          <w:rFonts w:cs="Verdana"/>
          <w:i/>
          <w:iCs/>
          <w:szCs w:val="18"/>
        </w:rPr>
        <w:t>inter alia</w:t>
      </w:r>
      <w:r w:rsidRPr="00B93EE1">
        <w:rPr>
          <w:rFonts w:cs="Verdana"/>
          <w:szCs w:val="18"/>
        </w:rPr>
        <w:t xml:space="preserve">, a licensing regime for fund managers, independent trustees, derivatives issuers, and providers of crowd funding, peer-to-peer lending and discretionary investment management services. It is not possible to perform any of these services without a licence granted by the </w:t>
      </w:r>
      <w:proofErr w:type="spellStart"/>
      <w:r w:rsidRPr="00B93EE1">
        <w:rPr>
          <w:rFonts w:cs="Verdana"/>
          <w:szCs w:val="18"/>
        </w:rPr>
        <w:t>FMA</w:t>
      </w:r>
      <w:proofErr w:type="spellEnd"/>
      <w:r w:rsidRPr="00B93EE1">
        <w:rPr>
          <w:rFonts w:cs="Verdana"/>
          <w:szCs w:val="18"/>
        </w:rPr>
        <w:t>, the regulator.</w:t>
      </w:r>
    </w:p>
    <w:p w14:paraId="2FD49293" w14:textId="77777777" w:rsidR="00120717" w:rsidRPr="00F64A35" w:rsidRDefault="00120717" w:rsidP="008B54EB">
      <w:pPr>
        <w:pStyle w:val="BodyText"/>
      </w:pPr>
      <w:r w:rsidRPr="00B93EE1">
        <w:t xml:space="preserve">The Financial Advisers Act 2008 (FAA) requires all providers of finance advice or brokering services to retail clients in New Zealand to comply with disclosure, competency, and conduct obligations. The FAA also requires all financial advisers to be registered; those who advise on more complex financial products must generally be authorized by the </w:t>
      </w:r>
      <w:proofErr w:type="spellStart"/>
      <w:r w:rsidRPr="00B93EE1">
        <w:t>FMA</w:t>
      </w:r>
      <w:proofErr w:type="spellEnd"/>
      <w:r w:rsidRPr="00B93EE1">
        <w:t>.</w:t>
      </w:r>
    </w:p>
    <w:p w14:paraId="0907ECF8" w14:textId="77777777" w:rsidR="00120717" w:rsidRPr="00F64A35" w:rsidRDefault="00120717" w:rsidP="008B54EB">
      <w:pPr>
        <w:pStyle w:val="BodyText"/>
      </w:pPr>
      <w:r w:rsidRPr="00B93EE1">
        <w:t xml:space="preserve">The Financial Services Legislation Amendment Act 2019 was passed into law on 8 April 2019; it introduces, from 15 March 2021, a new regulatory regime for financial advice and repeals the Financial Service Providers (Registration and Dispute Resolution) Act 2008. It amends the </w:t>
      </w:r>
      <w:proofErr w:type="spellStart"/>
      <w:r w:rsidRPr="00B93EE1">
        <w:t>FMCA</w:t>
      </w:r>
      <w:proofErr w:type="spellEnd"/>
      <w:r w:rsidRPr="00B93EE1">
        <w:t xml:space="preserve"> and also makes changes to the registration requirements for the Financial Service Providers Register.</w:t>
      </w:r>
      <w:r w:rsidRPr="00B93EE1">
        <w:rPr>
          <w:rStyle w:val="FootnoteReference"/>
          <w:rFonts w:cs="Verdana"/>
          <w:szCs w:val="18"/>
        </w:rPr>
        <w:footnoteReference w:id="394"/>
      </w:r>
      <w:r w:rsidRPr="00B93EE1">
        <w:t xml:space="preserve"> Under the new regulatory regime, anyone giving regulated financial advice to retail clients will need to prioritize the interests of their clients, comply with a code of conduct, and operate under a licence granted by the </w:t>
      </w:r>
      <w:proofErr w:type="spellStart"/>
      <w:r w:rsidRPr="00B93EE1">
        <w:t>FMA</w:t>
      </w:r>
      <w:proofErr w:type="spellEnd"/>
      <w:r w:rsidRPr="00B93EE1">
        <w:t>. The changes are also designed to submit all advisers (such as Registered Financial Advisers, Authorised Financial Advisers, and Qualified Financial Entity adviser) to the same standards and code of professional conduct for financial advice services; allow financial advice to be provided online, as well as in person; and set industry-wide standards for conduct and competence.</w:t>
      </w:r>
      <w:r w:rsidRPr="00B93EE1">
        <w:rPr>
          <w:rStyle w:val="FootnoteReference"/>
          <w:rFonts w:cs="Verdana"/>
          <w:szCs w:val="18"/>
        </w:rPr>
        <w:footnoteReference w:id="395"/>
      </w:r>
    </w:p>
    <w:p w14:paraId="101A9839" w14:textId="77777777" w:rsidR="00120717" w:rsidRPr="00F64A35" w:rsidRDefault="00120717" w:rsidP="008B54EB">
      <w:pPr>
        <w:pStyle w:val="BodyText"/>
      </w:pPr>
      <w:r w:rsidRPr="00B93EE1">
        <w:t xml:space="preserve">Another change during the review period consisted of the adoption on 30 August 2019 of the Financial Markets (Derivatives Margin and Benchmarking) Reform Amendment Act 2019. The Act enables compliance with foreign margin requirements for over-the-counter derivatives and introduces a licensing regime for administrators of financial benchmarks </w:t>
      </w:r>
      <w:r w:rsidRPr="00B93EE1">
        <w:rPr>
          <w:szCs w:val="20"/>
        </w:rPr>
        <w:t>under the Financial Markets Conduct Act 2013.</w:t>
      </w:r>
      <w:r w:rsidRPr="00B93EE1">
        <w:rPr>
          <w:rStyle w:val="FootnoteReference"/>
          <w:szCs w:val="20"/>
        </w:rPr>
        <w:footnoteReference w:id="396"/>
      </w:r>
    </w:p>
    <w:p w14:paraId="674E8A09" w14:textId="77777777" w:rsidR="00120717" w:rsidRPr="00F64A35" w:rsidRDefault="00120717" w:rsidP="00F64A35">
      <w:pPr>
        <w:pStyle w:val="BodyText"/>
      </w:pPr>
      <w:r w:rsidRPr="00B93EE1">
        <w:rPr>
          <w:rFonts w:cs="Verdana"/>
          <w:szCs w:val="18"/>
        </w:rPr>
        <w:t xml:space="preserve">New Zealand's Exchange (the NZX) operate New Zealand's capital, risk, and commodity markets. </w:t>
      </w:r>
      <w:r w:rsidRPr="00B93EE1">
        <w:t xml:space="preserve">Listed issuers whose securities are quoted on one of NZX's licensed markets are subject to the Listing Rules applicable to that market and the FMC Act. The Listing Rules set out a number of </w:t>
      </w:r>
      <w:r w:rsidRPr="00B93EE1">
        <w:lastRenderedPageBreak/>
        <w:t>obligations for issuers, including obligations to prepare and deliver annual reports to the NZX that contain certain prescribed information, and to make a preliminary announcement to the market after the end of each financial year or half year.</w:t>
      </w:r>
    </w:p>
    <w:p w14:paraId="4B127879" w14:textId="77777777" w:rsidR="00120717" w:rsidRPr="00F64A35" w:rsidRDefault="00120717" w:rsidP="008B54EB">
      <w:pPr>
        <w:pStyle w:val="BodyText"/>
      </w:pPr>
      <w:r w:rsidRPr="00B93EE1">
        <w:t xml:space="preserve">The Financial Market Infrastructures Act (FMI Act) was passed in May 2021. It establishes a new framework for regulation and supervision of </w:t>
      </w:r>
      <w:proofErr w:type="spellStart"/>
      <w:r w:rsidRPr="00B93EE1">
        <w:t>FMIs</w:t>
      </w:r>
      <w:proofErr w:type="spellEnd"/>
      <w:r w:rsidRPr="00B93EE1">
        <w:t xml:space="preserve">, namely systems used for clearing, settling, or recording payments; personal property; and other transactions within the financial system. Under the Act, the </w:t>
      </w:r>
      <w:proofErr w:type="spellStart"/>
      <w:r w:rsidRPr="00B93EE1">
        <w:t>RBNZ</w:t>
      </w:r>
      <w:proofErr w:type="spellEnd"/>
      <w:r w:rsidRPr="00B93EE1">
        <w:t xml:space="preserve"> and the </w:t>
      </w:r>
      <w:proofErr w:type="spellStart"/>
      <w:r w:rsidRPr="00B93EE1">
        <w:t>FMA</w:t>
      </w:r>
      <w:proofErr w:type="spellEnd"/>
      <w:r w:rsidRPr="00B93EE1">
        <w:t xml:space="preserve"> will be joint regulators of most </w:t>
      </w:r>
      <w:proofErr w:type="spellStart"/>
      <w:r w:rsidRPr="00B93EE1">
        <w:t>FMIs</w:t>
      </w:r>
      <w:proofErr w:type="spellEnd"/>
      <w:r w:rsidRPr="00B93EE1">
        <w:t xml:space="preserve">, including central securities depositories, securities settlement systems, central counterparties, and trade repositories. The </w:t>
      </w:r>
      <w:proofErr w:type="spellStart"/>
      <w:r w:rsidRPr="00B93EE1">
        <w:t>RBNZ</w:t>
      </w:r>
      <w:proofErr w:type="spellEnd"/>
      <w:r w:rsidRPr="00B93EE1">
        <w:t xml:space="preserve"> will be the sole regulator of payments systems under the new regime. The transition period is expected to run until December 2022.</w:t>
      </w:r>
    </w:p>
    <w:p w14:paraId="1EA4A7CE" w14:textId="77777777" w:rsidR="00120717" w:rsidRPr="00F64A35" w:rsidRDefault="00120717" w:rsidP="004D628A">
      <w:pPr>
        <w:pStyle w:val="Heading3"/>
      </w:pPr>
      <w:bookmarkStart w:id="244" w:name="_Toc97800207"/>
      <w:r w:rsidRPr="00B93EE1">
        <w:t>Telecommunications</w:t>
      </w:r>
      <w:bookmarkEnd w:id="244"/>
    </w:p>
    <w:p w14:paraId="2DC64841" w14:textId="77777777" w:rsidR="00120717" w:rsidRPr="00F64A35" w:rsidRDefault="00120717" w:rsidP="00E962FF">
      <w:pPr>
        <w:pStyle w:val="Heading4"/>
        <w:numPr>
          <w:ilvl w:val="3"/>
          <w:numId w:val="43"/>
        </w:numPr>
      </w:pPr>
      <w:bookmarkStart w:id="245" w:name="_Toc97800208"/>
      <w:r w:rsidRPr="00B93EE1">
        <w:t>General features and market structure</w:t>
      </w:r>
      <w:bookmarkEnd w:id="245"/>
    </w:p>
    <w:p w14:paraId="2ACEA4DB" w14:textId="77777777" w:rsidR="00120717" w:rsidRPr="00F64A35" w:rsidRDefault="00120717" w:rsidP="008B54EB">
      <w:pPr>
        <w:pStyle w:val="BodyText"/>
      </w:pPr>
      <w:r w:rsidRPr="00B93EE1">
        <w:t>The main trends highlighted in the previous Review continued to prevail in telecommunications. The number of fixed-line telephone connections continued to decline, as mobile services became increasingly more attractive. At end-June 2020, there were 1.79 million fixed-line connections, down from 1.85 million at end-June 2013. The number of mobile connections grew during the same period, and the number of mobile subscribers with pre-paid connections remained on a downward trend (Table 4.9). While mobile retail revenues increased steadily, in general, the revenue from telecommunications activities fluctuated within a tiny margin during the review period.</w:t>
      </w:r>
    </w:p>
    <w:p w14:paraId="549724B9" w14:textId="613B687E" w:rsidR="00120717" w:rsidRPr="00B93EE1" w:rsidRDefault="00D37A97" w:rsidP="00D37A97">
      <w:pPr>
        <w:pStyle w:val="Caption"/>
      </w:pPr>
      <w:bookmarkStart w:id="246" w:name="_TOC_250012"/>
      <w:bookmarkStart w:id="247" w:name="_Toc97793413"/>
      <w:r>
        <w:t xml:space="preserve">Table </w:t>
      </w:r>
      <w:r w:rsidR="0012793B">
        <w:fldChar w:fldCharType="begin"/>
      </w:r>
      <w:r w:rsidR="0012793B">
        <w:instrText xml:space="preserve"> STYLEREF 1 \s </w:instrText>
      </w:r>
      <w:r w:rsidR="0012793B">
        <w:fldChar w:fldCharType="separate"/>
      </w:r>
      <w:r>
        <w:rPr>
          <w:noProof/>
        </w:rPr>
        <w:t>4</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9</w:t>
      </w:r>
      <w:r w:rsidR="0012793B">
        <w:rPr>
          <w:noProof/>
        </w:rPr>
        <w:fldChar w:fldCharType="end"/>
      </w:r>
      <w:r>
        <w:t xml:space="preserve"> </w:t>
      </w:r>
      <w:r w:rsidR="00120717" w:rsidRPr="00B93EE1">
        <w:rPr>
          <w:u w:color="4AACC6"/>
        </w:rPr>
        <w:t xml:space="preserve">New Zealand </w:t>
      </w:r>
      <w:r w:rsidR="00120717" w:rsidRPr="00B93EE1">
        <w:t>telecommunications</w:t>
      </w:r>
      <w:r w:rsidR="00120717" w:rsidRPr="00B93EE1">
        <w:rPr>
          <w:u w:color="4AACC6"/>
        </w:rPr>
        <w:t xml:space="preserve"> snapshot statistics</w:t>
      </w:r>
      <w:bookmarkEnd w:id="246"/>
      <w:r w:rsidR="00120717" w:rsidRPr="00B93EE1">
        <w:rPr>
          <w:u w:color="4AACC6"/>
        </w:rPr>
        <w:t>, 2013/14-2019/20</w:t>
      </w:r>
      <w:bookmarkEnd w:id="247"/>
    </w:p>
    <w:tbl>
      <w:tblPr>
        <w:tblStyle w:val="WTOTable1"/>
        <w:tblW w:w="5000" w:type="pct"/>
        <w:tblLook w:val="04A0" w:firstRow="1" w:lastRow="0" w:firstColumn="1" w:lastColumn="0" w:noHBand="0" w:noVBand="1"/>
      </w:tblPr>
      <w:tblGrid>
        <w:gridCol w:w="1885"/>
        <w:gridCol w:w="1019"/>
        <w:gridCol w:w="1019"/>
        <w:gridCol w:w="1019"/>
        <w:gridCol w:w="1019"/>
        <w:gridCol w:w="1019"/>
        <w:gridCol w:w="1019"/>
        <w:gridCol w:w="1017"/>
      </w:tblGrid>
      <w:tr w:rsidR="00120717" w:rsidRPr="00B93EE1" w14:paraId="26477CAB" w14:textId="77777777" w:rsidTr="00E16269">
        <w:trPr>
          <w:cnfStyle w:val="100000000000" w:firstRow="1" w:lastRow="0" w:firstColumn="0" w:lastColumn="0" w:oddVBand="0" w:evenVBand="0" w:oddHBand="0" w:evenHBand="0" w:firstRowFirstColumn="0" w:firstRowLastColumn="0" w:lastRowFirstColumn="0" w:lastRowLastColumn="0"/>
          <w:tblHeader/>
        </w:trPr>
        <w:tc>
          <w:tcPr>
            <w:tcW w:w="1046" w:type="pct"/>
          </w:tcPr>
          <w:p w14:paraId="4568ABC4" w14:textId="77777777" w:rsidR="00120717" w:rsidRPr="00B93EE1" w:rsidRDefault="00120717" w:rsidP="00087DF9">
            <w:pPr>
              <w:keepNext/>
              <w:keepLines/>
              <w:rPr>
                <w:sz w:val="14"/>
                <w:szCs w:val="14"/>
              </w:rPr>
            </w:pPr>
          </w:p>
        </w:tc>
        <w:tc>
          <w:tcPr>
            <w:tcW w:w="565" w:type="pct"/>
            <w:tcMar>
              <w:left w:w="85" w:type="dxa"/>
              <w:right w:w="85" w:type="dxa"/>
            </w:tcMar>
            <w:vAlign w:val="center"/>
          </w:tcPr>
          <w:p w14:paraId="5B9260E2" w14:textId="77777777" w:rsidR="00120717" w:rsidRPr="00B93EE1" w:rsidRDefault="00120717" w:rsidP="00087DF9">
            <w:pPr>
              <w:keepNext/>
              <w:keepLines/>
              <w:jc w:val="center"/>
              <w:rPr>
                <w:sz w:val="14"/>
                <w:szCs w:val="14"/>
              </w:rPr>
            </w:pPr>
            <w:r w:rsidRPr="00B93EE1">
              <w:rPr>
                <w:sz w:val="14"/>
                <w:szCs w:val="14"/>
              </w:rPr>
              <w:t>2013/14</w:t>
            </w:r>
          </w:p>
        </w:tc>
        <w:tc>
          <w:tcPr>
            <w:tcW w:w="565" w:type="pct"/>
            <w:tcMar>
              <w:left w:w="85" w:type="dxa"/>
              <w:right w:w="85" w:type="dxa"/>
            </w:tcMar>
            <w:vAlign w:val="center"/>
          </w:tcPr>
          <w:p w14:paraId="199BA069" w14:textId="77777777" w:rsidR="00120717" w:rsidRPr="00B93EE1" w:rsidRDefault="00120717" w:rsidP="00087DF9">
            <w:pPr>
              <w:keepNext/>
              <w:keepLines/>
              <w:jc w:val="center"/>
              <w:rPr>
                <w:sz w:val="14"/>
                <w:szCs w:val="14"/>
              </w:rPr>
            </w:pPr>
            <w:r w:rsidRPr="00B93EE1">
              <w:rPr>
                <w:sz w:val="14"/>
                <w:szCs w:val="14"/>
              </w:rPr>
              <w:t>2014/15</w:t>
            </w:r>
          </w:p>
        </w:tc>
        <w:tc>
          <w:tcPr>
            <w:tcW w:w="565" w:type="pct"/>
            <w:tcMar>
              <w:left w:w="85" w:type="dxa"/>
              <w:right w:w="85" w:type="dxa"/>
            </w:tcMar>
            <w:vAlign w:val="center"/>
          </w:tcPr>
          <w:p w14:paraId="02659B9D" w14:textId="77777777" w:rsidR="00120717" w:rsidRPr="00B93EE1" w:rsidRDefault="00120717" w:rsidP="00087DF9">
            <w:pPr>
              <w:keepNext/>
              <w:keepLines/>
              <w:jc w:val="center"/>
              <w:rPr>
                <w:sz w:val="14"/>
                <w:szCs w:val="14"/>
              </w:rPr>
            </w:pPr>
            <w:r w:rsidRPr="00B93EE1">
              <w:rPr>
                <w:sz w:val="14"/>
                <w:szCs w:val="14"/>
              </w:rPr>
              <w:t>2015/16</w:t>
            </w:r>
          </w:p>
        </w:tc>
        <w:tc>
          <w:tcPr>
            <w:tcW w:w="565" w:type="pct"/>
            <w:tcMar>
              <w:left w:w="85" w:type="dxa"/>
              <w:right w:w="85" w:type="dxa"/>
            </w:tcMar>
            <w:vAlign w:val="center"/>
          </w:tcPr>
          <w:p w14:paraId="0F0F83BF" w14:textId="77777777" w:rsidR="00120717" w:rsidRPr="00B93EE1" w:rsidRDefault="00120717" w:rsidP="00087DF9">
            <w:pPr>
              <w:keepNext/>
              <w:keepLines/>
              <w:jc w:val="center"/>
              <w:rPr>
                <w:sz w:val="14"/>
                <w:szCs w:val="14"/>
              </w:rPr>
            </w:pPr>
            <w:r w:rsidRPr="00B93EE1">
              <w:rPr>
                <w:sz w:val="14"/>
                <w:szCs w:val="14"/>
              </w:rPr>
              <w:t>2016/17</w:t>
            </w:r>
          </w:p>
        </w:tc>
        <w:tc>
          <w:tcPr>
            <w:tcW w:w="565" w:type="pct"/>
            <w:tcMar>
              <w:left w:w="85" w:type="dxa"/>
              <w:right w:w="85" w:type="dxa"/>
            </w:tcMar>
            <w:vAlign w:val="center"/>
          </w:tcPr>
          <w:p w14:paraId="613DE238" w14:textId="77777777" w:rsidR="00120717" w:rsidRPr="00B93EE1" w:rsidRDefault="00120717" w:rsidP="00087DF9">
            <w:pPr>
              <w:keepNext/>
              <w:keepLines/>
              <w:jc w:val="center"/>
              <w:rPr>
                <w:sz w:val="14"/>
                <w:szCs w:val="14"/>
              </w:rPr>
            </w:pPr>
            <w:r w:rsidRPr="00B93EE1">
              <w:rPr>
                <w:sz w:val="14"/>
                <w:szCs w:val="14"/>
              </w:rPr>
              <w:t>2017/18</w:t>
            </w:r>
          </w:p>
        </w:tc>
        <w:tc>
          <w:tcPr>
            <w:tcW w:w="565" w:type="pct"/>
            <w:tcMar>
              <w:left w:w="85" w:type="dxa"/>
              <w:right w:w="85" w:type="dxa"/>
            </w:tcMar>
            <w:vAlign w:val="center"/>
          </w:tcPr>
          <w:p w14:paraId="1E1C7927" w14:textId="77777777" w:rsidR="00120717" w:rsidRPr="00B93EE1" w:rsidRDefault="00120717" w:rsidP="00087DF9">
            <w:pPr>
              <w:keepNext/>
              <w:keepLines/>
              <w:jc w:val="center"/>
              <w:rPr>
                <w:sz w:val="14"/>
                <w:szCs w:val="14"/>
              </w:rPr>
            </w:pPr>
            <w:r w:rsidRPr="00B93EE1">
              <w:rPr>
                <w:sz w:val="14"/>
                <w:szCs w:val="14"/>
              </w:rPr>
              <w:t>2018/19</w:t>
            </w:r>
          </w:p>
        </w:tc>
        <w:tc>
          <w:tcPr>
            <w:tcW w:w="564" w:type="pct"/>
            <w:tcMar>
              <w:left w:w="85" w:type="dxa"/>
              <w:right w:w="85" w:type="dxa"/>
            </w:tcMar>
            <w:vAlign w:val="center"/>
          </w:tcPr>
          <w:p w14:paraId="45609BD8" w14:textId="77777777" w:rsidR="00120717" w:rsidRPr="00B93EE1" w:rsidRDefault="00120717" w:rsidP="00087DF9">
            <w:pPr>
              <w:keepNext/>
              <w:keepLines/>
              <w:jc w:val="center"/>
              <w:rPr>
                <w:sz w:val="14"/>
                <w:szCs w:val="14"/>
              </w:rPr>
            </w:pPr>
            <w:r w:rsidRPr="00B93EE1">
              <w:rPr>
                <w:sz w:val="14"/>
                <w:szCs w:val="14"/>
              </w:rPr>
              <w:t>2019/20</w:t>
            </w:r>
          </w:p>
        </w:tc>
      </w:tr>
      <w:tr w:rsidR="00120717" w:rsidRPr="00B93EE1" w14:paraId="06C5606E" w14:textId="77777777" w:rsidTr="00E16269">
        <w:tc>
          <w:tcPr>
            <w:tcW w:w="5000" w:type="pct"/>
            <w:gridSpan w:val="8"/>
            <w:tcMar>
              <w:left w:w="85" w:type="dxa"/>
              <w:right w:w="85" w:type="dxa"/>
            </w:tcMar>
          </w:tcPr>
          <w:p w14:paraId="1F8685BD" w14:textId="77777777" w:rsidR="00120717" w:rsidRPr="00B93EE1" w:rsidRDefault="00120717" w:rsidP="00087DF9">
            <w:pPr>
              <w:keepNext/>
              <w:keepLines/>
              <w:ind w:right="57"/>
              <w:rPr>
                <w:b/>
                <w:bCs/>
                <w:sz w:val="14"/>
                <w:szCs w:val="14"/>
              </w:rPr>
            </w:pPr>
            <w:r w:rsidRPr="00B93EE1">
              <w:rPr>
                <w:b/>
                <w:bCs/>
                <w:sz w:val="14"/>
                <w:szCs w:val="14"/>
              </w:rPr>
              <w:t>Total industry metrics</w:t>
            </w:r>
          </w:p>
        </w:tc>
      </w:tr>
      <w:tr w:rsidR="00120717" w:rsidRPr="00B93EE1" w14:paraId="5286DCDC" w14:textId="77777777" w:rsidTr="00E16269">
        <w:trPr>
          <w:cnfStyle w:val="000000010000" w:firstRow="0" w:lastRow="0" w:firstColumn="0" w:lastColumn="0" w:oddVBand="0" w:evenVBand="0" w:oddHBand="0" w:evenHBand="1" w:firstRowFirstColumn="0" w:firstRowLastColumn="0" w:lastRowFirstColumn="0" w:lastRowLastColumn="0"/>
        </w:trPr>
        <w:tc>
          <w:tcPr>
            <w:tcW w:w="1046" w:type="pct"/>
          </w:tcPr>
          <w:p w14:paraId="5D111B59" w14:textId="77777777" w:rsidR="00120717" w:rsidRPr="00B93EE1" w:rsidRDefault="00120717" w:rsidP="00087DF9">
            <w:pPr>
              <w:keepNext/>
              <w:keepLines/>
              <w:jc w:val="left"/>
              <w:rPr>
                <w:sz w:val="14"/>
                <w:szCs w:val="14"/>
              </w:rPr>
            </w:pPr>
            <w:r w:rsidRPr="00B93EE1">
              <w:rPr>
                <w:sz w:val="14"/>
                <w:szCs w:val="14"/>
              </w:rPr>
              <w:t>Total telecommunications retail revenue (NZD billion)</w:t>
            </w:r>
          </w:p>
        </w:tc>
        <w:tc>
          <w:tcPr>
            <w:tcW w:w="565" w:type="pct"/>
            <w:tcMar>
              <w:left w:w="85" w:type="dxa"/>
              <w:right w:w="85" w:type="dxa"/>
            </w:tcMar>
            <w:vAlign w:val="center"/>
          </w:tcPr>
          <w:p w14:paraId="745318CB" w14:textId="77777777" w:rsidR="00120717" w:rsidRPr="00B93EE1" w:rsidRDefault="00120717" w:rsidP="00087DF9">
            <w:pPr>
              <w:keepNext/>
              <w:keepLines/>
              <w:ind w:right="227"/>
              <w:jc w:val="right"/>
              <w:rPr>
                <w:sz w:val="14"/>
                <w:szCs w:val="14"/>
              </w:rPr>
            </w:pPr>
            <w:r w:rsidRPr="00B93EE1">
              <w:rPr>
                <w:sz w:val="14"/>
                <w:szCs w:val="14"/>
              </w:rPr>
              <w:t>5.17</w:t>
            </w:r>
          </w:p>
        </w:tc>
        <w:tc>
          <w:tcPr>
            <w:tcW w:w="565" w:type="pct"/>
            <w:tcMar>
              <w:left w:w="85" w:type="dxa"/>
              <w:right w:w="85" w:type="dxa"/>
            </w:tcMar>
            <w:vAlign w:val="center"/>
          </w:tcPr>
          <w:p w14:paraId="32EB206E" w14:textId="77777777" w:rsidR="00120717" w:rsidRPr="00B93EE1" w:rsidRDefault="00120717" w:rsidP="00087DF9">
            <w:pPr>
              <w:keepNext/>
              <w:keepLines/>
              <w:ind w:right="227"/>
              <w:jc w:val="right"/>
              <w:rPr>
                <w:sz w:val="14"/>
                <w:szCs w:val="14"/>
              </w:rPr>
            </w:pPr>
            <w:r w:rsidRPr="00B93EE1">
              <w:rPr>
                <w:sz w:val="14"/>
                <w:szCs w:val="14"/>
              </w:rPr>
              <w:t>5.11</w:t>
            </w:r>
          </w:p>
        </w:tc>
        <w:tc>
          <w:tcPr>
            <w:tcW w:w="565" w:type="pct"/>
            <w:tcMar>
              <w:left w:w="85" w:type="dxa"/>
              <w:right w:w="85" w:type="dxa"/>
            </w:tcMar>
            <w:vAlign w:val="center"/>
          </w:tcPr>
          <w:p w14:paraId="0147D908" w14:textId="77777777" w:rsidR="00120717" w:rsidRPr="00B93EE1" w:rsidRDefault="00120717" w:rsidP="00087DF9">
            <w:pPr>
              <w:keepNext/>
              <w:keepLines/>
              <w:ind w:right="227"/>
              <w:jc w:val="right"/>
              <w:rPr>
                <w:sz w:val="14"/>
                <w:szCs w:val="14"/>
              </w:rPr>
            </w:pPr>
            <w:r w:rsidRPr="00B93EE1">
              <w:rPr>
                <w:sz w:val="14"/>
                <w:szCs w:val="14"/>
              </w:rPr>
              <w:t>5.28</w:t>
            </w:r>
          </w:p>
        </w:tc>
        <w:tc>
          <w:tcPr>
            <w:tcW w:w="565" w:type="pct"/>
            <w:tcMar>
              <w:left w:w="85" w:type="dxa"/>
              <w:right w:w="85" w:type="dxa"/>
            </w:tcMar>
            <w:vAlign w:val="center"/>
          </w:tcPr>
          <w:p w14:paraId="3C5DBCCE" w14:textId="77777777" w:rsidR="00120717" w:rsidRPr="00B93EE1" w:rsidRDefault="00120717" w:rsidP="00087DF9">
            <w:pPr>
              <w:keepNext/>
              <w:keepLines/>
              <w:ind w:right="227"/>
              <w:jc w:val="right"/>
              <w:rPr>
                <w:sz w:val="14"/>
                <w:szCs w:val="14"/>
              </w:rPr>
            </w:pPr>
            <w:r w:rsidRPr="00B93EE1">
              <w:rPr>
                <w:sz w:val="14"/>
                <w:szCs w:val="14"/>
              </w:rPr>
              <w:t>5.37</w:t>
            </w:r>
          </w:p>
        </w:tc>
        <w:tc>
          <w:tcPr>
            <w:tcW w:w="565" w:type="pct"/>
            <w:tcMar>
              <w:left w:w="85" w:type="dxa"/>
              <w:right w:w="85" w:type="dxa"/>
            </w:tcMar>
            <w:vAlign w:val="center"/>
          </w:tcPr>
          <w:p w14:paraId="73210DD1" w14:textId="77777777" w:rsidR="00120717" w:rsidRPr="00B93EE1" w:rsidRDefault="00120717" w:rsidP="00087DF9">
            <w:pPr>
              <w:keepNext/>
              <w:keepLines/>
              <w:ind w:right="227"/>
              <w:jc w:val="right"/>
              <w:rPr>
                <w:sz w:val="14"/>
                <w:szCs w:val="14"/>
              </w:rPr>
            </w:pPr>
            <w:r w:rsidRPr="00B93EE1">
              <w:rPr>
                <w:sz w:val="14"/>
                <w:szCs w:val="14"/>
              </w:rPr>
              <w:t>5.42</w:t>
            </w:r>
          </w:p>
        </w:tc>
        <w:tc>
          <w:tcPr>
            <w:tcW w:w="565" w:type="pct"/>
            <w:tcMar>
              <w:left w:w="85" w:type="dxa"/>
              <w:right w:w="85" w:type="dxa"/>
            </w:tcMar>
            <w:vAlign w:val="center"/>
          </w:tcPr>
          <w:p w14:paraId="561BEE34" w14:textId="77777777" w:rsidR="00120717" w:rsidRPr="00B93EE1" w:rsidRDefault="00120717" w:rsidP="00087DF9">
            <w:pPr>
              <w:keepNext/>
              <w:keepLines/>
              <w:ind w:right="227"/>
              <w:jc w:val="right"/>
              <w:rPr>
                <w:sz w:val="14"/>
                <w:szCs w:val="14"/>
              </w:rPr>
            </w:pPr>
            <w:r w:rsidRPr="00B93EE1">
              <w:rPr>
                <w:sz w:val="14"/>
                <w:szCs w:val="14"/>
              </w:rPr>
              <w:t>5.32</w:t>
            </w:r>
          </w:p>
        </w:tc>
        <w:tc>
          <w:tcPr>
            <w:tcW w:w="564" w:type="pct"/>
            <w:tcMar>
              <w:left w:w="85" w:type="dxa"/>
              <w:right w:w="85" w:type="dxa"/>
            </w:tcMar>
            <w:vAlign w:val="center"/>
          </w:tcPr>
          <w:p w14:paraId="088E34A9" w14:textId="77777777" w:rsidR="00120717" w:rsidRPr="00B93EE1" w:rsidRDefault="00120717" w:rsidP="00087DF9">
            <w:pPr>
              <w:keepNext/>
              <w:keepLines/>
              <w:ind w:right="227"/>
              <w:jc w:val="right"/>
              <w:rPr>
                <w:sz w:val="14"/>
                <w:szCs w:val="14"/>
              </w:rPr>
            </w:pPr>
            <w:r w:rsidRPr="00B93EE1">
              <w:rPr>
                <w:sz w:val="14"/>
                <w:szCs w:val="14"/>
              </w:rPr>
              <w:t>5.12</w:t>
            </w:r>
          </w:p>
        </w:tc>
      </w:tr>
      <w:tr w:rsidR="00120717" w:rsidRPr="00B93EE1" w14:paraId="49BA0EA9" w14:textId="77777777" w:rsidTr="00E16269">
        <w:tc>
          <w:tcPr>
            <w:tcW w:w="1046" w:type="pct"/>
          </w:tcPr>
          <w:p w14:paraId="1AD3B6DF" w14:textId="77777777" w:rsidR="00120717" w:rsidRPr="00B93EE1" w:rsidRDefault="00120717" w:rsidP="00087DF9">
            <w:pPr>
              <w:keepNext/>
              <w:keepLines/>
              <w:jc w:val="left"/>
              <w:rPr>
                <w:sz w:val="14"/>
                <w:szCs w:val="14"/>
              </w:rPr>
            </w:pPr>
            <w:r w:rsidRPr="00B93EE1">
              <w:rPr>
                <w:sz w:val="14"/>
                <w:szCs w:val="14"/>
              </w:rPr>
              <w:t>Total telecommunications investment (NZD billion)</w:t>
            </w:r>
          </w:p>
        </w:tc>
        <w:tc>
          <w:tcPr>
            <w:tcW w:w="565" w:type="pct"/>
            <w:tcMar>
              <w:left w:w="85" w:type="dxa"/>
              <w:right w:w="85" w:type="dxa"/>
            </w:tcMar>
            <w:vAlign w:val="center"/>
          </w:tcPr>
          <w:p w14:paraId="471B3F69" w14:textId="77777777" w:rsidR="00120717" w:rsidRPr="00B93EE1" w:rsidRDefault="00120717" w:rsidP="00087DF9">
            <w:pPr>
              <w:keepNext/>
              <w:keepLines/>
              <w:ind w:right="227"/>
              <w:jc w:val="right"/>
              <w:rPr>
                <w:sz w:val="14"/>
                <w:szCs w:val="16"/>
              </w:rPr>
            </w:pPr>
            <w:r w:rsidRPr="00B93EE1">
              <w:rPr>
                <w:sz w:val="14"/>
                <w:szCs w:val="16"/>
              </w:rPr>
              <w:t>1.69</w:t>
            </w:r>
          </w:p>
        </w:tc>
        <w:tc>
          <w:tcPr>
            <w:tcW w:w="565" w:type="pct"/>
            <w:tcMar>
              <w:left w:w="85" w:type="dxa"/>
              <w:right w:w="85" w:type="dxa"/>
            </w:tcMar>
            <w:vAlign w:val="center"/>
          </w:tcPr>
          <w:p w14:paraId="7B5C7409" w14:textId="77777777" w:rsidR="00120717" w:rsidRPr="00B93EE1" w:rsidRDefault="00120717" w:rsidP="00087DF9">
            <w:pPr>
              <w:keepNext/>
              <w:keepLines/>
              <w:ind w:right="227"/>
              <w:jc w:val="right"/>
              <w:rPr>
                <w:sz w:val="14"/>
                <w:szCs w:val="16"/>
              </w:rPr>
            </w:pPr>
            <w:r w:rsidRPr="00B93EE1">
              <w:rPr>
                <w:sz w:val="14"/>
                <w:szCs w:val="16"/>
              </w:rPr>
              <w:t>1.77</w:t>
            </w:r>
          </w:p>
        </w:tc>
        <w:tc>
          <w:tcPr>
            <w:tcW w:w="565" w:type="pct"/>
            <w:tcMar>
              <w:left w:w="85" w:type="dxa"/>
              <w:right w:w="85" w:type="dxa"/>
            </w:tcMar>
            <w:vAlign w:val="center"/>
          </w:tcPr>
          <w:p w14:paraId="24DC75C2" w14:textId="77777777" w:rsidR="00120717" w:rsidRPr="00B93EE1" w:rsidRDefault="00120717" w:rsidP="00087DF9">
            <w:pPr>
              <w:keepNext/>
              <w:keepLines/>
              <w:ind w:right="227"/>
              <w:jc w:val="right"/>
              <w:rPr>
                <w:sz w:val="14"/>
                <w:szCs w:val="16"/>
              </w:rPr>
            </w:pPr>
            <w:r w:rsidRPr="00B93EE1">
              <w:rPr>
                <w:sz w:val="14"/>
                <w:szCs w:val="16"/>
              </w:rPr>
              <w:t>1.59</w:t>
            </w:r>
          </w:p>
        </w:tc>
        <w:tc>
          <w:tcPr>
            <w:tcW w:w="565" w:type="pct"/>
            <w:tcMar>
              <w:left w:w="85" w:type="dxa"/>
              <w:right w:w="85" w:type="dxa"/>
            </w:tcMar>
            <w:vAlign w:val="center"/>
          </w:tcPr>
          <w:p w14:paraId="389E49F3" w14:textId="77777777" w:rsidR="00120717" w:rsidRPr="00B93EE1" w:rsidRDefault="00120717" w:rsidP="00087DF9">
            <w:pPr>
              <w:keepNext/>
              <w:keepLines/>
              <w:ind w:right="227"/>
              <w:jc w:val="right"/>
              <w:rPr>
                <w:sz w:val="14"/>
                <w:szCs w:val="16"/>
              </w:rPr>
            </w:pPr>
            <w:r w:rsidRPr="00B93EE1">
              <w:rPr>
                <w:sz w:val="14"/>
                <w:szCs w:val="16"/>
              </w:rPr>
              <w:t>1.58</w:t>
            </w:r>
          </w:p>
        </w:tc>
        <w:tc>
          <w:tcPr>
            <w:tcW w:w="565" w:type="pct"/>
            <w:tcMar>
              <w:left w:w="85" w:type="dxa"/>
              <w:right w:w="85" w:type="dxa"/>
            </w:tcMar>
            <w:vAlign w:val="center"/>
          </w:tcPr>
          <w:p w14:paraId="2B87CB24" w14:textId="77777777" w:rsidR="00120717" w:rsidRPr="00B93EE1" w:rsidRDefault="00120717" w:rsidP="00087DF9">
            <w:pPr>
              <w:keepNext/>
              <w:keepLines/>
              <w:ind w:right="227"/>
              <w:jc w:val="right"/>
              <w:rPr>
                <w:sz w:val="14"/>
                <w:szCs w:val="16"/>
              </w:rPr>
            </w:pPr>
            <w:r w:rsidRPr="00B93EE1">
              <w:rPr>
                <w:sz w:val="14"/>
                <w:szCs w:val="16"/>
              </w:rPr>
              <w:t>1.66</w:t>
            </w:r>
          </w:p>
        </w:tc>
        <w:tc>
          <w:tcPr>
            <w:tcW w:w="565" w:type="pct"/>
            <w:tcMar>
              <w:left w:w="85" w:type="dxa"/>
              <w:right w:w="85" w:type="dxa"/>
            </w:tcMar>
            <w:vAlign w:val="center"/>
          </w:tcPr>
          <w:p w14:paraId="1388F215" w14:textId="77777777" w:rsidR="00120717" w:rsidRPr="00B93EE1" w:rsidRDefault="00120717" w:rsidP="00087DF9">
            <w:pPr>
              <w:keepNext/>
              <w:keepLines/>
              <w:ind w:right="227"/>
              <w:jc w:val="right"/>
              <w:rPr>
                <w:sz w:val="14"/>
                <w:szCs w:val="16"/>
              </w:rPr>
            </w:pPr>
            <w:r w:rsidRPr="00B93EE1">
              <w:rPr>
                <w:sz w:val="14"/>
                <w:szCs w:val="16"/>
              </w:rPr>
              <w:t>1.71</w:t>
            </w:r>
          </w:p>
        </w:tc>
        <w:tc>
          <w:tcPr>
            <w:tcW w:w="564" w:type="pct"/>
            <w:tcMar>
              <w:left w:w="85" w:type="dxa"/>
              <w:right w:w="85" w:type="dxa"/>
            </w:tcMar>
            <w:vAlign w:val="center"/>
          </w:tcPr>
          <w:p w14:paraId="07BBC67B" w14:textId="77777777" w:rsidR="00120717" w:rsidRPr="00B93EE1" w:rsidRDefault="00120717" w:rsidP="00087DF9">
            <w:pPr>
              <w:keepNext/>
              <w:keepLines/>
              <w:ind w:right="227"/>
              <w:jc w:val="right"/>
              <w:rPr>
                <w:sz w:val="14"/>
                <w:szCs w:val="16"/>
              </w:rPr>
            </w:pPr>
            <w:r w:rsidRPr="00B93EE1">
              <w:rPr>
                <w:sz w:val="14"/>
                <w:szCs w:val="16"/>
              </w:rPr>
              <w:t>1.61</w:t>
            </w:r>
          </w:p>
        </w:tc>
      </w:tr>
      <w:tr w:rsidR="00120717" w:rsidRPr="00B93EE1" w14:paraId="54F03C40" w14:textId="77777777" w:rsidTr="00E16269">
        <w:trPr>
          <w:cnfStyle w:val="000000010000" w:firstRow="0" w:lastRow="0" w:firstColumn="0" w:lastColumn="0" w:oddVBand="0" w:evenVBand="0" w:oddHBand="0" w:evenHBand="1" w:firstRowFirstColumn="0" w:firstRowLastColumn="0" w:lastRowFirstColumn="0" w:lastRowLastColumn="0"/>
        </w:trPr>
        <w:tc>
          <w:tcPr>
            <w:tcW w:w="5000" w:type="pct"/>
            <w:gridSpan w:val="8"/>
            <w:tcMar>
              <w:left w:w="85" w:type="dxa"/>
              <w:right w:w="85" w:type="dxa"/>
            </w:tcMar>
          </w:tcPr>
          <w:p w14:paraId="01D14928" w14:textId="77777777" w:rsidR="00120717" w:rsidRPr="00B93EE1" w:rsidRDefault="00120717" w:rsidP="00BC7708">
            <w:pPr>
              <w:ind w:right="57"/>
              <w:jc w:val="left"/>
              <w:rPr>
                <w:b/>
                <w:bCs/>
                <w:sz w:val="14"/>
                <w:szCs w:val="14"/>
              </w:rPr>
            </w:pPr>
            <w:r w:rsidRPr="00B93EE1">
              <w:rPr>
                <w:b/>
                <w:bCs/>
                <w:sz w:val="14"/>
                <w:szCs w:val="14"/>
              </w:rPr>
              <w:t>Fixed-line metrics</w:t>
            </w:r>
          </w:p>
        </w:tc>
      </w:tr>
      <w:tr w:rsidR="00120717" w:rsidRPr="00B93EE1" w14:paraId="1F12D793" w14:textId="77777777" w:rsidTr="00E16269">
        <w:tc>
          <w:tcPr>
            <w:tcW w:w="1046" w:type="pct"/>
          </w:tcPr>
          <w:p w14:paraId="1F44505A" w14:textId="77777777" w:rsidR="00120717" w:rsidRPr="00B93EE1" w:rsidRDefault="00120717" w:rsidP="00BC7708">
            <w:pPr>
              <w:jc w:val="left"/>
              <w:rPr>
                <w:sz w:val="14"/>
                <w:szCs w:val="14"/>
              </w:rPr>
            </w:pPr>
            <w:r w:rsidRPr="00B93EE1">
              <w:rPr>
                <w:sz w:val="14"/>
                <w:szCs w:val="14"/>
              </w:rPr>
              <w:t>Fixed lines (million)</w:t>
            </w:r>
          </w:p>
        </w:tc>
        <w:tc>
          <w:tcPr>
            <w:tcW w:w="565" w:type="pct"/>
            <w:tcMar>
              <w:left w:w="85" w:type="dxa"/>
              <w:right w:w="85" w:type="dxa"/>
            </w:tcMar>
            <w:vAlign w:val="center"/>
          </w:tcPr>
          <w:p w14:paraId="1ACB42CC" w14:textId="77777777" w:rsidR="00120717" w:rsidRPr="00B93EE1" w:rsidRDefault="00120717" w:rsidP="00BC7708">
            <w:pPr>
              <w:ind w:right="227"/>
              <w:jc w:val="right"/>
              <w:rPr>
                <w:sz w:val="14"/>
                <w:szCs w:val="14"/>
              </w:rPr>
            </w:pPr>
            <w:r w:rsidRPr="00B93EE1">
              <w:rPr>
                <w:sz w:val="14"/>
                <w:szCs w:val="14"/>
              </w:rPr>
              <w:t>1.85</w:t>
            </w:r>
          </w:p>
        </w:tc>
        <w:tc>
          <w:tcPr>
            <w:tcW w:w="565" w:type="pct"/>
            <w:tcMar>
              <w:left w:w="85" w:type="dxa"/>
              <w:right w:w="85" w:type="dxa"/>
            </w:tcMar>
            <w:vAlign w:val="center"/>
          </w:tcPr>
          <w:p w14:paraId="02CE4522" w14:textId="77777777" w:rsidR="00120717" w:rsidRPr="00B93EE1" w:rsidRDefault="00120717" w:rsidP="00BC7708">
            <w:pPr>
              <w:ind w:right="227"/>
              <w:jc w:val="right"/>
              <w:rPr>
                <w:sz w:val="14"/>
                <w:szCs w:val="14"/>
              </w:rPr>
            </w:pPr>
            <w:r w:rsidRPr="00B93EE1">
              <w:rPr>
                <w:sz w:val="14"/>
                <w:szCs w:val="14"/>
              </w:rPr>
              <w:t>1.86</w:t>
            </w:r>
          </w:p>
        </w:tc>
        <w:tc>
          <w:tcPr>
            <w:tcW w:w="565" w:type="pct"/>
            <w:tcMar>
              <w:left w:w="85" w:type="dxa"/>
              <w:right w:w="85" w:type="dxa"/>
            </w:tcMar>
            <w:vAlign w:val="center"/>
          </w:tcPr>
          <w:p w14:paraId="3E3EE598" w14:textId="77777777" w:rsidR="00120717" w:rsidRPr="00B93EE1" w:rsidRDefault="00120717" w:rsidP="00BC7708">
            <w:pPr>
              <w:ind w:right="227"/>
              <w:jc w:val="right"/>
              <w:rPr>
                <w:sz w:val="14"/>
                <w:szCs w:val="14"/>
              </w:rPr>
            </w:pPr>
            <w:r w:rsidRPr="00B93EE1">
              <w:rPr>
                <w:sz w:val="14"/>
                <w:szCs w:val="14"/>
              </w:rPr>
              <w:t>1.87</w:t>
            </w:r>
          </w:p>
        </w:tc>
        <w:tc>
          <w:tcPr>
            <w:tcW w:w="565" w:type="pct"/>
            <w:tcMar>
              <w:left w:w="85" w:type="dxa"/>
              <w:right w:w="85" w:type="dxa"/>
            </w:tcMar>
            <w:vAlign w:val="center"/>
          </w:tcPr>
          <w:p w14:paraId="0DFAD390" w14:textId="77777777" w:rsidR="00120717" w:rsidRPr="00B93EE1" w:rsidRDefault="00120717" w:rsidP="00BC7708">
            <w:pPr>
              <w:ind w:right="227"/>
              <w:jc w:val="right"/>
              <w:rPr>
                <w:sz w:val="14"/>
                <w:szCs w:val="14"/>
              </w:rPr>
            </w:pPr>
            <w:r w:rsidRPr="00B93EE1">
              <w:rPr>
                <w:sz w:val="14"/>
                <w:szCs w:val="14"/>
              </w:rPr>
              <w:t>1.79</w:t>
            </w:r>
          </w:p>
        </w:tc>
        <w:tc>
          <w:tcPr>
            <w:tcW w:w="565" w:type="pct"/>
            <w:tcMar>
              <w:left w:w="85" w:type="dxa"/>
              <w:right w:w="85" w:type="dxa"/>
            </w:tcMar>
            <w:vAlign w:val="center"/>
          </w:tcPr>
          <w:p w14:paraId="6A92EF89" w14:textId="77777777" w:rsidR="00120717" w:rsidRPr="00B93EE1" w:rsidRDefault="00120717" w:rsidP="00BC7708">
            <w:pPr>
              <w:ind w:right="227"/>
              <w:jc w:val="right"/>
              <w:rPr>
                <w:sz w:val="14"/>
                <w:szCs w:val="14"/>
              </w:rPr>
            </w:pPr>
            <w:r w:rsidRPr="00B93EE1">
              <w:rPr>
                <w:sz w:val="14"/>
                <w:szCs w:val="14"/>
              </w:rPr>
              <w:t>1.76</w:t>
            </w:r>
          </w:p>
        </w:tc>
        <w:tc>
          <w:tcPr>
            <w:tcW w:w="565" w:type="pct"/>
            <w:tcMar>
              <w:left w:w="85" w:type="dxa"/>
              <w:right w:w="85" w:type="dxa"/>
            </w:tcMar>
            <w:vAlign w:val="center"/>
          </w:tcPr>
          <w:p w14:paraId="21FC4BC3" w14:textId="77777777" w:rsidR="00120717" w:rsidRPr="00B93EE1" w:rsidRDefault="00120717" w:rsidP="00BC7708">
            <w:pPr>
              <w:ind w:right="227"/>
              <w:jc w:val="right"/>
              <w:rPr>
                <w:sz w:val="14"/>
                <w:szCs w:val="14"/>
              </w:rPr>
            </w:pPr>
            <w:r w:rsidRPr="00B93EE1">
              <w:rPr>
                <w:sz w:val="14"/>
                <w:szCs w:val="14"/>
              </w:rPr>
              <w:t>1.85</w:t>
            </w:r>
          </w:p>
        </w:tc>
        <w:tc>
          <w:tcPr>
            <w:tcW w:w="564" w:type="pct"/>
            <w:tcMar>
              <w:left w:w="85" w:type="dxa"/>
              <w:right w:w="85" w:type="dxa"/>
            </w:tcMar>
            <w:vAlign w:val="center"/>
          </w:tcPr>
          <w:p w14:paraId="66F34E61" w14:textId="77777777" w:rsidR="00120717" w:rsidRPr="00B93EE1" w:rsidRDefault="00120717" w:rsidP="00BC7708">
            <w:pPr>
              <w:ind w:right="227"/>
              <w:jc w:val="right"/>
              <w:rPr>
                <w:sz w:val="14"/>
                <w:szCs w:val="14"/>
              </w:rPr>
            </w:pPr>
            <w:r w:rsidRPr="00B93EE1">
              <w:rPr>
                <w:sz w:val="14"/>
                <w:szCs w:val="14"/>
              </w:rPr>
              <w:t>1.79</w:t>
            </w:r>
          </w:p>
        </w:tc>
      </w:tr>
      <w:tr w:rsidR="00120717" w:rsidRPr="00B93EE1" w14:paraId="3174A8EF" w14:textId="77777777" w:rsidTr="00E16269">
        <w:trPr>
          <w:cnfStyle w:val="000000010000" w:firstRow="0" w:lastRow="0" w:firstColumn="0" w:lastColumn="0" w:oddVBand="0" w:evenVBand="0" w:oddHBand="0" w:evenHBand="1" w:firstRowFirstColumn="0" w:firstRowLastColumn="0" w:lastRowFirstColumn="0" w:lastRowLastColumn="0"/>
        </w:trPr>
        <w:tc>
          <w:tcPr>
            <w:tcW w:w="1046" w:type="pct"/>
          </w:tcPr>
          <w:p w14:paraId="30E4F14E" w14:textId="77777777" w:rsidR="00120717" w:rsidRPr="00B93EE1" w:rsidRDefault="00120717" w:rsidP="00BC7708">
            <w:pPr>
              <w:jc w:val="left"/>
              <w:rPr>
                <w:sz w:val="14"/>
                <w:szCs w:val="14"/>
              </w:rPr>
            </w:pPr>
            <w:r w:rsidRPr="00B93EE1">
              <w:rPr>
                <w:sz w:val="14"/>
                <w:szCs w:val="14"/>
              </w:rPr>
              <w:t>Total fixed broadband connections (million)</w:t>
            </w:r>
          </w:p>
        </w:tc>
        <w:tc>
          <w:tcPr>
            <w:tcW w:w="565" w:type="pct"/>
            <w:tcMar>
              <w:left w:w="85" w:type="dxa"/>
              <w:right w:w="85" w:type="dxa"/>
            </w:tcMar>
            <w:vAlign w:val="center"/>
          </w:tcPr>
          <w:p w14:paraId="5A09FB13" w14:textId="77777777" w:rsidR="00120717" w:rsidRPr="00B93EE1" w:rsidRDefault="00120717" w:rsidP="00BC7708">
            <w:pPr>
              <w:ind w:right="227"/>
              <w:jc w:val="right"/>
              <w:rPr>
                <w:sz w:val="14"/>
                <w:szCs w:val="14"/>
              </w:rPr>
            </w:pPr>
            <w:r w:rsidRPr="00B93EE1">
              <w:rPr>
                <w:sz w:val="14"/>
                <w:szCs w:val="14"/>
              </w:rPr>
              <w:t>1.41</w:t>
            </w:r>
          </w:p>
        </w:tc>
        <w:tc>
          <w:tcPr>
            <w:tcW w:w="565" w:type="pct"/>
            <w:tcMar>
              <w:left w:w="85" w:type="dxa"/>
              <w:right w:w="85" w:type="dxa"/>
            </w:tcMar>
            <w:vAlign w:val="center"/>
          </w:tcPr>
          <w:p w14:paraId="4BF1FB84" w14:textId="77777777" w:rsidR="00120717" w:rsidRPr="00B93EE1" w:rsidRDefault="00120717" w:rsidP="00BC7708">
            <w:pPr>
              <w:ind w:right="227"/>
              <w:jc w:val="right"/>
              <w:rPr>
                <w:sz w:val="14"/>
                <w:szCs w:val="14"/>
              </w:rPr>
            </w:pPr>
            <w:r w:rsidRPr="00B93EE1">
              <w:rPr>
                <w:sz w:val="14"/>
                <w:szCs w:val="14"/>
              </w:rPr>
              <w:t>1.45</w:t>
            </w:r>
          </w:p>
        </w:tc>
        <w:tc>
          <w:tcPr>
            <w:tcW w:w="565" w:type="pct"/>
            <w:tcMar>
              <w:left w:w="85" w:type="dxa"/>
              <w:right w:w="85" w:type="dxa"/>
            </w:tcMar>
            <w:vAlign w:val="center"/>
          </w:tcPr>
          <w:p w14:paraId="1D4ADB36" w14:textId="77777777" w:rsidR="00120717" w:rsidRPr="00B93EE1" w:rsidRDefault="00120717" w:rsidP="00BC7708">
            <w:pPr>
              <w:ind w:right="227"/>
              <w:jc w:val="right"/>
              <w:rPr>
                <w:sz w:val="14"/>
                <w:szCs w:val="14"/>
              </w:rPr>
            </w:pPr>
            <w:r w:rsidRPr="00B93EE1">
              <w:rPr>
                <w:sz w:val="14"/>
                <w:szCs w:val="14"/>
              </w:rPr>
              <w:t>1.50</w:t>
            </w:r>
          </w:p>
        </w:tc>
        <w:tc>
          <w:tcPr>
            <w:tcW w:w="565" w:type="pct"/>
            <w:tcMar>
              <w:left w:w="85" w:type="dxa"/>
              <w:right w:w="85" w:type="dxa"/>
            </w:tcMar>
            <w:vAlign w:val="center"/>
          </w:tcPr>
          <w:p w14:paraId="5BC85B71" w14:textId="77777777" w:rsidR="00120717" w:rsidRPr="00B93EE1" w:rsidRDefault="00120717" w:rsidP="00BC7708">
            <w:pPr>
              <w:ind w:right="227"/>
              <w:jc w:val="right"/>
              <w:rPr>
                <w:sz w:val="14"/>
                <w:szCs w:val="14"/>
              </w:rPr>
            </w:pPr>
            <w:r w:rsidRPr="00B93EE1">
              <w:rPr>
                <w:sz w:val="14"/>
                <w:szCs w:val="14"/>
              </w:rPr>
              <w:t>1.58</w:t>
            </w:r>
          </w:p>
        </w:tc>
        <w:tc>
          <w:tcPr>
            <w:tcW w:w="565" w:type="pct"/>
            <w:tcMar>
              <w:left w:w="85" w:type="dxa"/>
              <w:right w:w="85" w:type="dxa"/>
            </w:tcMar>
            <w:vAlign w:val="center"/>
          </w:tcPr>
          <w:p w14:paraId="3068DA10" w14:textId="77777777" w:rsidR="00120717" w:rsidRPr="00B93EE1" w:rsidRDefault="00120717" w:rsidP="00BC7708">
            <w:pPr>
              <w:ind w:right="227"/>
              <w:jc w:val="right"/>
              <w:rPr>
                <w:sz w:val="14"/>
                <w:szCs w:val="14"/>
              </w:rPr>
            </w:pPr>
            <w:r w:rsidRPr="00B93EE1">
              <w:rPr>
                <w:sz w:val="14"/>
                <w:szCs w:val="14"/>
              </w:rPr>
              <w:t>1.65</w:t>
            </w:r>
          </w:p>
        </w:tc>
        <w:tc>
          <w:tcPr>
            <w:tcW w:w="565" w:type="pct"/>
            <w:tcMar>
              <w:left w:w="85" w:type="dxa"/>
              <w:right w:w="85" w:type="dxa"/>
            </w:tcMar>
            <w:vAlign w:val="center"/>
          </w:tcPr>
          <w:p w14:paraId="418273C0" w14:textId="77777777" w:rsidR="00120717" w:rsidRPr="00B93EE1" w:rsidRDefault="00120717" w:rsidP="00BC7708">
            <w:pPr>
              <w:ind w:right="227"/>
              <w:jc w:val="right"/>
              <w:rPr>
                <w:sz w:val="14"/>
                <w:szCs w:val="14"/>
              </w:rPr>
            </w:pPr>
            <w:r w:rsidRPr="00B93EE1">
              <w:rPr>
                <w:sz w:val="14"/>
                <w:szCs w:val="14"/>
              </w:rPr>
              <w:t>1.70</w:t>
            </w:r>
          </w:p>
        </w:tc>
        <w:tc>
          <w:tcPr>
            <w:tcW w:w="564" w:type="pct"/>
            <w:tcMar>
              <w:left w:w="85" w:type="dxa"/>
              <w:right w:w="85" w:type="dxa"/>
            </w:tcMar>
            <w:vAlign w:val="center"/>
          </w:tcPr>
          <w:p w14:paraId="449F61B8" w14:textId="77777777" w:rsidR="00120717" w:rsidRPr="00B93EE1" w:rsidRDefault="00120717" w:rsidP="00BC7708">
            <w:pPr>
              <w:ind w:right="227"/>
              <w:jc w:val="right"/>
              <w:rPr>
                <w:sz w:val="14"/>
                <w:szCs w:val="14"/>
              </w:rPr>
            </w:pPr>
            <w:r w:rsidRPr="00B93EE1">
              <w:rPr>
                <w:sz w:val="14"/>
                <w:szCs w:val="14"/>
              </w:rPr>
              <w:t>1.76</w:t>
            </w:r>
          </w:p>
        </w:tc>
      </w:tr>
      <w:tr w:rsidR="00120717" w:rsidRPr="00B93EE1" w14:paraId="2D24D1D4" w14:textId="77777777" w:rsidTr="00E16269">
        <w:tc>
          <w:tcPr>
            <w:tcW w:w="1046" w:type="pct"/>
          </w:tcPr>
          <w:p w14:paraId="6381B18A" w14:textId="77777777" w:rsidR="00120717" w:rsidRPr="00B93EE1" w:rsidRDefault="00120717" w:rsidP="00BC7708">
            <w:pPr>
              <w:jc w:val="left"/>
              <w:rPr>
                <w:sz w:val="14"/>
                <w:szCs w:val="14"/>
              </w:rPr>
            </w:pPr>
            <w:r w:rsidRPr="00B93EE1">
              <w:rPr>
                <w:sz w:val="14"/>
                <w:szCs w:val="14"/>
              </w:rPr>
              <w:t>Fixed-line broadband connections per 100 population</w:t>
            </w:r>
          </w:p>
        </w:tc>
        <w:tc>
          <w:tcPr>
            <w:tcW w:w="565" w:type="pct"/>
            <w:tcMar>
              <w:left w:w="85" w:type="dxa"/>
              <w:right w:w="85" w:type="dxa"/>
            </w:tcMar>
            <w:vAlign w:val="center"/>
          </w:tcPr>
          <w:p w14:paraId="0184D760" w14:textId="77777777" w:rsidR="00120717" w:rsidRPr="00B93EE1" w:rsidRDefault="00120717" w:rsidP="00BC7708">
            <w:pPr>
              <w:ind w:right="227"/>
              <w:jc w:val="right"/>
              <w:rPr>
                <w:sz w:val="14"/>
                <w:szCs w:val="14"/>
              </w:rPr>
            </w:pPr>
            <w:r w:rsidRPr="00B93EE1">
              <w:rPr>
                <w:sz w:val="14"/>
                <w:szCs w:val="14"/>
              </w:rPr>
              <w:t>31.6</w:t>
            </w:r>
          </w:p>
        </w:tc>
        <w:tc>
          <w:tcPr>
            <w:tcW w:w="565" w:type="pct"/>
            <w:tcMar>
              <w:left w:w="85" w:type="dxa"/>
              <w:right w:w="85" w:type="dxa"/>
            </w:tcMar>
            <w:vAlign w:val="center"/>
          </w:tcPr>
          <w:p w14:paraId="604721FD" w14:textId="77777777" w:rsidR="00120717" w:rsidRPr="00B93EE1" w:rsidRDefault="00120717" w:rsidP="00BC7708">
            <w:pPr>
              <w:ind w:right="227"/>
              <w:jc w:val="right"/>
              <w:rPr>
                <w:sz w:val="14"/>
                <w:szCs w:val="14"/>
              </w:rPr>
            </w:pPr>
            <w:r w:rsidRPr="00B93EE1">
              <w:rPr>
                <w:sz w:val="14"/>
                <w:szCs w:val="14"/>
              </w:rPr>
              <w:t>32.0</w:t>
            </w:r>
          </w:p>
        </w:tc>
        <w:tc>
          <w:tcPr>
            <w:tcW w:w="565" w:type="pct"/>
            <w:tcMar>
              <w:left w:w="85" w:type="dxa"/>
              <w:right w:w="85" w:type="dxa"/>
            </w:tcMar>
            <w:vAlign w:val="center"/>
          </w:tcPr>
          <w:p w14:paraId="23EFD5E2" w14:textId="77777777" w:rsidR="00120717" w:rsidRPr="00B93EE1" w:rsidRDefault="00120717" w:rsidP="00BC7708">
            <w:pPr>
              <w:ind w:right="227"/>
              <w:jc w:val="right"/>
              <w:rPr>
                <w:sz w:val="14"/>
                <w:szCs w:val="14"/>
              </w:rPr>
            </w:pPr>
            <w:r w:rsidRPr="00B93EE1">
              <w:rPr>
                <w:sz w:val="14"/>
                <w:szCs w:val="14"/>
              </w:rPr>
              <w:t>32.5</w:t>
            </w:r>
          </w:p>
        </w:tc>
        <w:tc>
          <w:tcPr>
            <w:tcW w:w="565" w:type="pct"/>
            <w:tcMar>
              <w:left w:w="85" w:type="dxa"/>
              <w:right w:w="85" w:type="dxa"/>
            </w:tcMar>
            <w:vAlign w:val="center"/>
          </w:tcPr>
          <w:p w14:paraId="42ECFE6B" w14:textId="77777777" w:rsidR="00120717" w:rsidRPr="00B93EE1" w:rsidRDefault="00120717" w:rsidP="00BC7708">
            <w:pPr>
              <w:ind w:right="227"/>
              <w:jc w:val="right"/>
              <w:rPr>
                <w:sz w:val="14"/>
                <w:szCs w:val="14"/>
              </w:rPr>
            </w:pPr>
            <w:r w:rsidRPr="00B93EE1">
              <w:rPr>
                <w:sz w:val="14"/>
                <w:szCs w:val="14"/>
              </w:rPr>
              <w:t>32.9</w:t>
            </w:r>
          </w:p>
        </w:tc>
        <w:tc>
          <w:tcPr>
            <w:tcW w:w="565" w:type="pct"/>
            <w:tcMar>
              <w:left w:w="85" w:type="dxa"/>
              <w:right w:w="85" w:type="dxa"/>
            </w:tcMar>
            <w:vAlign w:val="center"/>
          </w:tcPr>
          <w:p w14:paraId="18E91502" w14:textId="77777777" w:rsidR="00120717" w:rsidRPr="00B93EE1" w:rsidRDefault="00120717" w:rsidP="00BC7708">
            <w:pPr>
              <w:ind w:right="227"/>
              <w:jc w:val="right"/>
              <w:rPr>
                <w:sz w:val="14"/>
                <w:szCs w:val="14"/>
              </w:rPr>
            </w:pPr>
            <w:r w:rsidRPr="00B93EE1">
              <w:rPr>
                <w:sz w:val="14"/>
                <w:szCs w:val="14"/>
              </w:rPr>
              <w:t>33.7</w:t>
            </w:r>
          </w:p>
        </w:tc>
        <w:tc>
          <w:tcPr>
            <w:tcW w:w="565" w:type="pct"/>
            <w:tcMar>
              <w:left w:w="85" w:type="dxa"/>
              <w:right w:w="85" w:type="dxa"/>
            </w:tcMar>
            <w:vAlign w:val="center"/>
          </w:tcPr>
          <w:p w14:paraId="40D7A1CD" w14:textId="77777777" w:rsidR="00120717" w:rsidRPr="00B93EE1" w:rsidRDefault="00120717" w:rsidP="00BC7708">
            <w:pPr>
              <w:ind w:right="227"/>
              <w:jc w:val="right"/>
              <w:rPr>
                <w:sz w:val="14"/>
                <w:szCs w:val="14"/>
              </w:rPr>
            </w:pPr>
            <w:r w:rsidRPr="00B93EE1">
              <w:rPr>
                <w:sz w:val="14"/>
                <w:szCs w:val="14"/>
              </w:rPr>
              <w:t>34.4</w:t>
            </w:r>
          </w:p>
        </w:tc>
        <w:tc>
          <w:tcPr>
            <w:tcW w:w="564" w:type="pct"/>
            <w:tcMar>
              <w:left w:w="85" w:type="dxa"/>
              <w:right w:w="85" w:type="dxa"/>
            </w:tcMar>
            <w:vAlign w:val="center"/>
          </w:tcPr>
          <w:p w14:paraId="2B671888" w14:textId="77777777" w:rsidR="00120717" w:rsidRPr="00B93EE1" w:rsidRDefault="00120717" w:rsidP="00BC7708">
            <w:pPr>
              <w:ind w:right="227"/>
              <w:jc w:val="right"/>
              <w:rPr>
                <w:sz w:val="14"/>
                <w:szCs w:val="14"/>
              </w:rPr>
            </w:pPr>
            <w:r w:rsidRPr="00B93EE1">
              <w:rPr>
                <w:sz w:val="14"/>
                <w:szCs w:val="14"/>
              </w:rPr>
              <w:t>34.6</w:t>
            </w:r>
          </w:p>
        </w:tc>
      </w:tr>
      <w:tr w:rsidR="00120717" w:rsidRPr="00B93EE1" w14:paraId="15B206B6" w14:textId="77777777" w:rsidTr="00E16269">
        <w:trPr>
          <w:cnfStyle w:val="000000010000" w:firstRow="0" w:lastRow="0" w:firstColumn="0" w:lastColumn="0" w:oddVBand="0" w:evenVBand="0" w:oddHBand="0" w:evenHBand="1" w:firstRowFirstColumn="0" w:firstRowLastColumn="0" w:lastRowFirstColumn="0" w:lastRowLastColumn="0"/>
        </w:trPr>
        <w:tc>
          <w:tcPr>
            <w:tcW w:w="1046" w:type="pct"/>
          </w:tcPr>
          <w:p w14:paraId="7892833C" w14:textId="77777777" w:rsidR="00120717" w:rsidRPr="00B93EE1" w:rsidRDefault="00120717" w:rsidP="00BC7708">
            <w:pPr>
              <w:jc w:val="left"/>
              <w:rPr>
                <w:sz w:val="14"/>
                <w:szCs w:val="14"/>
              </w:rPr>
            </w:pPr>
            <w:r w:rsidRPr="00B93EE1">
              <w:rPr>
                <w:sz w:val="14"/>
                <w:szCs w:val="14"/>
              </w:rPr>
              <w:t>Fixed monthly data use per broadband connection (GB)</w:t>
            </w:r>
          </w:p>
        </w:tc>
        <w:tc>
          <w:tcPr>
            <w:tcW w:w="565" w:type="pct"/>
            <w:tcMar>
              <w:left w:w="85" w:type="dxa"/>
              <w:right w:w="85" w:type="dxa"/>
            </w:tcMar>
            <w:vAlign w:val="center"/>
          </w:tcPr>
          <w:p w14:paraId="27C1911B" w14:textId="77777777" w:rsidR="00120717" w:rsidRPr="00B93EE1" w:rsidRDefault="00120717" w:rsidP="00BC7708">
            <w:pPr>
              <w:ind w:right="227"/>
              <w:jc w:val="right"/>
              <w:rPr>
                <w:sz w:val="14"/>
                <w:szCs w:val="14"/>
              </w:rPr>
            </w:pPr>
            <w:r w:rsidRPr="00B93EE1">
              <w:rPr>
                <w:sz w:val="14"/>
                <w:szCs w:val="14"/>
              </w:rPr>
              <w:t>32</w:t>
            </w:r>
          </w:p>
        </w:tc>
        <w:tc>
          <w:tcPr>
            <w:tcW w:w="565" w:type="pct"/>
            <w:tcMar>
              <w:left w:w="85" w:type="dxa"/>
              <w:right w:w="85" w:type="dxa"/>
            </w:tcMar>
            <w:vAlign w:val="center"/>
          </w:tcPr>
          <w:p w14:paraId="47E87979" w14:textId="77777777" w:rsidR="00120717" w:rsidRPr="00B93EE1" w:rsidRDefault="00120717" w:rsidP="00BC7708">
            <w:pPr>
              <w:ind w:right="227"/>
              <w:jc w:val="right"/>
              <w:rPr>
                <w:sz w:val="14"/>
                <w:szCs w:val="14"/>
              </w:rPr>
            </w:pPr>
            <w:r w:rsidRPr="00B93EE1">
              <w:rPr>
                <w:sz w:val="14"/>
                <w:szCs w:val="14"/>
              </w:rPr>
              <w:t>48</w:t>
            </w:r>
          </w:p>
        </w:tc>
        <w:tc>
          <w:tcPr>
            <w:tcW w:w="565" w:type="pct"/>
            <w:tcMar>
              <w:left w:w="85" w:type="dxa"/>
              <w:right w:w="85" w:type="dxa"/>
            </w:tcMar>
            <w:vAlign w:val="center"/>
          </w:tcPr>
          <w:p w14:paraId="3C88E76E" w14:textId="77777777" w:rsidR="00120717" w:rsidRPr="00B93EE1" w:rsidRDefault="00120717" w:rsidP="00BC7708">
            <w:pPr>
              <w:ind w:right="227"/>
              <w:jc w:val="right"/>
              <w:rPr>
                <w:sz w:val="14"/>
                <w:szCs w:val="14"/>
              </w:rPr>
            </w:pPr>
            <w:r w:rsidRPr="00B93EE1">
              <w:rPr>
                <w:sz w:val="14"/>
                <w:szCs w:val="14"/>
              </w:rPr>
              <w:t>69</w:t>
            </w:r>
          </w:p>
        </w:tc>
        <w:tc>
          <w:tcPr>
            <w:tcW w:w="565" w:type="pct"/>
            <w:tcMar>
              <w:left w:w="85" w:type="dxa"/>
              <w:right w:w="85" w:type="dxa"/>
            </w:tcMar>
            <w:vAlign w:val="center"/>
          </w:tcPr>
          <w:p w14:paraId="6B2343F2" w14:textId="77777777" w:rsidR="00120717" w:rsidRPr="00B93EE1" w:rsidRDefault="00120717" w:rsidP="00BC7708">
            <w:pPr>
              <w:ind w:right="227"/>
              <w:jc w:val="right"/>
              <w:rPr>
                <w:sz w:val="14"/>
                <w:szCs w:val="14"/>
              </w:rPr>
            </w:pPr>
            <w:r w:rsidRPr="00B93EE1">
              <w:rPr>
                <w:sz w:val="14"/>
                <w:szCs w:val="14"/>
              </w:rPr>
              <w:t>117</w:t>
            </w:r>
          </w:p>
        </w:tc>
        <w:tc>
          <w:tcPr>
            <w:tcW w:w="565" w:type="pct"/>
            <w:tcMar>
              <w:left w:w="85" w:type="dxa"/>
              <w:right w:w="85" w:type="dxa"/>
            </w:tcMar>
            <w:vAlign w:val="center"/>
          </w:tcPr>
          <w:p w14:paraId="42F284B7" w14:textId="77777777" w:rsidR="00120717" w:rsidRPr="00B93EE1" w:rsidRDefault="00120717" w:rsidP="00BC7708">
            <w:pPr>
              <w:ind w:right="227"/>
              <w:jc w:val="right"/>
              <w:rPr>
                <w:sz w:val="14"/>
                <w:szCs w:val="14"/>
              </w:rPr>
            </w:pPr>
            <w:r w:rsidRPr="00B93EE1">
              <w:rPr>
                <w:sz w:val="14"/>
                <w:szCs w:val="14"/>
              </w:rPr>
              <w:t>172</w:t>
            </w:r>
          </w:p>
        </w:tc>
        <w:tc>
          <w:tcPr>
            <w:tcW w:w="565" w:type="pct"/>
            <w:tcMar>
              <w:left w:w="85" w:type="dxa"/>
              <w:right w:w="85" w:type="dxa"/>
            </w:tcMar>
            <w:vAlign w:val="center"/>
          </w:tcPr>
          <w:p w14:paraId="6CDA263C" w14:textId="77777777" w:rsidR="00120717" w:rsidRPr="00B93EE1" w:rsidRDefault="00120717" w:rsidP="00BC7708">
            <w:pPr>
              <w:ind w:right="227"/>
              <w:jc w:val="right"/>
              <w:rPr>
                <w:sz w:val="14"/>
                <w:szCs w:val="14"/>
              </w:rPr>
            </w:pPr>
            <w:r w:rsidRPr="00B93EE1">
              <w:rPr>
                <w:sz w:val="14"/>
                <w:szCs w:val="14"/>
              </w:rPr>
              <w:t>207</w:t>
            </w:r>
          </w:p>
        </w:tc>
        <w:tc>
          <w:tcPr>
            <w:tcW w:w="564" w:type="pct"/>
            <w:tcMar>
              <w:left w:w="85" w:type="dxa"/>
              <w:right w:w="85" w:type="dxa"/>
            </w:tcMar>
            <w:vAlign w:val="center"/>
          </w:tcPr>
          <w:p w14:paraId="07F9D020" w14:textId="77777777" w:rsidR="00120717" w:rsidRPr="00B93EE1" w:rsidRDefault="00120717" w:rsidP="00BC7708">
            <w:pPr>
              <w:ind w:right="227"/>
              <w:jc w:val="right"/>
              <w:rPr>
                <w:sz w:val="14"/>
                <w:szCs w:val="14"/>
              </w:rPr>
            </w:pPr>
            <w:r w:rsidRPr="00B93EE1">
              <w:rPr>
                <w:sz w:val="14"/>
                <w:szCs w:val="14"/>
              </w:rPr>
              <w:t>284</w:t>
            </w:r>
          </w:p>
        </w:tc>
      </w:tr>
      <w:tr w:rsidR="00120717" w:rsidRPr="00B93EE1" w14:paraId="19144F9C" w14:textId="77777777" w:rsidTr="00E16269">
        <w:tc>
          <w:tcPr>
            <w:tcW w:w="1046" w:type="pct"/>
          </w:tcPr>
          <w:p w14:paraId="69B83899" w14:textId="77777777" w:rsidR="00120717" w:rsidRPr="00B93EE1" w:rsidRDefault="00120717" w:rsidP="00BC7708">
            <w:pPr>
              <w:jc w:val="left"/>
              <w:rPr>
                <w:sz w:val="14"/>
                <w:szCs w:val="14"/>
              </w:rPr>
            </w:pPr>
            <w:r w:rsidRPr="00B93EE1">
              <w:rPr>
                <w:sz w:val="14"/>
                <w:szCs w:val="14"/>
              </w:rPr>
              <w:t>Fixed wireless ('000)</w:t>
            </w:r>
          </w:p>
        </w:tc>
        <w:tc>
          <w:tcPr>
            <w:tcW w:w="565" w:type="pct"/>
            <w:tcMar>
              <w:left w:w="85" w:type="dxa"/>
              <w:right w:w="85" w:type="dxa"/>
            </w:tcMar>
            <w:vAlign w:val="center"/>
          </w:tcPr>
          <w:p w14:paraId="5B604688" w14:textId="77777777" w:rsidR="00120717" w:rsidRPr="00B93EE1" w:rsidRDefault="00120717" w:rsidP="00BC7708">
            <w:pPr>
              <w:ind w:right="227"/>
              <w:jc w:val="right"/>
              <w:rPr>
                <w:sz w:val="14"/>
                <w:szCs w:val="14"/>
              </w:rPr>
            </w:pPr>
            <w:r w:rsidRPr="00B93EE1">
              <w:rPr>
                <w:sz w:val="14"/>
                <w:szCs w:val="14"/>
              </w:rPr>
              <w:t>24</w:t>
            </w:r>
          </w:p>
        </w:tc>
        <w:tc>
          <w:tcPr>
            <w:tcW w:w="565" w:type="pct"/>
            <w:tcMar>
              <w:left w:w="85" w:type="dxa"/>
              <w:right w:w="85" w:type="dxa"/>
            </w:tcMar>
            <w:vAlign w:val="center"/>
          </w:tcPr>
          <w:p w14:paraId="177EC067" w14:textId="77777777" w:rsidR="00120717" w:rsidRPr="00B93EE1" w:rsidRDefault="00120717" w:rsidP="00BC7708">
            <w:pPr>
              <w:ind w:right="227"/>
              <w:jc w:val="right"/>
              <w:rPr>
                <w:sz w:val="14"/>
                <w:szCs w:val="14"/>
              </w:rPr>
            </w:pPr>
            <w:r w:rsidRPr="00B93EE1">
              <w:rPr>
                <w:sz w:val="14"/>
                <w:szCs w:val="14"/>
              </w:rPr>
              <w:t>20</w:t>
            </w:r>
          </w:p>
        </w:tc>
        <w:tc>
          <w:tcPr>
            <w:tcW w:w="565" w:type="pct"/>
            <w:tcMar>
              <w:left w:w="85" w:type="dxa"/>
              <w:right w:w="85" w:type="dxa"/>
            </w:tcMar>
            <w:vAlign w:val="center"/>
          </w:tcPr>
          <w:p w14:paraId="74A7DF98" w14:textId="77777777" w:rsidR="00120717" w:rsidRPr="00B93EE1" w:rsidRDefault="00120717" w:rsidP="00BC7708">
            <w:pPr>
              <w:ind w:right="227"/>
              <w:jc w:val="right"/>
              <w:rPr>
                <w:sz w:val="14"/>
                <w:szCs w:val="14"/>
              </w:rPr>
            </w:pPr>
            <w:r w:rsidRPr="00B93EE1">
              <w:rPr>
                <w:sz w:val="14"/>
                <w:szCs w:val="14"/>
              </w:rPr>
              <w:t>27</w:t>
            </w:r>
          </w:p>
        </w:tc>
        <w:tc>
          <w:tcPr>
            <w:tcW w:w="565" w:type="pct"/>
            <w:tcMar>
              <w:left w:w="85" w:type="dxa"/>
              <w:right w:w="85" w:type="dxa"/>
            </w:tcMar>
            <w:vAlign w:val="center"/>
          </w:tcPr>
          <w:p w14:paraId="6739C28D" w14:textId="77777777" w:rsidR="00120717" w:rsidRPr="00B93EE1" w:rsidRDefault="00120717" w:rsidP="00BC7708">
            <w:pPr>
              <w:ind w:right="227"/>
              <w:jc w:val="right"/>
              <w:rPr>
                <w:sz w:val="14"/>
                <w:szCs w:val="14"/>
              </w:rPr>
            </w:pPr>
            <w:r w:rsidRPr="00B93EE1">
              <w:rPr>
                <w:sz w:val="14"/>
                <w:szCs w:val="14"/>
              </w:rPr>
              <w:t>122</w:t>
            </w:r>
          </w:p>
        </w:tc>
        <w:tc>
          <w:tcPr>
            <w:tcW w:w="565" w:type="pct"/>
            <w:tcMar>
              <w:left w:w="85" w:type="dxa"/>
              <w:right w:w="85" w:type="dxa"/>
            </w:tcMar>
            <w:vAlign w:val="center"/>
          </w:tcPr>
          <w:p w14:paraId="2DE990A3" w14:textId="77777777" w:rsidR="00120717" w:rsidRPr="00B93EE1" w:rsidRDefault="00120717" w:rsidP="00BC7708">
            <w:pPr>
              <w:ind w:right="227"/>
              <w:jc w:val="right"/>
              <w:rPr>
                <w:sz w:val="14"/>
                <w:szCs w:val="14"/>
              </w:rPr>
            </w:pPr>
            <w:r w:rsidRPr="00B93EE1">
              <w:rPr>
                <w:sz w:val="14"/>
                <w:szCs w:val="14"/>
              </w:rPr>
              <w:t>165</w:t>
            </w:r>
          </w:p>
        </w:tc>
        <w:tc>
          <w:tcPr>
            <w:tcW w:w="565" w:type="pct"/>
            <w:tcMar>
              <w:left w:w="85" w:type="dxa"/>
              <w:right w:w="85" w:type="dxa"/>
            </w:tcMar>
            <w:vAlign w:val="center"/>
          </w:tcPr>
          <w:p w14:paraId="745E88E4" w14:textId="77777777" w:rsidR="00120717" w:rsidRPr="00B93EE1" w:rsidRDefault="00120717" w:rsidP="00BC7708">
            <w:pPr>
              <w:ind w:right="227"/>
              <w:jc w:val="right"/>
              <w:rPr>
                <w:sz w:val="14"/>
                <w:szCs w:val="14"/>
              </w:rPr>
            </w:pPr>
            <w:r w:rsidRPr="00B93EE1">
              <w:rPr>
                <w:sz w:val="14"/>
                <w:szCs w:val="14"/>
              </w:rPr>
              <w:t>191</w:t>
            </w:r>
          </w:p>
        </w:tc>
        <w:tc>
          <w:tcPr>
            <w:tcW w:w="564" w:type="pct"/>
            <w:tcMar>
              <w:left w:w="85" w:type="dxa"/>
              <w:right w:w="85" w:type="dxa"/>
            </w:tcMar>
            <w:vAlign w:val="center"/>
          </w:tcPr>
          <w:p w14:paraId="69B67E33" w14:textId="77777777" w:rsidR="00120717" w:rsidRPr="00B93EE1" w:rsidRDefault="00120717" w:rsidP="00BC7708">
            <w:pPr>
              <w:ind w:right="227"/>
              <w:jc w:val="right"/>
              <w:rPr>
                <w:sz w:val="14"/>
                <w:szCs w:val="14"/>
              </w:rPr>
            </w:pPr>
            <w:r w:rsidRPr="00B93EE1">
              <w:rPr>
                <w:sz w:val="14"/>
                <w:szCs w:val="14"/>
              </w:rPr>
              <w:t>221</w:t>
            </w:r>
          </w:p>
        </w:tc>
      </w:tr>
      <w:tr w:rsidR="00120717" w:rsidRPr="00B93EE1" w14:paraId="2DBBDBB3" w14:textId="77777777" w:rsidTr="00E16269">
        <w:trPr>
          <w:cnfStyle w:val="000000010000" w:firstRow="0" w:lastRow="0" w:firstColumn="0" w:lastColumn="0" w:oddVBand="0" w:evenVBand="0" w:oddHBand="0" w:evenHBand="1" w:firstRowFirstColumn="0" w:firstRowLastColumn="0" w:lastRowFirstColumn="0" w:lastRowLastColumn="0"/>
        </w:trPr>
        <w:tc>
          <w:tcPr>
            <w:tcW w:w="1046" w:type="pct"/>
          </w:tcPr>
          <w:p w14:paraId="3B3EC86C" w14:textId="77777777" w:rsidR="00120717" w:rsidRPr="00B93EE1" w:rsidRDefault="00120717" w:rsidP="00BC7708">
            <w:pPr>
              <w:jc w:val="left"/>
              <w:rPr>
                <w:sz w:val="14"/>
                <w:szCs w:val="14"/>
              </w:rPr>
            </w:pPr>
            <w:r w:rsidRPr="00B93EE1">
              <w:rPr>
                <w:sz w:val="14"/>
                <w:szCs w:val="14"/>
              </w:rPr>
              <w:t>Chargeable fixed voice call minutes (billion)</w:t>
            </w:r>
          </w:p>
        </w:tc>
        <w:tc>
          <w:tcPr>
            <w:tcW w:w="565" w:type="pct"/>
            <w:tcMar>
              <w:left w:w="85" w:type="dxa"/>
              <w:right w:w="85" w:type="dxa"/>
            </w:tcMar>
            <w:vAlign w:val="center"/>
          </w:tcPr>
          <w:p w14:paraId="729BAC46" w14:textId="77777777" w:rsidR="00120717" w:rsidRPr="00B93EE1" w:rsidRDefault="00120717" w:rsidP="00BC7708">
            <w:pPr>
              <w:ind w:right="227"/>
              <w:jc w:val="right"/>
              <w:rPr>
                <w:sz w:val="14"/>
                <w:szCs w:val="14"/>
              </w:rPr>
            </w:pPr>
            <w:r w:rsidRPr="00B93EE1">
              <w:rPr>
                <w:sz w:val="14"/>
                <w:szCs w:val="14"/>
              </w:rPr>
              <w:t>5.13</w:t>
            </w:r>
          </w:p>
        </w:tc>
        <w:tc>
          <w:tcPr>
            <w:tcW w:w="565" w:type="pct"/>
            <w:tcMar>
              <w:left w:w="85" w:type="dxa"/>
              <w:right w:w="85" w:type="dxa"/>
            </w:tcMar>
            <w:vAlign w:val="center"/>
          </w:tcPr>
          <w:p w14:paraId="592CFFDA" w14:textId="77777777" w:rsidR="00120717" w:rsidRPr="00B93EE1" w:rsidRDefault="00120717" w:rsidP="00BC7708">
            <w:pPr>
              <w:ind w:right="227"/>
              <w:jc w:val="right"/>
              <w:rPr>
                <w:sz w:val="14"/>
                <w:szCs w:val="14"/>
              </w:rPr>
            </w:pPr>
            <w:r w:rsidRPr="00B93EE1">
              <w:rPr>
                <w:sz w:val="14"/>
                <w:szCs w:val="14"/>
              </w:rPr>
              <w:t>4.66</w:t>
            </w:r>
          </w:p>
        </w:tc>
        <w:tc>
          <w:tcPr>
            <w:tcW w:w="565" w:type="pct"/>
            <w:tcMar>
              <w:left w:w="85" w:type="dxa"/>
              <w:right w:w="85" w:type="dxa"/>
            </w:tcMar>
            <w:vAlign w:val="center"/>
          </w:tcPr>
          <w:p w14:paraId="2E6022F1" w14:textId="77777777" w:rsidR="00120717" w:rsidRPr="00B93EE1" w:rsidRDefault="00120717" w:rsidP="00BC7708">
            <w:pPr>
              <w:ind w:right="227"/>
              <w:jc w:val="right"/>
              <w:rPr>
                <w:sz w:val="14"/>
                <w:szCs w:val="14"/>
              </w:rPr>
            </w:pPr>
            <w:r w:rsidRPr="00B93EE1">
              <w:rPr>
                <w:sz w:val="14"/>
                <w:szCs w:val="14"/>
              </w:rPr>
              <w:t>4.34</w:t>
            </w:r>
          </w:p>
        </w:tc>
        <w:tc>
          <w:tcPr>
            <w:tcW w:w="565" w:type="pct"/>
            <w:tcMar>
              <w:left w:w="85" w:type="dxa"/>
              <w:right w:w="85" w:type="dxa"/>
            </w:tcMar>
            <w:vAlign w:val="center"/>
          </w:tcPr>
          <w:p w14:paraId="39293BBC" w14:textId="77777777" w:rsidR="00120717" w:rsidRPr="00B93EE1" w:rsidRDefault="00120717" w:rsidP="00BC7708">
            <w:pPr>
              <w:ind w:right="227"/>
              <w:jc w:val="right"/>
              <w:rPr>
                <w:sz w:val="14"/>
                <w:szCs w:val="14"/>
              </w:rPr>
            </w:pPr>
            <w:r w:rsidRPr="00B93EE1">
              <w:rPr>
                <w:sz w:val="14"/>
                <w:szCs w:val="14"/>
              </w:rPr>
              <w:t>3.44</w:t>
            </w:r>
          </w:p>
        </w:tc>
        <w:tc>
          <w:tcPr>
            <w:tcW w:w="565" w:type="pct"/>
            <w:tcMar>
              <w:left w:w="85" w:type="dxa"/>
              <w:right w:w="85" w:type="dxa"/>
            </w:tcMar>
            <w:vAlign w:val="center"/>
          </w:tcPr>
          <w:p w14:paraId="7DE5805F" w14:textId="77777777" w:rsidR="00120717" w:rsidRPr="00B93EE1" w:rsidRDefault="00120717" w:rsidP="00BC7708">
            <w:pPr>
              <w:ind w:right="227"/>
              <w:jc w:val="right"/>
              <w:rPr>
                <w:sz w:val="14"/>
                <w:szCs w:val="14"/>
              </w:rPr>
            </w:pPr>
            <w:r w:rsidRPr="00B93EE1">
              <w:rPr>
                <w:sz w:val="14"/>
                <w:szCs w:val="14"/>
              </w:rPr>
              <w:t>3.10</w:t>
            </w:r>
          </w:p>
        </w:tc>
        <w:tc>
          <w:tcPr>
            <w:tcW w:w="565" w:type="pct"/>
            <w:tcMar>
              <w:left w:w="85" w:type="dxa"/>
              <w:right w:w="85" w:type="dxa"/>
            </w:tcMar>
            <w:vAlign w:val="center"/>
          </w:tcPr>
          <w:p w14:paraId="687ABDFC" w14:textId="77777777" w:rsidR="00120717" w:rsidRPr="00B93EE1" w:rsidRDefault="00120717" w:rsidP="00BC7708">
            <w:pPr>
              <w:ind w:right="227"/>
              <w:jc w:val="right"/>
              <w:rPr>
                <w:sz w:val="14"/>
                <w:szCs w:val="14"/>
              </w:rPr>
            </w:pPr>
            <w:r w:rsidRPr="00B93EE1">
              <w:rPr>
                <w:sz w:val="14"/>
                <w:szCs w:val="14"/>
              </w:rPr>
              <w:t>2.72</w:t>
            </w:r>
          </w:p>
        </w:tc>
        <w:tc>
          <w:tcPr>
            <w:tcW w:w="564" w:type="pct"/>
            <w:tcMar>
              <w:left w:w="85" w:type="dxa"/>
              <w:right w:w="85" w:type="dxa"/>
            </w:tcMar>
            <w:vAlign w:val="center"/>
          </w:tcPr>
          <w:p w14:paraId="47D767F4" w14:textId="77777777" w:rsidR="00120717" w:rsidRPr="00B93EE1" w:rsidRDefault="00120717" w:rsidP="00BC7708">
            <w:pPr>
              <w:ind w:right="227"/>
              <w:jc w:val="right"/>
              <w:rPr>
                <w:sz w:val="14"/>
                <w:szCs w:val="14"/>
              </w:rPr>
            </w:pPr>
            <w:r w:rsidRPr="00B93EE1">
              <w:rPr>
                <w:sz w:val="14"/>
                <w:szCs w:val="14"/>
              </w:rPr>
              <w:t>2.44</w:t>
            </w:r>
          </w:p>
        </w:tc>
      </w:tr>
      <w:tr w:rsidR="00120717" w:rsidRPr="00B93EE1" w14:paraId="5562E531" w14:textId="77777777" w:rsidTr="00E16269">
        <w:tc>
          <w:tcPr>
            <w:tcW w:w="1046" w:type="pct"/>
          </w:tcPr>
          <w:p w14:paraId="1AE836A0" w14:textId="77777777" w:rsidR="00120717" w:rsidRPr="00B93EE1" w:rsidRDefault="00120717" w:rsidP="00BC7708">
            <w:pPr>
              <w:jc w:val="left"/>
              <w:rPr>
                <w:sz w:val="14"/>
                <w:szCs w:val="14"/>
              </w:rPr>
            </w:pPr>
            <w:r w:rsidRPr="00B93EE1">
              <w:rPr>
                <w:sz w:val="14"/>
                <w:szCs w:val="14"/>
              </w:rPr>
              <w:t>Total fixed-line retail revenues (NZD billion)</w:t>
            </w:r>
          </w:p>
        </w:tc>
        <w:tc>
          <w:tcPr>
            <w:tcW w:w="565" w:type="pct"/>
            <w:tcMar>
              <w:left w:w="85" w:type="dxa"/>
              <w:right w:w="85" w:type="dxa"/>
            </w:tcMar>
            <w:vAlign w:val="center"/>
          </w:tcPr>
          <w:p w14:paraId="59844E5F" w14:textId="77777777" w:rsidR="00120717" w:rsidRPr="00B93EE1" w:rsidRDefault="00120717" w:rsidP="00BC7708">
            <w:pPr>
              <w:ind w:right="227"/>
              <w:jc w:val="right"/>
              <w:rPr>
                <w:sz w:val="14"/>
                <w:szCs w:val="14"/>
              </w:rPr>
            </w:pPr>
            <w:r w:rsidRPr="00B93EE1">
              <w:rPr>
                <w:sz w:val="14"/>
                <w:szCs w:val="14"/>
              </w:rPr>
              <w:t>2.68</w:t>
            </w:r>
          </w:p>
        </w:tc>
        <w:tc>
          <w:tcPr>
            <w:tcW w:w="565" w:type="pct"/>
            <w:tcMar>
              <w:left w:w="85" w:type="dxa"/>
              <w:right w:w="85" w:type="dxa"/>
            </w:tcMar>
            <w:vAlign w:val="center"/>
          </w:tcPr>
          <w:p w14:paraId="43BF7FD5" w14:textId="77777777" w:rsidR="00120717" w:rsidRPr="00B93EE1" w:rsidRDefault="00120717" w:rsidP="00BC7708">
            <w:pPr>
              <w:ind w:right="227"/>
              <w:jc w:val="right"/>
              <w:rPr>
                <w:sz w:val="14"/>
                <w:szCs w:val="14"/>
              </w:rPr>
            </w:pPr>
            <w:r w:rsidRPr="00B93EE1">
              <w:rPr>
                <w:sz w:val="14"/>
                <w:szCs w:val="14"/>
              </w:rPr>
              <w:t>2.58</w:t>
            </w:r>
          </w:p>
        </w:tc>
        <w:tc>
          <w:tcPr>
            <w:tcW w:w="565" w:type="pct"/>
            <w:tcMar>
              <w:left w:w="85" w:type="dxa"/>
              <w:right w:w="85" w:type="dxa"/>
            </w:tcMar>
            <w:vAlign w:val="center"/>
          </w:tcPr>
          <w:p w14:paraId="2497E8BF" w14:textId="77777777" w:rsidR="00120717" w:rsidRPr="00B93EE1" w:rsidRDefault="00120717" w:rsidP="00BC7708">
            <w:pPr>
              <w:ind w:right="227"/>
              <w:jc w:val="right"/>
              <w:rPr>
                <w:sz w:val="14"/>
                <w:szCs w:val="14"/>
              </w:rPr>
            </w:pPr>
            <w:r w:rsidRPr="00B93EE1">
              <w:rPr>
                <w:sz w:val="14"/>
                <w:szCs w:val="14"/>
              </w:rPr>
              <w:t>2.60</w:t>
            </w:r>
          </w:p>
        </w:tc>
        <w:tc>
          <w:tcPr>
            <w:tcW w:w="565" w:type="pct"/>
            <w:tcMar>
              <w:left w:w="85" w:type="dxa"/>
              <w:right w:w="85" w:type="dxa"/>
            </w:tcMar>
            <w:vAlign w:val="center"/>
          </w:tcPr>
          <w:p w14:paraId="72C89D1C" w14:textId="77777777" w:rsidR="00120717" w:rsidRPr="00B93EE1" w:rsidRDefault="00120717" w:rsidP="00BC7708">
            <w:pPr>
              <w:ind w:right="227"/>
              <w:jc w:val="right"/>
              <w:rPr>
                <w:sz w:val="14"/>
                <w:szCs w:val="14"/>
              </w:rPr>
            </w:pPr>
            <w:r w:rsidRPr="00B93EE1">
              <w:rPr>
                <w:sz w:val="14"/>
                <w:szCs w:val="14"/>
              </w:rPr>
              <w:t>2.62</w:t>
            </w:r>
          </w:p>
        </w:tc>
        <w:tc>
          <w:tcPr>
            <w:tcW w:w="565" w:type="pct"/>
            <w:tcMar>
              <w:left w:w="85" w:type="dxa"/>
              <w:right w:w="85" w:type="dxa"/>
            </w:tcMar>
            <w:vAlign w:val="center"/>
          </w:tcPr>
          <w:p w14:paraId="15401E15" w14:textId="77777777" w:rsidR="00120717" w:rsidRPr="00B93EE1" w:rsidRDefault="00120717" w:rsidP="00BC7708">
            <w:pPr>
              <w:ind w:right="227"/>
              <w:jc w:val="right"/>
              <w:rPr>
                <w:sz w:val="14"/>
                <w:szCs w:val="14"/>
              </w:rPr>
            </w:pPr>
            <w:r w:rsidRPr="00B93EE1">
              <w:rPr>
                <w:sz w:val="14"/>
                <w:szCs w:val="14"/>
              </w:rPr>
              <w:t>2.58</w:t>
            </w:r>
          </w:p>
        </w:tc>
        <w:tc>
          <w:tcPr>
            <w:tcW w:w="565" w:type="pct"/>
            <w:tcMar>
              <w:left w:w="85" w:type="dxa"/>
              <w:right w:w="85" w:type="dxa"/>
            </w:tcMar>
            <w:vAlign w:val="center"/>
          </w:tcPr>
          <w:p w14:paraId="57CEB61D" w14:textId="77777777" w:rsidR="00120717" w:rsidRPr="00B93EE1" w:rsidRDefault="00120717" w:rsidP="00BC7708">
            <w:pPr>
              <w:ind w:right="227"/>
              <w:jc w:val="right"/>
              <w:rPr>
                <w:sz w:val="14"/>
                <w:szCs w:val="14"/>
              </w:rPr>
            </w:pPr>
            <w:r w:rsidRPr="00B93EE1">
              <w:rPr>
                <w:sz w:val="14"/>
                <w:szCs w:val="14"/>
              </w:rPr>
              <w:t>2.49</w:t>
            </w:r>
          </w:p>
        </w:tc>
        <w:tc>
          <w:tcPr>
            <w:tcW w:w="564" w:type="pct"/>
            <w:tcMar>
              <w:left w:w="85" w:type="dxa"/>
              <w:right w:w="85" w:type="dxa"/>
            </w:tcMar>
            <w:vAlign w:val="center"/>
          </w:tcPr>
          <w:p w14:paraId="302D5000" w14:textId="77777777" w:rsidR="00120717" w:rsidRPr="00B93EE1" w:rsidRDefault="00120717" w:rsidP="00BC7708">
            <w:pPr>
              <w:ind w:right="227"/>
              <w:jc w:val="right"/>
              <w:rPr>
                <w:sz w:val="14"/>
                <w:szCs w:val="14"/>
              </w:rPr>
            </w:pPr>
            <w:r w:rsidRPr="00B93EE1">
              <w:rPr>
                <w:sz w:val="14"/>
                <w:szCs w:val="14"/>
              </w:rPr>
              <w:t>2.39</w:t>
            </w:r>
          </w:p>
        </w:tc>
      </w:tr>
      <w:tr w:rsidR="00120717" w:rsidRPr="00B93EE1" w14:paraId="5C7D3C76" w14:textId="77777777" w:rsidTr="00E16269">
        <w:trPr>
          <w:cnfStyle w:val="000000010000" w:firstRow="0" w:lastRow="0" w:firstColumn="0" w:lastColumn="0" w:oddVBand="0" w:evenVBand="0" w:oddHBand="0" w:evenHBand="1" w:firstRowFirstColumn="0" w:firstRowLastColumn="0" w:lastRowFirstColumn="0" w:lastRowLastColumn="0"/>
        </w:trPr>
        <w:tc>
          <w:tcPr>
            <w:tcW w:w="5000" w:type="pct"/>
            <w:gridSpan w:val="8"/>
            <w:tcMar>
              <w:left w:w="85" w:type="dxa"/>
              <w:right w:w="85" w:type="dxa"/>
            </w:tcMar>
          </w:tcPr>
          <w:p w14:paraId="4DFF76CC" w14:textId="77777777" w:rsidR="00120717" w:rsidRPr="00B93EE1" w:rsidRDefault="00120717" w:rsidP="00BC7708">
            <w:pPr>
              <w:ind w:right="57"/>
              <w:jc w:val="left"/>
              <w:rPr>
                <w:b/>
                <w:bCs/>
                <w:sz w:val="14"/>
                <w:szCs w:val="14"/>
              </w:rPr>
            </w:pPr>
            <w:r w:rsidRPr="00B93EE1">
              <w:rPr>
                <w:b/>
                <w:bCs/>
                <w:sz w:val="14"/>
                <w:szCs w:val="14"/>
              </w:rPr>
              <w:t>Mobile metrics</w:t>
            </w:r>
          </w:p>
        </w:tc>
      </w:tr>
      <w:tr w:rsidR="00120717" w:rsidRPr="00B93EE1" w14:paraId="4358F2C1" w14:textId="77777777" w:rsidTr="00E16269">
        <w:tc>
          <w:tcPr>
            <w:tcW w:w="1046" w:type="pct"/>
          </w:tcPr>
          <w:p w14:paraId="4B85583A" w14:textId="77777777" w:rsidR="00120717" w:rsidRPr="00B93EE1" w:rsidRDefault="00120717" w:rsidP="00BC7708">
            <w:pPr>
              <w:jc w:val="left"/>
              <w:rPr>
                <w:sz w:val="14"/>
                <w:szCs w:val="14"/>
              </w:rPr>
            </w:pPr>
            <w:r w:rsidRPr="00B93EE1">
              <w:rPr>
                <w:sz w:val="14"/>
                <w:szCs w:val="14"/>
              </w:rPr>
              <w:t>Mobile connections (million)</w:t>
            </w:r>
            <w:r w:rsidRPr="00B93EE1">
              <w:rPr>
                <w:sz w:val="14"/>
                <w:szCs w:val="14"/>
                <w:vertAlign w:val="superscript"/>
              </w:rPr>
              <w:t>a</w:t>
            </w:r>
          </w:p>
        </w:tc>
        <w:tc>
          <w:tcPr>
            <w:tcW w:w="565" w:type="pct"/>
            <w:tcMar>
              <w:left w:w="85" w:type="dxa"/>
              <w:right w:w="85" w:type="dxa"/>
            </w:tcMar>
            <w:vAlign w:val="center"/>
          </w:tcPr>
          <w:p w14:paraId="55968F59" w14:textId="77777777" w:rsidR="00120717" w:rsidRPr="00B93EE1" w:rsidRDefault="00120717" w:rsidP="00BC7708">
            <w:pPr>
              <w:ind w:right="227"/>
              <w:jc w:val="right"/>
              <w:rPr>
                <w:sz w:val="14"/>
                <w:szCs w:val="14"/>
              </w:rPr>
            </w:pPr>
            <w:r w:rsidRPr="00B93EE1">
              <w:rPr>
                <w:sz w:val="14"/>
                <w:szCs w:val="14"/>
              </w:rPr>
              <w:t>5.6</w:t>
            </w:r>
          </w:p>
        </w:tc>
        <w:tc>
          <w:tcPr>
            <w:tcW w:w="565" w:type="pct"/>
            <w:tcMar>
              <w:left w:w="85" w:type="dxa"/>
              <w:right w:w="85" w:type="dxa"/>
            </w:tcMar>
            <w:vAlign w:val="center"/>
          </w:tcPr>
          <w:p w14:paraId="0C0620DA" w14:textId="77777777" w:rsidR="00120717" w:rsidRPr="00B93EE1" w:rsidRDefault="00120717" w:rsidP="00BC7708">
            <w:pPr>
              <w:ind w:right="227"/>
              <w:jc w:val="right"/>
              <w:rPr>
                <w:sz w:val="14"/>
                <w:szCs w:val="14"/>
              </w:rPr>
            </w:pPr>
            <w:r w:rsidRPr="00B93EE1">
              <w:rPr>
                <w:sz w:val="14"/>
                <w:szCs w:val="14"/>
              </w:rPr>
              <w:t>5.8</w:t>
            </w:r>
          </w:p>
        </w:tc>
        <w:tc>
          <w:tcPr>
            <w:tcW w:w="565" w:type="pct"/>
            <w:tcMar>
              <w:left w:w="85" w:type="dxa"/>
              <w:right w:w="85" w:type="dxa"/>
            </w:tcMar>
            <w:vAlign w:val="center"/>
          </w:tcPr>
          <w:p w14:paraId="622704AA" w14:textId="77777777" w:rsidR="00120717" w:rsidRPr="00B93EE1" w:rsidRDefault="00120717" w:rsidP="00BC7708">
            <w:pPr>
              <w:ind w:right="227"/>
              <w:jc w:val="right"/>
              <w:rPr>
                <w:sz w:val="14"/>
                <w:szCs w:val="14"/>
              </w:rPr>
            </w:pPr>
            <w:r w:rsidRPr="00B93EE1">
              <w:rPr>
                <w:sz w:val="14"/>
                <w:szCs w:val="14"/>
              </w:rPr>
              <w:t>6.1</w:t>
            </w:r>
          </w:p>
        </w:tc>
        <w:tc>
          <w:tcPr>
            <w:tcW w:w="565" w:type="pct"/>
            <w:tcMar>
              <w:left w:w="85" w:type="dxa"/>
              <w:right w:w="85" w:type="dxa"/>
            </w:tcMar>
            <w:vAlign w:val="center"/>
          </w:tcPr>
          <w:p w14:paraId="0DEAD3D0" w14:textId="77777777" w:rsidR="00120717" w:rsidRPr="00B93EE1" w:rsidRDefault="00120717" w:rsidP="00BC7708">
            <w:pPr>
              <w:ind w:right="227"/>
              <w:jc w:val="right"/>
              <w:rPr>
                <w:sz w:val="14"/>
                <w:szCs w:val="14"/>
              </w:rPr>
            </w:pPr>
            <w:r w:rsidRPr="00B93EE1">
              <w:rPr>
                <w:sz w:val="14"/>
                <w:szCs w:val="14"/>
              </w:rPr>
              <w:t>6.4</w:t>
            </w:r>
          </w:p>
        </w:tc>
        <w:tc>
          <w:tcPr>
            <w:tcW w:w="565" w:type="pct"/>
            <w:tcMar>
              <w:left w:w="85" w:type="dxa"/>
              <w:right w:w="85" w:type="dxa"/>
            </w:tcMar>
            <w:vAlign w:val="center"/>
          </w:tcPr>
          <w:p w14:paraId="04CC952D" w14:textId="77777777" w:rsidR="00120717" w:rsidRPr="00B93EE1" w:rsidRDefault="00120717" w:rsidP="00BC7708">
            <w:pPr>
              <w:ind w:right="227"/>
              <w:jc w:val="right"/>
              <w:rPr>
                <w:sz w:val="14"/>
                <w:szCs w:val="14"/>
              </w:rPr>
            </w:pPr>
            <w:r w:rsidRPr="00B93EE1">
              <w:rPr>
                <w:sz w:val="14"/>
                <w:szCs w:val="14"/>
              </w:rPr>
              <w:t>6.4</w:t>
            </w:r>
          </w:p>
        </w:tc>
        <w:tc>
          <w:tcPr>
            <w:tcW w:w="565" w:type="pct"/>
            <w:tcMar>
              <w:left w:w="85" w:type="dxa"/>
              <w:right w:w="85" w:type="dxa"/>
            </w:tcMar>
            <w:vAlign w:val="center"/>
          </w:tcPr>
          <w:p w14:paraId="3783A52F" w14:textId="77777777" w:rsidR="00120717" w:rsidRPr="00B93EE1" w:rsidRDefault="00120717" w:rsidP="00BC7708">
            <w:pPr>
              <w:ind w:right="227"/>
              <w:jc w:val="right"/>
              <w:rPr>
                <w:sz w:val="14"/>
                <w:szCs w:val="14"/>
              </w:rPr>
            </w:pPr>
            <w:r w:rsidRPr="00B93EE1">
              <w:rPr>
                <w:sz w:val="14"/>
                <w:szCs w:val="14"/>
              </w:rPr>
              <w:t>6.0</w:t>
            </w:r>
          </w:p>
        </w:tc>
        <w:tc>
          <w:tcPr>
            <w:tcW w:w="564" w:type="pct"/>
            <w:tcMar>
              <w:left w:w="85" w:type="dxa"/>
              <w:right w:w="85" w:type="dxa"/>
            </w:tcMar>
            <w:vAlign w:val="center"/>
          </w:tcPr>
          <w:p w14:paraId="5064BAA3" w14:textId="77777777" w:rsidR="00120717" w:rsidRPr="00B93EE1" w:rsidRDefault="00120717" w:rsidP="00BC7708">
            <w:pPr>
              <w:ind w:right="227"/>
              <w:jc w:val="right"/>
              <w:rPr>
                <w:sz w:val="14"/>
                <w:szCs w:val="14"/>
              </w:rPr>
            </w:pPr>
            <w:r w:rsidRPr="00B93EE1">
              <w:rPr>
                <w:sz w:val="14"/>
                <w:szCs w:val="14"/>
              </w:rPr>
              <w:t>6.2</w:t>
            </w:r>
          </w:p>
        </w:tc>
      </w:tr>
      <w:tr w:rsidR="00120717" w:rsidRPr="00B93EE1" w14:paraId="18F99795" w14:textId="77777777" w:rsidTr="00E16269">
        <w:trPr>
          <w:cnfStyle w:val="000000010000" w:firstRow="0" w:lastRow="0" w:firstColumn="0" w:lastColumn="0" w:oddVBand="0" w:evenVBand="0" w:oddHBand="0" w:evenHBand="1" w:firstRowFirstColumn="0" w:firstRowLastColumn="0" w:lastRowFirstColumn="0" w:lastRowLastColumn="0"/>
        </w:trPr>
        <w:tc>
          <w:tcPr>
            <w:tcW w:w="1046" w:type="pct"/>
          </w:tcPr>
          <w:p w14:paraId="4665B366" w14:textId="77777777" w:rsidR="00120717" w:rsidRPr="00B93EE1" w:rsidRDefault="00120717" w:rsidP="00BC7708">
            <w:pPr>
              <w:jc w:val="left"/>
              <w:rPr>
                <w:sz w:val="14"/>
                <w:szCs w:val="14"/>
              </w:rPr>
            </w:pPr>
            <w:r w:rsidRPr="00B93EE1">
              <w:rPr>
                <w:sz w:val="14"/>
                <w:szCs w:val="14"/>
              </w:rPr>
              <w:t>Active mobile connections per 100 population</w:t>
            </w:r>
          </w:p>
        </w:tc>
        <w:tc>
          <w:tcPr>
            <w:tcW w:w="565" w:type="pct"/>
            <w:tcMar>
              <w:left w:w="85" w:type="dxa"/>
              <w:right w:w="85" w:type="dxa"/>
            </w:tcMar>
            <w:vAlign w:val="center"/>
          </w:tcPr>
          <w:p w14:paraId="46A02F5D" w14:textId="77777777" w:rsidR="00120717" w:rsidRPr="00B93EE1" w:rsidRDefault="00120717" w:rsidP="00BC7708">
            <w:pPr>
              <w:ind w:right="227"/>
              <w:jc w:val="right"/>
              <w:rPr>
                <w:sz w:val="14"/>
                <w:szCs w:val="14"/>
              </w:rPr>
            </w:pPr>
            <w:r w:rsidRPr="00B93EE1">
              <w:rPr>
                <w:sz w:val="14"/>
                <w:szCs w:val="14"/>
              </w:rPr>
              <w:t>124</w:t>
            </w:r>
          </w:p>
        </w:tc>
        <w:tc>
          <w:tcPr>
            <w:tcW w:w="565" w:type="pct"/>
            <w:tcMar>
              <w:left w:w="85" w:type="dxa"/>
              <w:right w:w="85" w:type="dxa"/>
            </w:tcMar>
            <w:vAlign w:val="center"/>
          </w:tcPr>
          <w:p w14:paraId="0A45DE6D" w14:textId="77777777" w:rsidR="00120717" w:rsidRPr="00B93EE1" w:rsidRDefault="00120717" w:rsidP="00BC7708">
            <w:pPr>
              <w:ind w:right="227"/>
              <w:jc w:val="right"/>
              <w:rPr>
                <w:sz w:val="14"/>
                <w:szCs w:val="14"/>
              </w:rPr>
            </w:pPr>
            <w:r w:rsidRPr="00B93EE1">
              <w:rPr>
                <w:sz w:val="14"/>
                <w:szCs w:val="14"/>
              </w:rPr>
              <w:t>127</w:t>
            </w:r>
          </w:p>
        </w:tc>
        <w:tc>
          <w:tcPr>
            <w:tcW w:w="565" w:type="pct"/>
            <w:tcMar>
              <w:left w:w="85" w:type="dxa"/>
              <w:right w:w="85" w:type="dxa"/>
            </w:tcMar>
            <w:vAlign w:val="center"/>
          </w:tcPr>
          <w:p w14:paraId="3572B4B2" w14:textId="77777777" w:rsidR="00120717" w:rsidRPr="00B93EE1" w:rsidRDefault="00120717" w:rsidP="00BC7708">
            <w:pPr>
              <w:ind w:right="227"/>
              <w:jc w:val="right"/>
              <w:rPr>
                <w:sz w:val="14"/>
                <w:szCs w:val="14"/>
              </w:rPr>
            </w:pPr>
            <w:r w:rsidRPr="00B93EE1">
              <w:rPr>
                <w:sz w:val="14"/>
                <w:szCs w:val="14"/>
              </w:rPr>
              <w:t>129</w:t>
            </w:r>
          </w:p>
        </w:tc>
        <w:tc>
          <w:tcPr>
            <w:tcW w:w="565" w:type="pct"/>
            <w:tcMar>
              <w:left w:w="85" w:type="dxa"/>
              <w:right w:w="85" w:type="dxa"/>
            </w:tcMar>
            <w:vAlign w:val="center"/>
          </w:tcPr>
          <w:p w14:paraId="0C8AD3E1" w14:textId="77777777" w:rsidR="00120717" w:rsidRPr="00B93EE1" w:rsidRDefault="00120717" w:rsidP="00BC7708">
            <w:pPr>
              <w:ind w:right="227"/>
              <w:jc w:val="right"/>
              <w:rPr>
                <w:sz w:val="14"/>
                <w:szCs w:val="14"/>
              </w:rPr>
            </w:pPr>
            <w:r w:rsidRPr="00B93EE1">
              <w:rPr>
                <w:sz w:val="14"/>
                <w:szCs w:val="14"/>
              </w:rPr>
              <w:t>134</w:t>
            </w:r>
          </w:p>
        </w:tc>
        <w:tc>
          <w:tcPr>
            <w:tcW w:w="565" w:type="pct"/>
            <w:tcMar>
              <w:left w:w="85" w:type="dxa"/>
              <w:right w:w="85" w:type="dxa"/>
            </w:tcMar>
            <w:vAlign w:val="center"/>
          </w:tcPr>
          <w:p w14:paraId="44EF0F97" w14:textId="77777777" w:rsidR="00120717" w:rsidRPr="00B93EE1" w:rsidRDefault="00120717" w:rsidP="00BC7708">
            <w:pPr>
              <w:ind w:right="227"/>
              <w:jc w:val="right"/>
              <w:rPr>
                <w:sz w:val="14"/>
                <w:szCs w:val="14"/>
              </w:rPr>
            </w:pPr>
            <w:r w:rsidRPr="00B93EE1">
              <w:rPr>
                <w:sz w:val="14"/>
                <w:szCs w:val="14"/>
              </w:rPr>
              <w:t>131</w:t>
            </w:r>
          </w:p>
        </w:tc>
        <w:tc>
          <w:tcPr>
            <w:tcW w:w="565" w:type="pct"/>
            <w:tcMar>
              <w:left w:w="85" w:type="dxa"/>
              <w:right w:w="85" w:type="dxa"/>
            </w:tcMar>
            <w:vAlign w:val="center"/>
          </w:tcPr>
          <w:p w14:paraId="2235FE2E" w14:textId="77777777" w:rsidR="00120717" w:rsidRPr="00B93EE1" w:rsidRDefault="00120717" w:rsidP="00BC7708">
            <w:pPr>
              <w:ind w:right="227"/>
              <w:jc w:val="right"/>
              <w:rPr>
                <w:sz w:val="14"/>
                <w:szCs w:val="14"/>
              </w:rPr>
            </w:pPr>
            <w:r w:rsidRPr="00B93EE1">
              <w:rPr>
                <w:sz w:val="14"/>
                <w:szCs w:val="14"/>
              </w:rPr>
              <w:t>122</w:t>
            </w:r>
          </w:p>
        </w:tc>
        <w:tc>
          <w:tcPr>
            <w:tcW w:w="564" w:type="pct"/>
            <w:tcMar>
              <w:left w:w="85" w:type="dxa"/>
              <w:right w:w="85" w:type="dxa"/>
            </w:tcMar>
            <w:vAlign w:val="center"/>
          </w:tcPr>
          <w:p w14:paraId="0C64FAE3" w14:textId="77777777" w:rsidR="00120717" w:rsidRPr="00B93EE1" w:rsidRDefault="00120717" w:rsidP="00BC7708">
            <w:pPr>
              <w:ind w:right="227"/>
              <w:jc w:val="right"/>
              <w:rPr>
                <w:sz w:val="14"/>
                <w:szCs w:val="14"/>
              </w:rPr>
            </w:pPr>
            <w:r w:rsidRPr="00B93EE1">
              <w:rPr>
                <w:sz w:val="14"/>
                <w:szCs w:val="14"/>
              </w:rPr>
              <w:t>122</w:t>
            </w:r>
          </w:p>
        </w:tc>
      </w:tr>
      <w:tr w:rsidR="00120717" w:rsidRPr="00B93EE1" w14:paraId="133C25E1" w14:textId="77777777" w:rsidTr="00E16269">
        <w:tc>
          <w:tcPr>
            <w:tcW w:w="1046" w:type="pct"/>
          </w:tcPr>
          <w:p w14:paraId="3A38DCB0" w14:textId="77777777" w:rsidR="00120717" w:rsidRPr="00B93EE1" w:rsidRDefault="00120717" w:rsidP="00BC7708">
            <w:pPr>
              <w:jc w:val="left"/>
              <w:rPr>
                <w:sz w:val="14"/>
                <w:szCs w:val="14"/>
              </w:rPr>
            </w:pPr>
            <w:r w:rsidRPr="00B93EE1">
              <w:rPr>
                <w:sz w:val="14"/>
                <w:szCs w:val="14"/>
              </w:rPr>
              <w:t>Share mobile pre-paid (%)</w:t>
            </w:r>
          </w:p>
        </w:tc>
        <w:tc>
          <w:tcPr>
            <w:tcW w:w="565" w:type="pct"/>
            <w:tcMar>
              <w:left w:w="85" w:type="dxa"/>
              <w:right w:w="85" w:type="dxa"/>
            </w:tcMar>
            <w:vAlign w:val="center"/>
          </w:tcPr>
          <w:p w14:paraId="32771033" w14:textId="77777777" w:rsidR="00120717" w:rsidRPr="00B93EE1" w:rsidRDefault="00120717" w:rsidP="00BC7708">
            <w:pPr>
              <w:ind w:right="227"/>
              <w:jc w:val="right"/>
              <w:rPr>
                <w:sz w:val="14"/>
                <w:szCs w:val="14"/>
              </w:rPr>
            </w:pPr>
            <w:r w:rsidRPr="00B93EE1">
              <w:rPr>
                <w:sz w:val="14"/>
                <w:szCs w:val="14"/>
              </w:rPr>
              <w:t>63.6</w:t>
            </w:r>
          </w:p>
        </w:tc>
        <w:tc>
          <w:tcPr>
            <w:tcW w:w="565" w:type="pct"/>
            <w:tcMar>
              <w:left w:w="85" w:type="dxa"/>
              <w:right w:w="85" w:type="dxa"/>
            </w:tcMar>
            <w:vAlign w:val="center"/>
          </w:tcPr>
          <w:p w14:paraId="1CB53A37" w14:textId="77777777" w:rsidR="00120717" w:rsidRPr="00B93EE1" w:rsidRDefault="00120717" w:rsidP="00BC7708">
            <w:pPr>
              <w:ind w:right="227"/>
              <w:jc w:val="right"/>
              <w:rPr>
                <w:sz w:val="14"/>
                <w:szCs w:val="14"/>
              </w:rPr>
            </w:pPr>
            <w:r w:rsidRPr="00B93EE1">
              <w:rPr>
                <w:sz w:val="14"/>
                <w:szCs w:val="14"/>
              </w:rPr>
              <w:t>62.3</w:t>
            </w:r>
          </w:p>
        </w:tc>
        <w:tc>
          <w:tcPr>
            <w:tcW w:w="565" w:type="pct"/>
            <w:tcMar>
              <w:left w:w="85" w:type="dxa"/>
              <w:right w:w="85" w:type="dxa"/>
            </w:tcMar>
            <w:vAlign w:val="center"/>
          </w:tcPr>
          <w:p w14:paraId="6F87009B" w14:textId="77777777" w:rsidR="00120717" w:rsidRPr="00B93EE1" w:rsidRDefault="00120717" w:rsidP="00BC7708">
            <w:pPr>
              <w:ind w:right="227"/>
              <w:jc w:val="right"/>
              <w:rPr>
                <w:sz w:val="14"/>
                <w:szCs w:val="14"/>
              </w:rPr>
            </w:pPr>
            <w:r w:rsidRPr="00B93EE1">
              <w:rPr>
                <w:sz w:val="14"/>
                <w:szCs w:val="14"/>
              </w:rPr>
              <w:t>60.7</w:t>
            </w:r>
          </w:p>
        </w:tc>
        <w:tc>
          <w:tcPr>
            <w:tcW w:w="565" w:type="pct"/>
            <w:tcMar>
              <w:left w:w="85" w:type="dxa"/>
              <w:right w:w="85" w:type="dxa"/>
            </w:tcMar>
            <w:vAlign w:val="center"/>
          </w:tcPr>
          <w:p w14:paraId="292F3618" w14:textId="77777777" w:rsidR="00120717" w:rsidRPr="00B93EE1" w:rsidRDefault="00120717" w:rsidP="00BC7708">
            <w:pPr>
              <w:ind w:right="227"/>
              <w:jc w:val="right"/>
              <w:rPr>
                <w:sz w:val="14"/>
                <w:szCs w:val="14"/>
              </w:rPr>
            </w:pPr>
            <w:r w:rsidRPr="00B93EE1">
              <w:rPr>
                <w:sz w:val="14"/>
                <w:szCs w:val="14"/>
              </w:rPr>
              <w:t>60.3</w:t>
            </w:r>
          </w:p>
        </w:tc>
        <w:tc>
          <w:tcPr>
            <w:tcW w:w="565" w:type="pct"/>
            <w:tcMar>
              <w:left w:w="85" w:type="dxa"/>
              <w:right w:w="85" w:type="dxa"/>
            </w:tcMar>
            <w:vAlign w:val="center"/>
          </w:tcPr>
          <w:p w14:paraId="133AECE5" w14:textId="77777777" w:rsidR="00120717" w:rsidRPr="00B93EE1" w:rsidRDefault="00120717" w:rsidP="00BC7708">
            <w:pPr>
              <w:ind w:right="227"/>
              <w:jc w:val="right"/>
              <w:rPr>
                <w:sz w:val="14"/>
                <w:szCs w:val="14"/>
              </w:rPr>
            </w:pPr>
            <w:r w:rsidRPr="00B93EE1">
              <w:rPr>
                <w:sz w:val="14"/>
                <w:szCs w:val="14"/>
              </w:rPr>
              <w:t>58.1</w:t>
            </w:r>
          </w:p>
        </w:tc>
        <w:tc>
          <w:tcPr>
            <w:tcW w:w="565" w:type="pct"/>
            <w:tcMar>
              <w:left w:w="85" w:type="dxa"/>
              <w:right w:w="85" w:type="dxa"/>
            </w:tcMar>
            <w:vAlign w:val="center"/>
          </w:tcPr>
          <w:p w14:paraId="569ECD2E" w14:textId="77777777" w:rsidR="00120717" w:rsidRPr="00B93EE1" w:rsidRDefault="00120717" w:rsidP="00BC7708">
            <w:pPr>
              <w:ind w:right="227"/>
              <w:jc w:val="right"/>
              <w:rPr>
                <w:sz w:val="14"/>
                <w:szCs w:val="14"/>
              </w:rPr>
            </w:pPr>
            <w:r w:rsidRPr="00B93EE1">
              <w:rPr>
                <w:sz w:val="14"/>
                <w:szCs w:val="14"/>
              </w:rPr>
              <w:t>52.7</w:t>
            </w:r>
          </w:p>
        </w:tc>
        <w:tc>
          <w:tcPr>
            <w:tcW w:w="564" w:type="pct"/>
            <w:tcMar>
              <w:left w:w="85" w:type="dxa"/>
              <w:right w:w="85" w:type="dxa"/>
            </w:tcMar>
            <w:vAlign w:val="center"/>
          </w:tcPr>
          <w:p w14:paraId="25323C33" w14:textId="77777777" w:rsidR="00120717" w:rsidRPr="00B93EE1" w:rsidRDefault="00120717" w:rsidP="00BC7708">
            <w:pPr>
              <w:ind w:right="227"/>
              <w:jc w:val="right"/>
              <w:rPr>
                <w:sz w:val="14"/>
                <w:szCs w:val="14"/>
              </w:rPr>
            </w:pPr>
            <w:r w:rsidRPr="00B93EE1">
              <w:rPr>
                <w:sz w:val="14"/>
                <w:szCs w:val="14"/>
              </w:rPr>
              <w:t>51.8</w:t>
            </w:r>
          </w:p>
        </w:tc>
      </w:tr>
      <w:tr w:rsidR="00120717" w:rsidRPr="00B93EE1" w14:paraId="5684BC08" w14:textId="77777777" w:rsidTr="00E16269">
        <w:trPr>
          <w:cnfStyle w:val="000000010000" w:firstRow="0" w:lastRow="0" w:firstColumn="0" w:lastColumn="0" w:oddVBand="0" w:evenVBand="0" w:oddHBand="0" w:evenHBand="1" w:firstRowFirstColumn="0" w:firstRowLastColumn="0" w:lastRowFirstColumn="0" w:lastRowLastColumn="0"/>
        </w:trPr>
        <w:tc>
          <w:tcPr>
            <w:tcW w:w="1046" w:type="pct"/>
          </w:tcPr>
          <w:p w14:paraId="0585E8CE" w14:textId="77777777" w:rsidR="00120717" w:rsidRPr="00B93EE1" w:rsidRDefault="00120717" w:rsidP="00BC7708">
            <w:pPr>
              <w:jc w:val="left"/>
              <w:rPr>
                <w:sz w:val="14"/>
                <w:szCs w:val="14"/>
              </w:rPr>
            </w:pPr>
            <w:r w:rsidRPr="00B93EE1">
              <w:rPr>
                <w:sz w:val="14"/>
                <w:szCs w:val="14"/>
              </w:rPr>
              <w:t>Average monthly mobile data usage (GB)</w:t>
            </w:r>
          </w:p>
        </w:tc>
        <w:tc>
          <w:tcPr>
            <w:tcW w:w="565" w:type="pct"/>
            <w:tcMar>
              <w:left w:w="85" w:type="dxa"/>
              <w:right w:w="85" w:type="dxa"/>
            </w:tcMar>
            <w:vAlign w:val="center"/>
          </w:tcPr>
          <w:p w14:paraId="7D40E5EC" w14:textId="77777777" w:rsidR="00120717" w:rsidRPr="00B93EE1" w:rsidRDefault="00120717" w:rsidP="00BC7708">
            <w:pPr>
              <w:ind w:right="227"/>
              <w:jc w:val="right"/>
              <w:rPr>
                <w:sz w:val="14"/>
                <w:szCs w:val="14"/>
              </w:rPr>
            </w:pPr>
            <w:r w:rsidRPr="00B93EE1">
              <w:rPr>
                <w:sz w:val="14"/>
                <w:szCs w:val="14"/>
              </w:rPr>
              <w:t>0.32</w:t>
            </w:r>
          </w:p>
        </w:tc>
        <w:tc>
          <w:tcPr>
            <w:tcW w:w="565" w:type="pct"/>
            <w:tcMar>
              <w:left w:w="85" w:type="dxa"/>
              <w:right w:w="85" w:type="dxa"/>
            </w:tcMar>
            <w:vAlign w:val="center"/>
          </w:tcPr>
          <w:p w14:paraId="3DC18CB0" w14:textId="77777777" w:rsidR="00120717" w:rsidRPr="00B93EE1" w:rsidRDefault="00120717" w:rsidP="00BC7708">
            <w:pPr>
              <w:ind w:right="227"/>
              <w:jc w:val="right"/>
              <w:rPr>
                <w:sz w:val="14"/>
                <w:szCs w:val="14"/>
              </w:rPr>
            </w:pPr>
            <w:r w:rsidRPr="00B93EE1">
              <w:rPr>
                <w:sz w:val="14"/>
                <w:szCs w:val="14"/>
              </w:rPr>
              <w:t>0.47</w:t>
            </w:r>
          </w:p>
        </w:tc>
        <w:tc>
          <w:tcPr>
            <w:tcW w:w="565" w:type="pct"/>
            <w:tcMar>
              <w:left w:w="85" w:type="dxa"/>
              <w:right w:w="85" w:type="dxa"/>
            </w:tcMar>
            <w:vAlign w:val="center"/>
          </w:tcPr>
          <w:p w14:paraId="453F22D0" w14:textId="77777777" w:rsidR="00120717" w:rsidRPr="00B93EE1" w:rsidRDefault="00120717" w:rsidP="00BC7708">
            <w:pPr>
              <w:ind w:right="227"/>
              <w:jc w:val="right"/>
              <w:rPr>
                <w:sz w:val="14"/>
                <w:szCs w:val="14"/>
              </w:rPr>
            </w:pPr>
            <w:r w:rsidRPr="00B93EE1">
              <w:rPr>
                <w:sz w:val="14"/>
                <w:szCs w:val="14"/>
              </w:rPr>
              <w:t>0.72</w:t>
            </w:r>
          </w:p>
        </w:tc>
        <w:tc>
          <w:tcPr>
            <w:tcW w:w="565" w:type="pct"/>
            <w:tcMar>
              <w:left w:w="85" w:type="dxa"/>
              <w:right w:w="85" w:type="dxa"/>
            </w:tcMar>
            <w:vAlign w:val="center"/>
          </w:tcPr>
          <w:p w14:paraId="22276E77" w14:textId="77777777" w:rsidR="00120717" w:rsidRPr="00B93EE1" w:rsidRDefault="00120717" w:rsidP="00BC7708">
            <w:pPr>
              <w:ind w:right="227"/>
              <w:jc w:val="right"/>
              <w:rPr>
                <w:sz w:val="14"/>
                <w:szCs w:val="14"/>
              </w:rPr>
            </w:pPr>
            <w:r w:rsidRPr="00B93EE1">
              <w:rPr>
                <w:sz w:val="14"/>
                <w:szCs w:val="14"/>
              </w:rPr>
              <w:t>1.25</w:t>
            </w:r>
          </w:p>
        </w:tc>
        <w:tc>
          <w:tcPr>
            <w:tcW w:w="565" w:type="pct"/>
            <w:tcMar>
              <w:left w:w="85" w:type="dxa"/>
              <w:right w:w="85" w:type="dxa"/>
            </w:tcMar>
            <w:vAlign w:val="center"/>
          </w:tcPr>
          <w:p w14:paraId="5DC58A18" w14:textId="77777777" w:rsidR="00120717" w:rsidRPr="00B93EE1" w:rsidRDefault="00120717" w:rsidP="00BC7708">
            <w:pPr>
              <w:ind w:right="227"/>
              <w:jc w:val="right"/>
              <w:rPr>
                <w:sz w:val="14"/>
                <w:szCs w:val="14"/>
              </w:rPr>
            </w:pPr>
            <w:r w:rsidRPr="00B93EE1">
              <w:rPr>
                <w:sz w:val="14"/>
                <w:szCs w:val="14"/>
              </w:rPr>
              <w:t>2.04</w:t>
            </w:r>
          </w:p>
        </w:tc>
        <w:tc>
          <w:tcPr>
            <w:tcW w:w="565" w:type="pct"/>
            <w:tcMar>
              <w:left w:w="85" w:type="dxa"/>
              <w:right w:w="85" w:type="dxa"/>
            </w:tcMar>
            <w:vAlign w:val="center"/>
          </w:tcPr>
          <w:p w14:paraId="7E4FA3C4" w14:textId="77777777" w:rsidR="00120717" w:rsidRPr="00B93EE1" w:rsidRDefault="00120717" w:rsidP="00BC7708">
            <w:pPr>
              <w:ind w:right="227"/>
              <w:jc w:val="right"/>
              <w:rPr>
                <w:sz w:val="14"/>
                <w:szCs w:val="14"/>
              </w:rPr>
            </w:pPr>
            <w:r w:rsidRPr="00B93EE1">
              <w:rPr>
                <w:sz w:val="14"/>
                <w:szCs w:val="14"/>
              </w:rPr>
              <w:t>2.75</w:t>
            </w:r>
          </w:p>
        </w:tc>
        <w:tc>
          <w:tcPr>
            <w:tcW w:w="564" w:type="pct"/>
            <w:tcMar>
              <w:left w:w="85" w:type="dxa"/>
              <w:right w:w="85" w:type="dxa"/>
            </w:tcMar>
            <w:vAlign w:val="center"/>
          </w:tcPr>
          <w:p w14:paraId="504A895E" w14:textId="77777777" w:rsidR="00120717" w:rsidRPr="00B93EE1" w:rsidRDefault="00120717" w:rsidP="00BC7708">
            <w:pPr>
              <w:ind w:right="227"/>
              <w:jc w:val="right"/>
              <w:rPr>
                <w:sz w:val="14"/>
                <w:szCs w:val="14"/>
              </w:rPr>
            </w:pPr>
            <w:r w:rsidRPr="00B93EE1">
              <w:rPr>
                <w:sz w:val="14"/>
                <w:szCs w:val="14"/>
              </w:rPr>
              <w:t>3.29</w:t>
            </w:r>
          </w:p>
        </w:tc>
      </w:tr>
      <w:tr w:rsidR="00120717" w:rsidRPr="00B93EE1" w14:paraId="46A22879" w14:textId="77777777" w:rsidTr="00E16269">
        <w:tc>
          <w:tcPr>
            <w:tcW w:w="1046" w:type="pct"/>
          </w:tcPr>
          <w:p w14:paraId="3D2E536D" w14:textId="77777777" w:rsidR="00120717" w:rsidRPr="00B93EE1" w:rsidRDefault="00120717" w:rsidP="00BC7708">
            <w:pPr>
              <w:jc w:val="left"/>
              <w:rPr>
                <w:sz w:val="14"/>
                <w:szCs w:val="14"/>
              </w:rPr>
            </w:pPr>
            <w:r w:rsidRPr="00B93EE1">
              <w:rPr>
                <w:sz w:val="14"/>
                <w:szCs w:val="14"/>
              </w:rPr>
              <w:t>Mobile voice call minutes (billion)</w:t>
            </w:r>
          </w:p>
        </w:tc>
        <w:tc>
          <w:tcPr>
            <w:tcW w:w="565" w:type="pct"/>
            <w:tcMar>
              <w:left w:w="85" w:type="dxa"/>
              <w:right w:w="85" w:type="dxa"/>
            </w:tcMar>
            <w:vAlign w:val="center"/>
          </w:tcPr>
          <w:p w14:paraId="3543523E" w14:textId="77777777" w:rsidR="00120717" w:rsidRPr="00B93EE1" w:rsidRDefault="00120717" w:rsidP="00BC7708">
            <w:pPr>
              <w:ind w:right="227"/>
              <w:jc w:val="right"/>
              <w:rPr>
                <w:sz w:val="14"/>
                <w:szCs w:val="14"/>
              </w:rPr>
            </w:pPr>
            <w:r w:rsidRPr="00B93EE1">
              <w:rPr>
                <w:sz w:val="14"/>
                <w:szCs w:val="14"/>
              </w:rPr>
              <w:t>5.30</w:t>
            </w:r>
          </w:p>
        </w:tc>
        <w:tc>
          <w:tcPr>
            <w:tcW w:w="565" w:type="pct"/>
            <w:tcMar>
              <w:left w:w="85" w:type="dxa"/>
              <w:right w:w="85" w:type="dxa"/>
            </w:tcMar>
            <w:vAlign w:val="center"/>
          </w:tcPr>
          <w:p w14:paraId="72B6DF99" w14:textId="77777777" w:rsidR="00120717" w:rsidRPr="00B93EE1" w:rsidRDefault="00120717" w:rsidP="00BC7708">
            <w:pPr>
              <w:ind w:right="227"/>
              <w:jc w:val="right"/>
              <w:rPr>
                <w:sz w:val="14"/>
                <w:szCs w:val="14"/>
              </w:rPr>
            </w:pPr>
            <w:r w:rsidRPr="00B93EE1">
              <w:rPr>
                <w:sz w:val="14"/>
                <w:szCs w:val="14"/>
              </w:rPr>
              <w:t>6.63</w:t>
            </w:r>
          </w:p>
        </w:tc>
        <w:tc>
          <w:tcPr>
            <w:tcW w:w="565" w:type="pct"/>
            <w:tcMar>
              <w:left w:w="85" w:type="dxa"/>
              <w:right w:w="85" w:type="dxa"/>
            </w:tcMar>
            <w:vAlign w:val="center"/>
          </w:tcPr>
          <w:p w14:paraId="6CACF0EF" w14:textId="77777777" w:rsidR="00120717" w:rsidRPr="00B93EE1" w:rsidRDefault="00120717" w:rsidP="00BC7708">
            <w:pPr>
              <w:ind w:right="227"/>
              <w:jc w:val="right"/>
              <w:rPr>
                <w:sz w:val="14"/>
                <w:szCs w:val="14"/>
              </w:rPr>
            </w:pPr>
            <w:r w:rsidRPr="00B93EE1">
              <w:rPr>
                <w:sz w:val="14"/>
                <w:szCs w:val="14"/>
              </w:rPr>
              <w:t>7.81</w:t>
            </w:r>
          </w:p>
        </w:tc>
        <w:tc>
          <w:tcPr>
            <w:tcW w:w="565" w:type="pct"/>
            <w:tcMar>
              <w:left w:w="85" w:type="dxa"/>
              <w:right w:w="85" w:type="dxa"/>
            </w:tcMar>
            <w:vAlign w:val="center"/>
          </w:tcPr>
          <w:p w14:paraId="41A3E082" w14:textId="77777777" w:rsidR="00120717" w:rsidRPr="00B93EE1" w:rsidRDefault="00120717" w:rsidP="00BC7708">
            <w:pPr>
              <w:ind w:right="227"/>
              <w:jc w:val="right"/>
              <w:rPr>
                <w:sz w:val="14"/>
                <w:szCs w:val="14"/>
              </w:rPr>
            </w:pPr>
            <w:r w:rsidRPr="00B93EE1">
              <w:rPr>
                <w:sz w:val="14"/>
                <w:szCs w:val="14"/>
              </w:rPr>
              <w:t>8.77</w:t>
            </w:r>
          </w:p>
        </w:tc>
        <w:tc>
          <w:tcPr>
            <w:tcW w:w="565" w:type="pct"/>
            <w:tcMar>
              <w:left w:w="85" w:type="dxa"/>
              <w:right w:w="85" w:type="dxa"/>
            </w:tcMar>
            <w:vAlign w:val="center"/>
          </w:tcPr>
          <w:p w14:paraId="46E8B36B" w14:textId="77777777" w:rsidR="00120717" w:rsidRPr="00B93EE1" w:rsidRDefault="00120717" w:rsidP="00BC7708">
            <w:pPr>
              <w:ind w:right="227"/>
              <w:jc w:val="right"/>
              <w:rPr>
                <w:sz w:val="14"/>
                <w:szCs w:val="14"/>
              </w:rPr>
            </w:pPr>
            <w:r w:rsidRPr="00B93EE1">
              <w:rPr>
                <w:sz w:val="14"/>
                <w:szCs w:val="14"/>
              </w:rPr>
              <w:t>9.34</w:t>
            </w:r>
          </w:p>
        </w:tc>
        <w:tc>
          <w:tcPr>
            <w:tcW w:w="565" w:type="pct"/>
            <w:tcMar>
              <w:left w:w="85" w:type="dxa"/>
              <w:right w:w="85" w:type="dxa"/>
            </w:tcMar>
            <w:vAlign w:val="center"/>
          </w:tcPr>
          <w:p w14:paraId="6837E1B1" w14:textId="77777777" w:rsidR="00120717" w:rsidRPr="00B93EE1" w:rsidRDefault="00120717" w:rsidP="00BC7708">
            <w:pPr>
              <w:ind w:right="227"/>
              <w:jc w:val="right"/>
              <w:rPr>
                <w:sz w:val="14"/>
                <w:szCs w:val="14"/>
              </w:rPr>
            </w:pPr>
            <w:r w:rsidRPr="00B93EE1">
              <w:rPr>
                <w:sz w:val="14"/>
                <w:szCs w:val="14"/>
              </w:rPr>
              <w:t>9.41</w:t>
            </w:r>
          </w:p>
        </w:tc>
        <w:tc>
          <w:tcPr>
            <w:tcW w:w="564" w:type="pct"/>
            <w:tcMar>
              <w:left w:w="85" w:type="dxa"/>
              <w:right w:w="85" w:type="dxa"/>
            </w:tcMar>
            <w:vAlign w:val="center"/>
          </w:tcPr>
          <w:p w14:paraId="42DA2AA1" w14:textId="77777777" w:rsidR="00120717" w:rsidRPr="00B93EE1" w:rsidRDefault="00120717" w:rsidP="00BC7708">
            <w:pPr>
              <w:ind w:right="227"/>
              <w:jc w:val="right"/>
              <w:rPr>
                <w:sz w:val="14"/>
                <w:szCs w:val="14"/>
              </w:rPr>
            </w:pPr>
            <w:r w:rsidRPr="00B93EE1">
              <w:rPr>
                <w:sz w:val="14"/>
                <w:szCs w:val="14"/>
              </w:rPr>
              <w:t>10.1</w:t>
            </w:r>
          </w:p>
        </w:tc>
      </w:tr>
      <w:tr w:rsidR="00120717" w:rsidRPr="00B93EE1" w14:paraId="6B3CFFB5" w14:textId="77777777" w:rsidTr="00E16269">
        <w:trPr>
          <w:cnfStyle w:val="000000010000" w:firstRow="0" w:lastRow="0" w:firstColumn="0" w:lastColumn="0" w:oddVBand="0" w:evenVBand="0" w:oddHBand="0" w:evenHBand="1" w:firstRowFirstColumn="0" w:firstRowLastColumn="0" w:lastRowFirstColumn="0" w:lastRowLastColumn="0"/>
        </w:trPr>
        <w:tc>
          <w:tcPr>
            <w:tcW w:w="1046" w:type="pct"/>
          </w:tcPr>
          <w:p w14:paraId="55F77675" w14:textId="77777777" w:rsidR="00120717" w:rsidRPr="00B93EE1" w:rsidRDefault="00120717" w:rsidP="00B37E7A">
            <w:pPr>
              <w:keepNext/>
              <w:keepLines/>
              <w:jc w:val="left"/>
              <w:rPr>
                <w:sz w:val="14"/>
                <w:szCs w:val="14"/>
              </w:rPr>
            </w:pPr>
            <w:r w:rsidRPr="00B93EE1">
              <w:rPr>
                <w:sz w:val="14"/>
                <w:szCs w:val="14"/>
              </w:rPr>
              <w:lastRenderedPageBreak/>
              <w:t>SMS messages sent (billion)</w:t>
            </w:r>
          </w:p>
        </w:tc>
        <w:tc>
          <w:tcPr>
            <w:tcW w:w="565" w:type="pct"/>
            <w:tcMar>
              <w:left w:w="85" w:type="dxa"/>
              <w:right w:w="85" w:type="dxa"/>
            </w:tcMar>
            <w:vAlign w:val="center"/>
          </w:tcPr>
          <w:p w14:paraId="118851CE" w14:textId="77777777" w:rsidR="00120717" w:rsidRPr="00B93EE1" w:rsidRDefault="00120717" w:rsidP="00B37E7A">
            <w:pPr>
              <w:keepNext/>
              <w:keepLines/>
              <w:ind w:right="227"/>
              <w:jc w:val="right"/>
              <w:rPr>
                <w:sz w:val="14"/>
                <w:szCs w:val="14"/>
              </w:rPr>
            </w:pPr>
            <w:r w:rsidRPr="00B93EE1">
              <w:rPr>
                <w:sz w:val="14"/>
                <w:szCs w:val="14"/>
              </w:rPr>
              <w:t>12.0</w:t>
            </w:r>
          </w:p>
        </w:tc>
        <w:tc>
          <w:tcPr>
            <w:tcW w:w="565" w:type="pct"/>
            <w:tcMar>
              <w:left w:w="85" w:type="dxa"/>
              <w:right w:w="85" w:type="dxa"/>
            </w:tcMar>
            <w:vAlign w:val="center"/>
          </w:tcPr>
          <w:p w14:paraId="35B70382" w14:textId="77777777" w:rsidR="00120717" w:rsidRPr="00B93EE1" w:rsidRDefault="00120717" w:rsidP="00B37E7A">
            <w:pPr>
              <w:keepNext/>
              <w:keepLines/>
              <w:ind w:right="227"/>
              <w:jc w:val="right"/>
              <w:rPr>
                <w:sz w:val="14"/>
                <w:szCs w:val="14"/>
              </w:rPr>
            </w:pPr>
            <w:r w:rsidRPr="00B93EE1">
              <w:rPr>
                <w:sz w:val="14"/>
                <w:szCs w:val="14"/>
              </w:rPr>
              <w:t>12.1</w:t>
            </w:r>
          </w:p>
        </w:tc>
        <w:tc>
          <w:tcPr>
            <w:tcW w:w="565" w:type="pct"/>
            <w:tcMar>
              <w:left w:w="85" w:type="dxa"/>
              <w:right w:w="85" w:type="dxa"/>
            </w:tcMar>
            <w:vAlign w:val="center"/>
          </w:tcPr>
          <w:p w14:paraId="490E6A7E" w14:textId="77777777" w:rsidR="00120717" w:rsidRPr="00B93EE1" w:rsidRDefault="00120717" w:rsidP="00B37E7A">
            <w:pPr>
              <w:keepNext/>
              <w:keepLines/>
              <w:ind w:right="227"/>
              <w:jc w:val="right"/>
              <w:rPr>
                <w:sz w:val="14"/>
                <w:szCs w:val="14"/>
              </w:rPr>
            </w:pPr>
            <w:r w:rsidRPr="00B93EE1">
              <w:rPr>
                <w:sz w:val="14"/>
                <w:szCs w:val="14"/>
              </w:rPr>
              <w:t>11.3</w:t>
            </w:r>
          </w:p>
        </w:tc>
        <w:tc>
          <w:tcPr>
            <w:tcW w:w="565" w:type="pct"/>
            <w:tcMar>
              <w:left w:w="85" w:type="dxa"/>
              <w:right w:w="85" w:type="dxa"/>
            </w:tcMar>
            <w:vAlign w:val="center"/>
          </w:tcPr>
          <w:p w14:paraId="49183C90" w14:textId="77777777" w:rsidR="00120717" w:rsidRPr="00B93EE1" w:rsidRDefault="00120717" w:rsidP="00B37E7A">
            <w:pPr>
              <w:keepNext/>
              <w:keepLines/>
              <w:ind w:right="227"/>
              <w:jc w:val="right"/>
              <w:rPr>
                <w:sz w:val="14"/>
                <w:szCs w:val="14"/>
              </w:rPr>
            </w:pPr>
            <w:r w:rsidRPr="00B93EE1">
              <w:rPr>
                <w:sz w:val="14"/>
                <w:szCs w:val="14"/>
              </w:rPr>
              <w:t>9.2</w:t>
            </w:r>
          </w:p>
        </w:tc>
        <w:tc>
          <w:tcPr>
            <w:tcW w:w="565" w:type="pct"/>
            <w:tcMar>
              <w:left w:w="85" w:type="dxa"/>
              <w:right w:w="85" w:type="dxa"/>
            </w:tcMar>
            <w:vAlign w:val="center"/>
          </w:tcPr>
          <w:p w14:paraId="41D84385" w14:textId="77777777" w:rsidR="00120717" w:rsidRPr="00B93EE1" w:rsidRDefault="00120717" w:rsidP="00B37E7A">
            <w:pPr>
              <w:keepNext/>
              <w:keepLines/>
              <w:ind w:right="227"/>
              <w:jc w:val="right"/>
              <w:rPr>
                <w:sz w:val="14"/>
                <w:szCs w:val="14"/>
              </w:rPr>
            </w:pPr>
            <w:r w:rsidRPr="00B93EE1">
              <w:rPr>
                <w:sz w:val="14"/>
                <w:szCs w:val="14"/>
              </w:rPr>
              <w:t>8.8</w:t>
            </w:r>
          </w:p>
        </w:tc>
        <w:tc>
          <w:tcPr>
            <w:tcW w:w="565" w:type="pct"/>
            <w:tcMar>
              <w:left w:w="85" w:type="dxa"/>
              <w:right w:w="85" w:type="dxa"/>
            </w:tcMar>
            <w:vAlign w:val="center"/>
          </w:tcPr>
          <w:p w14:paraId="20A30BAD" w14:textId="77777777" w:rsidR="00120717" w:rsidRPr="00B93EE1" w:rsidRDefault="00120717" w:rsidP="00B37E7A">
            <w:pPr>
              <w:keepNext/>
              <w:keepLines/>
              <w:ind w:right="227"/>
              <w:jc w:val="right"/>
              <w:rPr>
                <w:sz w:val="14"/>
                <w:szCs w:val="14"/>
              </w:rPr>
            </w:pPr>
            <w:r w:rsidRPr="00B93EE1">
              <w:rPr>
                <w:sz w:val="14"/>
                <w:szCs w:val="14"/>
              </w:rPr>
              <w:t>8.1</w:t>
            </w:r>
          </w:p>
        </w:tc>
        <w:tc>
          <w:tcPr>
            <w:tcW w:w="564" w:type="pct"/>
            <w:tcMar>
              <w:left w:w="85" w:type="dxa"/>
              <w:right w:w="85" w:type="dxa"/>
            </w:tcMar>
            <w:vAlign w:val="center"/>
          </w:tcPr>
          <w:p w14:paraId="2A03B4D4" w14:textId="77777777" w:rsidR="00120717" w:rsidRPr="00B93EE1" w:rsidRDefault="00120717" w:rsidP="00B37E7A">
            <w:pPr>
              <w:keepNext/>
              <w:keepLines/>
              <w:ind w:right="227"/>
              <w:jc w:val="right"/>
              <w:rPr>
                <w:sz w:val="14"/>
                <w:szCs w:val="14"/>
              </w:rPr>
            </w:pPr>
            <w:r w:rsidRPr="00B93EE1">
              <w:rPr>
                <w:sz w:val="14"/>
                <w:szCs w:val="14"/>
              </w:rPr>
              <w:t>7.3</w:t>
            </w:r>
          </w:p>
        </w:tc>
      </w:tr>
      <w:tr w:rsidR="00120717" w:rsidRPr="00B93EE1" w14:paraId="12FABD68" w14:textId="77777777" w:rsidTr="00E16269">
        <w:tc>
          <w:tcPr>
            <w:tcW w:w="1046" w:type="pct"/>
          </w:tcPr>
          <w:p w14:paraId="1E2AA2AA" w14:textId="77777777" w:rsidR="00120717" w:rsidRPr="00B93EE1" w:rsidRDefault="00120717" w:rsidP="00B37E7A">
            <w:pPr>
              <w:keepNext/>
              <w:keepLines/>
              <w:jc w:val="left"/>
              <w:rPr>
                <w:sz w:val="14"/>
                <w:szCs w:val="14"/>
              </w:rPr>
            </w:pPr>
            <w:r w:rsidRPr="00B93EE1">
              <w:rPr>
                <w:sz w:val="14"/>
                <w:szCs w:val="14"/>
              </w:rPr>
              <w:t>Total mobile retail revenues</w:t>
            </w:r>
          </w:p>
          <w:p w14:paraId="64AF1A6A" w14:textId="77777777" w:rsidR="00120717" w:rsidRPr="00B93EE1" w:rsidRDefault="00120717" w:rsidP="00B37E7A">
            <w:pPr>
              <w:keepNext/>
              <w:keepLines/>
              <w:jc w:val="left"/>
              <w:rPr>
                <w:sz w:val="14"/>
                <w:szCs w:val="14"/>
              </w:rPr>
            </w:pPr>
            <w:r w:rsidRPr="00B93EE1">
              <w:rPr>
                <w:sz w:val="14"/>
                <w:szCs w:val="14"/>
              </w:rPr>
              <w:t>(NZD billion)</w:t>
            </w:r>
          </w:p>
        </w:tc>
        <w:tc>
          <w:tcPr>
            <w:tcW w:w="565" w:type="pct"/>
            <w:tcMar>
              <w:left w:w="85" w:type="dxa"/>
              <w:right w:w="85" w:type="dxa"/>
            </w:tcMar>
            <w:vAlign w:val="center"/>
          </w:tcPr>
          <w:p w14:paraId="2C95395D" w14:textId="77777777" w:rsidR="00120717" w:rsidRPr="00B93EE1" w:rsidRDefault="00120717" w:rsidP="00B37E7A">
            <w:pPr>
              <w:keepNext/>
              <w:keepLines/>
              <w:ind w:right="227"/>
              <w:jc w:val="right"/>
              <w:rPr>
                <w:sz w:val="14"/>
                <w:szCs w:val="14"/>
              </w:rPr>
            </w:pPr>
            <w:r w:rsidRPr="00B93EE1">
              <w:rPr>
                <w:sz w:val="14"/>
                <w:szCs w:val="14"/>
              </w:rPr>
              <w:t>2.49</w:t>
            </w:r>
          </w:p>
        </w:tc>
        <w:tc>
          <w:tcPr>
            <w:tcW w:w="565" w:type="pct"/>
            <w:tcMar>
              <w:left w:w="85" w:type="dxa"/>
              <w:right w:w="85" w:type="dxa"/>
            </w:tcMar>
            <w:vAlign w:val="center"/>
          </w:tcPr>
          <w:p w14:paraId="73C66AFD" w14:textId="77777777" w:rsidR="00120717" w:rsidRPr="00B93EE1" w:rsidRDefault="00120717" w:rsidP="00B37E7A">
            <w:pPr>
              <w:keepNext/>
              <w:keepLines/>
              <w:ind w:right="227"/>
              <w:jc w:val="right"/>
              <w:rPr>
                <w:sz w:val="14"/>
                <w:szCs w:val="14"/>
              </w:rPr>
            </w:pPr>
            <w:r w:rsidRPr="00B93EE1">
              <w:rPr>
                <w:sz w:val="14"/>
                <w:szCs w:val="14"/>
              </w:rPr>
              <w:t>2.54</w:t>
            </w:r>
          </w:p>
        </w:tc>
        <w:tc>
          <w:tcPr>
            <w:tcW w:w="565" w:type="pct"/>
            <w:tcMar>
              <w:left w:w="85" w:type="dxa"/>
              <w:right w:w="85" w:type="dxa"/>
            </w:tcMar>
            <w:vAlign w:val="center"/>
          </w:tcPr>
          <w:p w14:paraId="1E0373AF" w14:textId="77777777" w:rsidR="00120717" w:rsidRPr="00B93EE1" w:rsidRDefault="00120717" w:rsidP="00B37E7A">
            <w:pPr>
              <w:keepNext/>
              <w:keepLines/>
              <w:ind w:right="227"/>
              <w:jc w:val="right"/>
              <w:rPr>
                <w:sz w:val="14"/>
                <w:szCs w:val="14"/>
              </w:rPr>
            </w:pPr>
            <w:r w:rsidRPr="00B93EE1">
              <w:rPr>
                <w:sz w:val="14"/>
                <w:szCs w:val="14"/>
              </w:rPr>
              <w:t>2.68</w:t>
            </w:r>
          </w:p>
        </w:tc>
        <w:tc>
          <w:tcPr>
            <w:tcW w:w="565" w:type="pct"/>
            <w:tcMar>
              <w:left w:w="85" w:type="dxa"/>
              <w:right w:w="85" w:type="dxa"/>
            </w:tcMar>
            <w:vAlign w:val="center"/>
          </w:tcPr>
          <w:p w14:paraId="0579B926" w14:textId="77777777" w:rsidR="00120717" w:rsidRPr="00B93EE1" w:rsidRDefault="00120717" w:rsidP="00B37E7A">
            <w:pPr>
              <w:keepNext/>
              <w:keepLines/>
              <w:ind w:right="227"/>
              <w:jc w:val="right"/>
              <w:rPr>
                <w:sz w:val="14"/>
                <w:szCs w:val="14"/>
              </w:rPr>
            </w:pPr>
            <w:r w:rsidRPr="00B93EE1">
              <w:rPr>
                <w:sz w:val="14"/>
                <w:szCs w:val="14"/>
              </w:rPr>
              <w:t>2.75</w:t>
            </w:r>
          </w:p>
        </w:tc>
        <w:tc>
          <w:tcPr>
            <w:tcW w:w="565" w:type="pct"/>
            <w:tcMar>
              <w:left w:w="85" w:type="dxa"/>
              <w:right w:w="85" w:type="dxa"/>
            </w:tcMar>
            <w:vAlign w:val="center"/>
          </w:tcPr>
          <w:p w14:paraId="29C09F9A" w14:textId="77777777" w:rsidR="00120717" w:rsidRPr="00B93EE1" w:rsidRDefault="00120717" w:rsidP="00B37E7A">
            <w:pPr>
              <w:keepNext/>
              <w:keepLines/>
              <w:ind w:right="227"/>
              <w:jc w:val="right"/>
              <w:rPr>
                <w:sz w:val="14"/>
                <w:szCs w:val="14"/>
              </w:rPr>
            </w:pPr>
            <w:r w:rsidRPr="00B93EE1">
              <w:rPr>
                <w:sz w:val="14"/>
                <w:szCs w:val="14"/>
              </w:rPr>
              <w:t>2.83</w:t>
            </w:r>
          </w:p>
        </w:tc>
        <w:tc>
          <w:tcPr>
            <w:tcW w:w="565" w:type="pct"/>
            <w:tcMar>
              <w:left w:w="85" w:type="dxa"/>
              <w:right w:w="85" w:type="dxa"/>
            </w:tcMar>
            <w:vAlign w:val="center"/>
          </w:tcPr>
          <w:p w14:paraId="5DB7A4A5" w14:textId="77777777" w:rsidR="00120717" w:rsidRPr="00B93EE1" w:rsidRDefault="00120717" w:rsidP="00B37E7A">
            <w:pPr>
              <w:keepNext/>
              <w:keepLines/>
              <w:ind w:right="227"/>
              <w:jc w:val="right"/>
              <w:rPr>
                <w:sz w:val="14"/>
                <w:szCs w:val="14"/>
              </w:rPr>
            </w:pPr>
            <w:r w:rsidRPr="00B93EE1">
              <w:rPr>
                <w:sz w:val="14"/>
                <w:szCs w:val="14"/>
              </w:rPr>
              <w:t>2.83</w:t>
            </w:r>
          </w:p>
        </w:tc>
        <w:tc>
          <w:tcPr>
            <w:tcW w:w="564" w:type="pct"/>
            <w:tcMar>
              <w:left w:w="85" w:type="dxa"/>
              <w:right w:w="85" w:type="dxa"/>
            </w:tcMar>
            <w:vAlign w:val="center"/>
          </w:tcPr>
          <w:p w14:paraId="693435A4" w14:textId="77777777" w:rsidR="00120717" w:rsidRPr="00B93EE1" w:rsidRDefault="00120717" w:rsidP="00B37E7A">
            <w:pPr>
              <w:keepNext/>
              <w:keepLines/>
              <w:ind w:right="227"/>
              <w:jc w:val="right"/>
              <w:rPr>
                <w:sz w:val="14"/>
                <w:szCs w:val="14"/>
              </w:rPr>
            </w:pPr>
            <w:r w:rsidRPr="00B93EE1">
              <w:rPr>
                <w:sz w:val="14"/>
                <w:szCs w:val="14"/>
              </w:rPr>
              <w:t>2.74</w:t>
            </w:r>
          </w:p>
        </w:tc>
      </w:tr>
    </w:tbl>
    <w:p w14:paraId="3840F6AE" w14:textId="77777777" w:rsidR="00120717" w:rsidRPr="00B93EE1" w:rsidRDefault="00120717" w:rsidP="00B37E7A">
      <w:pPr>
        <w:pStyle w:val="NoteText"/>
        <w:keepNext/>
        <w:keepLines/>
        <w:spacing w:before="120"/>
      </w:pPr>
      <w:r w:rsidRPr="00B93EE1">
        <w:t>a</w:t>
      </w:r>
      <w:r w:rsidRPr="00B93EE1">
        <w:tab/>
        <w:t>Pre-pay connections for all years are counted as those active in the prior six months.</w:t>
      </w:r>
    </w:p>
    <w:p w14:paraId="2F443805" w14:textId="77777777" w:rsidR="00120717" w:rsidRPr="00B93EE1" w:rsidRDefault="00120717" w:rsidP="00B37E7A">
      <w:pPr>
        <w:pStyle w:val="NoteText"/>
        <w:keepNext/>
        <w:keepLines/>
        <w:spacing w:before="120" w:after="240"/>
      </w:pPr>
      <w:r w:rsidRPr="00B93EE1">
        <w:t>Source:</w:t>
      </w:r>
      <w:r w:rsidRPr="00B93EE1">
        <w:tab/>
        <w:t xml:space="preserve">Commerce Commission (2021), </w:t>
      </w:r>
      <w:r w:rsidRPr="00B93EE1">
        <w:rPr>
          <w:i/>
          <w:iCs/>
        </w:rPr>
        <w:t>Annual Telecommunications Monitoring Report: 2020 Key Facts</w:t>
      </w:r>
      <w:r w:rsidRPr="00B93EE1">
        <w:t xml:space="preserve">. Viewed at: </w:t>
      </w:r>
      <w:hyperlink r:id="rId43" w:history="1">
        <w:r w:rsidRPr="00B93EE1">
          <w:rPr>
            <w:rStyle w:val="Hyperlink"/>
          </w:rPr>
          <w:t>https://comcom.govt.nz/__data/assets/pdf_file/0030/247377/2020-Annual-Telecommunications-Monitoring-Report-Revised-version-16-March-2021.pdf</w:t>
        </w:r>
      </w:hyperlink>
      <w:r w:rsidRPr="00B93EE1">
        <w:t xml:space="preserve">. </w:t>
      </w:r>
    </w:p>
    <w:p w14:paraId="6725E43E" w14:textId="77777777" w:rsidR="00120717" w:rsidRPr="00F64A35" w:rsidRDefault="00120717" w:rsidP="008B54EB">
      <w:pPr>
        <w:pStyle w:val="BodyText"/>
      </w:pPr>
      <w:r w:rsidRPr="00B93EE1">
        <w:t>The COVID</w:t>
      </w:r>
      <w:r w:rsidRPr="00B93EE1">
        <w:noBreakHyphen/>
        <w:t>19 crisis affected the telecommunications sector through several channels. It accelerated growth in fixed broadband data usage, as average fixed broadband usage per month increased by 77 GB in 2020 to 284 GB (a growth rate of 37% compared to 2019 when the growth rate was 15%). In the mobile communications industry, travel restrictions led to total mobile roaming revenue dropping 15% to NZD 96.6 million in the year ending 30 June 2020. Revenue from domestic customers roaming overseas fell by 20%, while revenue from subscribers of overseas networks roaming in New Zealand increased 2% in 2019.</w:t>
      </w:r>
      <w:r w:rsidRPr="00B93EE1">
        <w:rPr>
          <w:vertAlign w:val="superscript"/>
        </w:rPr>
        <w:footnoteReference w:id="397"/>
      </w:r>
    </w:p>
    <w:p w14:paraId="33B202DA" w14:textId="45062955" w:rsidR="00120717" w:rsidRPr="00F64A35" w:rsidRDefault="00120717" w:rsidP="008B54EB">
      <w:pPr>
        <w:pStyle w:val="BodyText"/>
      </w:pPr>
      <w:r w:rsidRPr="00B93EE1">
        <w:t>New Zealand's telecommunications sector hosts a number of privately owned companies. The state investment is used, in complement to private investments, to provide infrastructure. Under the Government's Ultra-Fast Broadband (</w:t>
      </w:r>
      <w:proofErr w:type="spellStart"/>
      <w:r w:rsidRPr="00B93EE1">
        <w:t>UFB</w:t>
      </w:r>
      <w:proofErr w:type="spellEnd"/>
      <w:r w:rsidRPr="00B93EE1">
        <w:t xml:space="preserve">) initiative, Crown Infrastructure Partners (CIP) is an agency in place to manage government investments to provide 85% of New Zealanders with broadband connections offering 100 Mbps download speeds and 50 Mbps upload speed. To deploy a fibre network under the </w:t>
      </w:r>
      <w:proofErr w:type="spellStart"/>
      <w:r w:rsidRPr="00B93EE1">
        <w:t>UFB</w:t>
      </w:r>
      <w:proofErr w:type="spellEnd"/>
      <w:r w:rsidRPr="00B93EE1">
        <w:t xml:space="preserve"> programme, CIP entered into contracts with Chorus, </w:t>
      </w:r>
      <w:proofErr w:type="spellStart"/>
      <w:r w:rsidRPr="00B93EE1">
        <w:t>Tutahi</w:t>
      </w:r>
      <w:proofErr w:type="spellEnd"/>
      <w:r w:rsidRPr="00B93EE1">
        <w:t xml:space="preserve"> First Fibre, </w:t>
      </w:r>
      <w:proofErr w:type="spellStart"/>
      <w:r w:rsidRPr="00B93EE1">
        <w:t>Northpower</w:t>
      </w:r>
      <w:proofErr w:type="spellEnd"/>
      <w:r w:rsidRPr="00B93EE1">
        <w:t xml:space="preserve">, and Enable Services Limited (ESL). The most-used </w:t>
      </w:r>
      <w:proofErr w:type="spellStart"/>
      <w:r w:rsidRPr="00B93EE1">
        <w:t>UFB</w:t>
      </w:r>
      <w:proofErr w:type="spellEnd"/>
      <w:r w:rsidRPr="00B93EE1">
        <w:t xml:space="preserve"> service types in New Zealand are Gigabit Passive Optical Network (</w:t>
      </w:r>
      <w:proofErr w:type="spellStart"/>
      <w:r w:rsidRPr="00B93EE1">
        <w:t>GPON</w:t>
      </w:r>
      <w:proofErr w:type="spellEnd"/>
      <w:r w:rsidRPr="00B93EE1">
        <w:t xml:space="preserve">) and Point to Point (P2P). Chorus is contracted by the Crown for deploying about 70% of the </w:t>
      </w:r>
      <w:proofErr w:type="spellStart"/>
      <w:r w:rsidRPr="00B93EE1">
        <w:t>UFB</w:t>
      </w:r>
      <w:proofErr w:type="spellEnd"/>
      <w:r w:rsidRPr="00B93EE1">
        <w:t xml:space="preserve"> network infrastructure and owns the copper line network throughout New Zealand. Chorus is a publicly listed company. The Crown provided investment funding for the </w:t>
      </w:r>
      <w:proofErr w:type="spellStart"/>
      <w:r w:rsidRPr="00B93EE1">
        <w:t>UFB</w:t>
      </w:r>
      <w:proofErr w:type="spellEnd"/>
      <w:r w:rsidRPr="00B93EE1">
        <w:t xml:space="preserve"> programme through equity and debt instruments with Chorus and three other fibre companies (</w:t>
      </w:r>
      <w:proofErr w:type="spellStart"/>
      <w:r w:rsidRPr="00B93EE1">
        <w:t>Tutahi</w:t>
      </w:r>
      <w:proofErr w:type="spellEnd"/>
      <w:r w:rsidRPr="00B93EE1">
        <w:t xml:space="preserve"> First Fibre, </w:t>
      </w:r>
      <w:proofErr w:type="spellStart"/>
      <w:r w:rsidRPr="00B93EE1">
        <w:t>Northpower</w:t>
      </w:r>
      <w:proofErr w:type="spellEnd"/>
      <w:r w:rsidRPr="00B93EE1">
        <w:t xml:space="preserve">, and ESL) deploying the </w:t>
      </w:r>
      <w:proofErr w:type="spellStart"/>
      <w:r w:rsidRPr="00B93EE1">
        <w:t>UFB</w:t>
      </w:r>
      <w:proofErr w:type="spellEnd"/>
      <w:r w:rsidRPr="00B93EE1">
        <w:t xml:space="preserve"> infrastructure. The four</w:t>
      </w:r>
      <w:r w:rsidR="00681C42">
        <w:t> </w:t>
      </w:r>
      <w:r w:rsidRPr="00B93EE1">
        <w:t>companies act as wholesalers for broadband connectivity, with Retail Service Providers (</w:t>
      </w:r>
      <w:proofErr w:type="spellStart"/>
      <w:r w:rsidRPr="00B93EE1">
        <w:t>RSPs</w:t>
      </w:r>
      <w:proofErr w:type="spellEnd"/>
      <w:r w:rsidRPr="00B93EE1">
        <w:t>) providing services to end-user customers. The wholesaler companies are prohibited from providing retail services. The Telecommunications (New Regulatory Framework) Amendment Act 2018 has provisions allowing Chorus to withdraw wholesale copper services only in areas where fibre already exists under certain conditions. In areas where fibre is not currently available, Chorus must continue to supply wholesale copper services. A Copper Withdrawal Code sets out the minimum requirements Chorus must meet before it can stop providing wholesale copper phone and broadband services.</w:t>
      </w:r>
      <w:r w:rsidRPr="00B93EE1">
        <w:rPr>
          <w:rStyle w:val="FootnoteReference"/>
        </w:rPr>
        <w:footnoteReference w:id="398"/>
      </w:r>
      <w:r w:rsidRPr="00B93EE1">
        <w:t xml:space="preserve"> The retail market for </w:t>
      </w:r>
      <w:proofErr w:type="spellStart"/>
      <w:r w:rsidRPr="00B93EE1">
        <w:t>UFB</w:t>
      </w:r>
      <w:proofErr w:type="spellEnd"/>
      <w:r w:rsidRPr="00B93EE1">
        <w:t xml:space="preserve"> services is competitive, with numerous </w:t>
      </w:r>
      <w:proofErr w:type="spellStart"/>
      <w:r w:rsidRPr="00B93EE1">
        <w:t>RSPs</w:t>
      </w:r>
      <w:proofErr w:type="spellEnd"/>
      <w:r w:rsidRPr="00B93EE1">
        <w:t xml:space="preserve"> providing services on the network.</w:t>
      </w:r>
    </w:p>
    <w:p w14:paraId="4F24475A" w14:textId="77777777" w:rsidR="00120717" w:rsidRPr="00F64A35" w:rsidRDefault="00120717" w:rsidP="008B54EB">
      <w:pPr>
        <w:pStyle w:val="BodyText"/>
      </w:pPr>
      <w:r w:rsidRPr="00B93EE1">
        <w:t>There are three major international fibre submarine cables: (</w:t>
      </w:r>
      <w:proofErr w:type="spellStart"/>
      <w:r w:rsidRPr="00B93EE1">
        <w:t>i</w:t>
      </w:r>
      <w:proofErr w:type="spellEnd"/>
      <w:r w:rsidRPr="00B93EE1">
        <w:t>) the Southern Cross Cable, the only major cable in New Zealand between 2000 and 2018, and owned by Southern Cross Cables Limited, a partnership between telecommunications providers in New Zealand, Australia, and the United States; (ii) the Tasman Global Access, connecting New Zealand to Australia, and owned by Spark, Vodafone, and Telstra; and (iii) the Hawaiki Submarine Cable, connecting New Zealand to the United States; whose development was supported by the Government in 2018.</w:t>
      </w:r>
    </w:p>
    <w:p w14:paraId="3DD21F96" w14:textId="77777777" w:rsidR="00120717" w:rsidRPr="00F64A35" w:rsidRDefault="00120717" w:rsidP="008B54EB">
      <w:pPr>
        <w:pStyle w:val="BodyText"/>
      </w:pPr>
      <w:r w:rsidRPr="00B93EE1">
        <w:t xml:space="preserve">Spark New Zealand is the major player in the fixed-line market, providing nationwide voice and broadband services over the copper-wire network. Vodafone owned the cable broadband network covering much of Wellington and Christchurch and also used unbundled copper-wire local loops and resale services to offer fixed-line retail services in other parts of the country. Other telecommunications retailers also access Chorus's copper lines and electronic equipment to provide broadband services. As at end-March 2020, the estimated shares of the retail fixed-line broadband </w:t>
      </w:r>
      <w:r w:rsidRPr="00B93EE1">
        <w:lastRenderedPageBreak/>
        <w:t xml:space="preserve">market by connection were Spark (including its sub-brand Skinny) (40%), Vodafone (21%), </w:t>
      </w:r>
      <w:proofErr w:type="spellStart"/>
      <w:r w:rsidRPr="00B93EE1">
        <w:t>Vocus</w:t>
      </w:r>
      <w:proofErr w:type="spellEnd"/>
      <w:r w:rsidRPr="00B93EE1">
        <w:t xml:space="preserve"> (13%), 2degrees (7%), </w:t>
      </w:r>
      <w:proofErr w:type="spellStart"/>
      <w:r w:rsidRPr="00B93EE1">
        <w:t>Trustpower</w:t>
      </w:r>
      <w:proofErr w:type="spellEnd"/>
      <w:r w:rsidRPr="00B93EE1">
        <w:t xml:space="preserve"> (6%), and others (13%).</w:t>
      </w:r>
      <w:r w:rsidRPr="00B93EE1">
        <w:rPr>
          <w:rStyle w:val="FootnoteReference"/>
        </w:rPr>
        <w:footnoteReference w:id="399"/>
      </w:r>
    </w:p>
    <w:p w14:paraId="411299CE" w14:textId="77777777" w:rsidR="00120717" w:rsidRPr="00F64A35" w:rsidRDefault="00120717" w:rsidP="00F64A35">
      <w:pPr>
        <w:pStyle w:val="BodyText"/>
      </w:pPr>
      <w:r w:rsidRPr="00B93EE1">
        <w:t>The mobile networks are owned by Spark, Vodafone, and 2degrees.</w:t>
      </w:r>
      <w:r w:rsidRPr="00B93EE1">
        <w:rPr>
          <w:vertAlign w:val="superscript"/>
        </w:rPr>
        <w:footnoteReference w:id="400"/>
      </w:r>
      <w:r w:rsidRPr="00B93EE1">
        <w:t xml:space="preserve"> Alongside these mobile network operators, there are a small number of mobile service providers that operate as mobile virtual network operators (MVNOs). In 2020, both Spark and Vodafone had 40% of total mobile connections, followed by 2degrees (19%); the aggregate share of the MVNOs was 1.4%. Most mobile service providers in New Zealand use predominantly 3G or 4G networks.</w:t>
      </w:r>
    </w:p>
    <w:p w14:paraId="01A3454A" w14:textId="77777777" w:rsidR="00120717" w:rsidRPr="00F64A35" w:rsidRDefault="00120717" w:rsidP="008B54EB">
      <w:pPr>
        <w:pStyle w:val="BodyText"/>
      </w:pPr>
      <w:r w:rsidRPr="00B93EE1">
        <w:t>Vodafone launched New Zealand's first 5G network in December 2019 in parts of Auckland, Wellington, Christchurch, and Queenstown. In May 2020, spectrum rights for 5G networks were allocated through a direct allocation process. Offers were made to Dense Air (a United Kingdom</w:t>
      </w:r>
      <w:r w:rsidRPr="00B93EE1">
        <w:noBreakHyphen/>
        <w:t>based company), Spark, and 2degrees. Vodafone has already enough mid</w:t>
      </w:r>
      <w:r w:rsidRPr="00B93EE1">
        <w:noBreakHyphen/>
        <w:t>band spectrum. While Spark currently has 5G locations in Auckland, Christchurch, Hamilton, Dunedin, New Plymouth, and Palmerston North, it announced in August 2021 that it will invest an additional NZD 35 million to accelerate its 5G roll-out to deliver 5G coverage to approximately 90% of the population by the end of 2023. According to the authorities, all three major mobile network operators have commenced deployment of 5G cellular network infrastructure. A draft strategy on the management of spectrum for the next five years published by the Government is currently being publicly consulted.</w:t>
      </w:r>
      <w:r w:rsidRPr="00B93EE1">
        <w:rPr>
          <w:vertAlign w:val="superscript"/>
        </w:rPr>
        <w:footnoteReference w:id="401"/>
      </w:r>
    </w:p>
    <w:p w14:paraId="6FA5C600" w14:textId="77777777" w:rsidR="00120717" w:rsidRPr="00F64A35" w:rsidRDefault="00120717" w:rsidP="008B54EB">
      <w:pPr>
        <w:pStyle w:val="BodyText"/>
      </w:pPr>
      <w:r w:rsidRPr="00B93EE1">
        <w:t>In 2019, the Commerce Commission published a study on New Zealand mobile markets to better understand the state of competition. It highlighted the fact that increased competition has contributed to improved outcomes for consumers through lower prices, increasing quality, and greater choice of services.</w:t>
      </w:r>
      <w:r w:rsidRPr="00B93EE1">
        <w:rPr>
          <w:vertAlign w:val="superscript"/>
        </w:rPr>
        <w:footnoteReference w:id="402"/>
      </w:r>
    </w:p>
    <w:p w14:paraId="45A9EEF4" w14:textId="77777777" w:rsidR="00120717" w:rsidRPr="00F64A35" w:rsidRDefault="00120717" w:rsidP="008B54EB">
      <w:pPr>
        <w:pStyle w:val="BodyText"/>
      </w:pPr>
      <w:r w:rsidRPr="00B93EE1">
        <w:t>According to the 2020 Annual Telecommunications Monitoring Report, in 2020, New Zealand's mobile prices were below the OECD average for the entry-level and medium-user categories, but above the OECD average for the high-user and ultra-high-user categories. The average price of high-speed fixed broadband plans dropped in 2020 but remained higher than the OECD average; the ultra-high-user category is the only broadband and voice bundle category where New Zealand prices are cheaper than the OECD average</w:t>
      </w:r>
      <w:r w:rsidRPr="00B93EE1">
        <w:rPr>
          <w:bCs/>
        </w:rPr>
        <w:t>. The authorities indicate that mobile termination is self-regulated through commercial contracts between network operators.</w:t>
      </w:r>
    </w:p>
    <w:p w14:paraId="2340DCE3" w14:textId="77777777" w:rsidR="00120717" w:rsidRPr="00F64A35" w:rsidRDefault="00120717" w:rsidP="00C14395">
      <w:pPr>
        <w:pStyle w:val="Heading4"/>
      </w:pPr>
      <w:bookmarkStart w:id="249" w:name="_Toc97800209"/>
      <w:r w:rsidRPr="00B93EE1">
        <w:t>Regulatory regime</w:t>
      </w:r>
      <w:bookmarkEnd w:id="249"/>
    </w:p>
    <w:p w14:paraId="0A66A691" w14:textId="77777777" w:rsidR="00120717" w:rsidRPr="00F64A35" w:rsidRDefault="00120717" w:rsidP="008B54EB">
      <w:pPr>
        <w:pStyle w:val="BodyText"/>
      </w:pPr>
      <w:r w:rsidRPr="00B93EE1">
        <w:t xml:space="preserve">The sector continued to be governed by the Telecommunications Act 2001 and associated regulations. However, on 18 April 2017, the Act was amended, through the Telecommunications (Property Access and Other Matters) Amendment Act 2017, to make it easier for people living in multi-unit building or those using a shared driveway to connect to </w:t>
      </w:r>
      <w:proofErr w:type="spellStart"/>
      <w:r w:rsidRPr="00B93EE1">
        <w:t>UFB</w:t>
      </w:r>
      <w:proofErr w:type="spellEnd"/>
      <w:r w:rsidRPr="00B93EE1">
        <w:t xml:space="preserve"> in cases involving shared property. The Amendment also sets out fibre installation methods and requirements that enable the new property access regime. It also created a dispute resolution scheme to deal with contentious issues involving property owners and consumers to use. In July 2017, the Minister for Communications appointed Utilities Disputes Limited as the approved scheme provider.</w:t>
      </w:r>
      <w:r w:rsidRPr="00B93EE1">
        <w:rPr>
          <w:vertAlign w:val="superscript"/>
        </w:rPr>
        <w:footnoteReference w:id="403"/>
      </w:r>
    </w:p>
    <w:p w14:paraId="1F10C1B3" w14:textId="77777777" w:rsidR="00120717" w:rsidRPr="00F64A35" w:rsidRDefault="00120717" w:rsidP="00B37E7A">
      <w:pPr>
        <w:pStyle w:val="BodyText"/>
        <w:keepNext/>
        <w:keepLines/>
      </w:pPr>
      <w:r w:rsidRPr="00B93EE1">
        <w:lastRenderedPageBreak/>
        <w:t xml:space="preserve">In addition, on 12 November 2018, the Telecommunications (New Regulatory Framework) Amendment Act 2018 reformed the wholesale fibre services, through establishing a new regulatory framework for </w:t>
      </w:r>
      <w:proofErr w:type="spellStart"/>
      <w:r w:rsidRPr="00B93EE1">
        <w:t>UFB</w:t>
      </w:r>
      <w:proofErr w:type="spellEnd"/>
      <w:r w:rsidRPr="00B93EE1">
        <w:t xml:space="preserve"> fibre; the deregulation of copper fixed-line access services in areas where fibre services are available to consumers, while retaining regulation in areas where fibre is not available; and the increase of regulatory oversight to improve quality of service.</w:t>
      </w:r>
      <w:r w:rsidRPr="00B93EE1">
        <w:rPr>
          <w:vertAlign w:val="superscript"/>
        </w:rPr>
        <w:footnoteReference w:id="404"/>
      </w:r>
    </w:p>
    <w:p w14:paraId="60E3AC45" w14:textId="77777777" w:rsidR="00120717" w:rsidRPr="00F64A35" w:rsidRDefault="00120717" w:rsidP="008B54EB">
      <w:pPr>
        <w:pStyle w:val="BodyText"/>
      </w:pPr>
      <w:r w:rsidRPr="00B93EE1">
        <w:t xml:space="preserve">The institutional framework did not change during the review period. The </w:t>
      </w:r>
      <w:proofErr w:type="spellStart"/>
      <w:r w:rsidRPr="00B93EE1">
        <w:t>MBIE</w:t>
      </w:r>
      <w:proofErr w:type="spellEnd"/>
      <w:r w:rsidRPr="00B93EE1">
        <w:t xml:space="preserve"> is responsible for establishing the telecommunications regulatory environment, including setting the rules within which telecommunications companies operate and for the product compliance framework. </w:t>
      </w:r>
      <w:r w:rsidRPr="00B93EE1">
        <w:rPr>
          <w:rFonts w:cs="Verdana"/>
          <w:szCs w:val="18"/>
        </w:rPr>
        <w:t>The Commerce Commission is responsible for overseeing competition in the telecommunications market and regulating certain telecommunication services. It can recommend that services be regulated or deregulated. The Commission may also set the terms and conditions (including prices) for regulated services through Standard Terms Determinations. It also has powers to request that industry-wide services (e.g. number portability) be made available, impose information disclosure requirements, and enforce structural remedies such as separation. The Minister for Communications can accept or reject the Commission's recommendations as to whether a service should be regulated or deregulated and transmit a "statement of economic policy" to which the Commission must have regard. The industry, acting through the New Zealand Telecommunications Forum (</w:t>
      </w:r>
      <w:proofErr w:type="spellStart"/>
      <w:r w:rsidRPr="00B93EE1">
        <w:rPr>
          <w:rFonts w:cs="Verdana"/>
          <w:szCs w:val="18"/>
        </w:rPr>
        <w:t>TCF</w:t>
      </w:r>
      <w:proofErr w:type="spellEnd"/>
      <w:r w:rsidRPr="00B93EE1">
        <w:rPr>
          <w:rFonts w:cs="Verdana"/>
          <w:szCs w:val="18"/>
        </w:rPr>
        <w:t xml:space="preserve">), has the statutory function to develop telecommunications access codes for regulated services, which once approved by the Commerce Commission become binding on all industry. The </w:t>
      </w:r>
      <w:proofErr w:type="spellStart"/>
      <w:r w:rsidRPr="00B93EE1">
        <w:rPr>
          <w:rFonts w:cs="Verdana"/>
          <w:szCs w:val="18"/>
        </w:rPr>
        <w:t>TCF</w:t>
      </w:r>
      <w:proofErr w:type="spellEnd"/>
      <w:r w:rsidRPr="00B93EE1">
        <w:rPr>
          <w:rFonts w:cs="Verdana"/>
          <w:szCs w:val="18"/>
        </w:rPr>
        <w:t xml:space="preserve"> is also involved in developing industry standards and voluntary codes of practices and facilitates dialogue on industry issues of common interest.</w:t>
      </w:r>
    </w:p>
    <w:p w14:paraId="1954AE68" w14:textId="77777777" w:rsidR="00120717" w:rsidRPr="00F64A35" w:rsidRDefault="00120717" w:rsidP="008B54EB">
      <w:pPr>
        <w:pStyle w:val="BodyText"/>
      </w:pPr>
      <w:r w:rsidRPr="00B93EE1">
        <w:t>There are no restrictions on foreign investment in private telecommunications firms, other than the provisions of the Overseas Investment Act 2005 (Section 2.4). However, the Constitution of Chorus provides that no person who is not a New Zealand national shall have more than 49.9% of the total voting shares of Chorus without the prior written approval of the Crown, and at least half of the board of directors must be New Zealand citizens. There are no-company specific restrictions on investment in Spark New Zealand.</w:t>
      </w:r>
    </w:p>
    <w:p w14:paraId="60B38F5D" w14:textId="77777777" w:rsidR="00120717" w:rsidRPr="00F64A35" w:rsidRDefault="00120717" w:rsidP="008B54EB">
      <w:pPr>
        <w:pStyle w:val="BodyText"/>
      </w:pPr>
      <w:r w:rsidRPr="00B93EE1">
        <w:t xml:space="preserve">New Zealand does not impose licensing requirements for entry into the telecommunications business market and control over retail prices is minimal. However, there are regulatory measures in place for access to the networks of major suppliers. The </w:t>
      </w:r>
      <w:proofErr w:type="spellStart"/>
      <w:r w:rsidRPr="00B93EE1">
        <w:t>MBIE</w:t>
      </w:r>
      <w:proofErr w:type="spellEnd"/>
      <w:r w:rsidRPr="00B93EE1">
        <w:t xml:space="preserve"> is responsible for making radio spectrum frequency bands available for new uses, including bands for the 5G network.</w:t>
      </w:r>
    </w:p>
    <w:p w14:paraId="638FDCD7" w14:textId="77777777" w:rsidR="00120717" w:rsidRPr="00F64A35" w:rsidRDefault="00120717" w:rsidP="00C14395">
      <w:pPr>
        <w:pStyle w:val="Heading4"/>
      </w:pPr>
      <w:bookmarkStart w:id="250" w:name="_Toc97800210"/>
      <w:r w:rsidRPr="00B93EE1">
        <w:t>Digital inclusion and cybersecurity</w:t>
      </w:r>
      <w:bookmarkEnd w:id="250"/>
    </w:p>
    <w:p w14:paraId="21182030" w14:textId="77777777" w:rsidR="00120717" w:rsidRPr="00F64A35" w:rsidRDefault="00120717" w:rsidP="008B54EB">
      <w:pPr>
        <w:pStyle w:val="BodyText"/>
      </w:pPr>
      <w:r w:rsidRPr="00B93EE1">
        <w:t>COVID</w:t>
      </w:r>
      <w:r w:rsidRPr="00B93EE1">
        <w:noBreakHyphen/>
        <w:t>19 further surfaced social inequality in digital access. With essential services like health and education forced online, those without access were disadvantaged. The Government has made a major contribution to reducing the digital divide in recent years, in terms of access to telecommunications services. In 2018, the second phase of the Rural Broadband Initiative (RBI2), a public programme, was announced to provide fast broadband to the greatest number of the identified 84,000 under-served rural homes and businesses.</w:t>
      </w:r>
      <w:r w:rsidRPr="00B93EE1">
        <w:rPr>
          <w:vertAlign w:val="superscript"/>
        </w:rPr>
        <w:footnoteReference w:id="405"/>
      </w:r>
      <w:r w:rsidRPr="00B93EE1">
        <w:t xml:space="preserve"> In addition, as mobile coverage currently covers areas where some 95% of New Zealand's population lives and works, the Mobile Black Spots Fund (</w:t>
      </w:r>
      <w:proofErr w:type="spellStart"/>
      <w:r w:rsidRPr="00B93EE1">
        <w:t>MBSF</w:t>
      </w:r>
      <w:proofErr w:type="spellEnd"/>
      <w:r w:rsidRPr="00B93EE1">
        <w:t xml:space="preserve">) also launched in 2018, aims to improve the availability of mobile services on state highways and at key tourist destinations, which do not currently have coverage from any mobile operator. Contracts totalling around NZD 130 million are in place under RBI2 and </w:t>
      </w:r>
      <w:proofErr w:type="spellStart"/>
      <w:r w:rsidRPr="00B93EE1">
        <w:t>MBSF</w:t>
      </w:r>
      <w:proofErr w:type="spellEnd"/>
      <w:r w:rsidRPr="00B93EE1">
        <w:t>.</w:t>
      </w:r>
      <w:r w:rsidRPr="00B93EE1">
        <w:rPr>
          <w:vertAlign w:val="superscript"/>
        </w:rPr>
        <w:footnoteReference w:id="406"/>
      </w:r>
      <w:r w:rsidRPr="00B93EE1">
        <w:t xml:space="preserve"> The Rural Connectivity Group (</w:t>
      </w:r>
      <w:proofErr w:type="spellStart"/>
      <w:r w:rsidRPr="00B93EE1">
        <w:t>RCG</w:t>
      </w:r>
      <w:proofErr w:type="spellEnd"/>
      <w:r w:rsidRPr="00B93EE1">
        <w:t>), a joint venture comprising the three major mobile operators in partnership with CIP</w:t>
      </w:r>
      <w:r w:rsidRPr="00B93EE1">
        <w:rPr>
          <w:vertAlign w:val="superscript"/>
        </w:rPr>
        <w:footnoteReference w:id="407"/>
      </w:r>
      <w:r w:rsidRPr="00B93EE1">
        <w:t xml:space="preserve"> was established as the infrastructure provider under the RBI2 and </w:t>
      </w:r>
      <w:proofErr w:type="spellStart"/>
      <w:r w:rsidRPr="00B93EE1">
        <w:t>MBSF</w:t>
      </w:r>
      <w:proofErr w:type="spellEnd"/>
      <w:r w:rsidRPr="00B93EE1">
        <w:t xml:space="preserve"> programmes. The Government committed to provide broadband access to 99.8% of the population by 2023.</w:t>
      </w:r>
    </w:p>
    <w:p w14:paraId="3597A37C" w14:textId="77777777" w:rsidR="00120717" w:rsidRPr="00F64A35" w:rsidRDefault="00120717" w:rsidP="00B37E7A">
      <w:pPr>
        <w:pStyle w:val="BodyText"/>
        <w:keepNext/>
        <w:keepLines/>
      </w:pPr>
      <w:r w:rsidRPr="00B93EE1">
        <w:lastRenderedPageBreak/>
        <w:t>In general, a portion of New Zealand's telecommunications infrastructure is funded from the Telecommunications Development Levy, an industry levy collected from telecommunications providers to deliver services not available commercially or otherwise at an affordable price. The Commerce Commission proportionately allocates the Levy amount annually to qualifying telecommunications providers that earned more than NZD 10 million in telecommunications revenue in the preceding financial year. The list of qualifying liable companies is published by the Commerce Commission at the end of June each year.</w:t>
      </w:r>
    </w:p>
    <w:p w14:paraId="1567A1EB" w14:textId="77777777" w:rsidR="00120717" w:rsidRPr="00F64A35" w:rsidRDefault="00120717" w:rsidP="008B54EB">
      <w:pPr>
        <w:pStyle w:val="BodyText"/>
      </w:pPr>
      <w:r w:rsidRPr="00B93EE1">
        <w:t>In March 2019, the Government released a blueprint setting out the role for the Government in building a digitally inclusive New Zealand. The blueprint defines being included as having convenient access to, and the ability to confidently use, the Internet in the immediate term.</w:t>
      </w:r>
      <w:r w:rsidRPr="00B93EE1">
        <w:rPr>
          <w:vertAlign w:val="superscript"/>
        </w:rPr>
        <w:footnoteReference w:id="408"/>
      </w:r>
    </w:p>
    <w:p w14:paraId="43BB6DFE" w14:textId="77777777" w:rsidR="00120717" w:rsidRPr="00F64A35" w:rsidRDefault="00120717" w:rsidP="008B54EB">
      <w:pPr>
        <w:pStyle w:val="BodyText"/>
      </w:pPr>
      <w:r w:rsidRPr="00B93EE1">
        <w:t>Increasingly diverse Internet applications, such as through the Internet-of-Things (IoT), progressively gained importance during the review period. In 2016, for example, one IoT network specialist (</w:t>
      </w:r>
      <w:proofErr w:type="spellStart"/>
      <w:r w:rsidRPr="00B93EE1">
        <w:t>KotahiNet</w:t>
      </w:r>
      <w:proofErr w:type="spellEnd"/>
      <w:r w:rsidRPr="00B93EE1">
        <w:t>) began operations. In 2017, two mobile network operators (Vodafone and Spark) announced the roll-out of various networks for the IoT.</w:t>
      </w:r>
    </w:p>
    <w:p w14:paraId="087776E7" w14:textId="77777777" w:rsidR="00120717" w:rsidRPr="00F64A35" w:rsidRDefault="00120717" w:rsidP="008B54EB">
      <w:pPr>
        <w:pStyle w:val="BodyText"/>
      </w:pPr>
      <w:r w:rsidRPr="00B93EE1">
        <w:t>As telecommunications technologies continue to develop, and connectivity continues to support New Zealand's social and economic environment, the importance of protection against cyber threats also increases in number, scope, and scale. In 2020, 7,809 cybersecurity incidents, with a total financial loss of NZD 16.7 million, were reported to the authorities (1,131 incidents costing NZD 5.3 million in 2017).</w:t>
      </w:r>
      <w:r w:rsidRPr="00B93EE1">
        <w:rPr>
          <w:vertAlign w:val="superscript"/>
        </w:rPr>
        <w:footnoteReference w:id="409"/>
      </w:r>
      <w:r w:rsidRPr="00B93EE1">
        <w:t xml:space="preserve"> The Cyber Security Strategy 2019 (covering the period 2019-23) outlines the areas where the Government will prioritize action and how it is planning to ensure that New Zealand is confident and secure in the digital world, with a view to creating a more productive and competitive economy.</w:t>
      </w:r>
      <w:r w:rsidRPr="00B93EE1">
        <w:rPr>
          <w:vertAlign w:val="superscript"/>
        </w:rPr>
        <w:footnoteReference w:id="410"/>
      </w:r>
      <w:r w:rsidRPr="00B93EE1">
        <w:t xml:space="preserve"> The Cyber Security Strategy aims to, </w:t>
      </w:r>
      <w:r w:rsidRPr="00B93EE1">
        <w:rPr>
          <w:i/>
          <w:iCs/>
        </w:rPr>
        <w:t>inter alia</w:t>
      </w:r>
      <w:r w:rsidRPr="00B93EE1">
        <w:t>: (</w:t>
      </w:r>
      <w:proofErr w:type="spellStart"/>
      <w:r w:rsidRPr="00B93EE1">
        <w:t>i</w:t>
      </w:r>
      <w:proofErr w:type="spellEnd"/>
      <w:r w:rsidRPr="00B93EE1">
        <w:t>) strengthen cyber resilience (protect most critical assets); (ii) increase cyber capability (develop skills and tools necessary for individuals, businesses, government departments, and organizations to protect themselves online); and (iii) promote international cooperation (boost the country's international credibility, including the ability of businesses to be internationally competitive).</w:t>
      </w:r>
    </w:p>
    <w:p w14:paraId="6A193649" w14:textId="77777777" w:rsidR="00120717" w:rsidRPr="00F64A35" w:rsidRDefault="00120717" w:rsidP="008B54EB">
      <w:pPr>
        <w:pStyle w:val="BodyText"/>
      </w:pPr>
      <w:r w:rsidRPr="00B93EE1">
        <w:t>New Zealand issued two previous cybersecurity strategies in 2011 and 2015. Among measures put in place, the 2011 strategy established the National Cyber Security Centre and the National Cyber Policy Office. In the framework of the 2015 Strategy, the Computer Emergency Response Team (CERT NZ) was established to respond to cybersecurity threats in New Zealand, the country's first Cyber Security Summit was held, and a scheme was developed to help small businesses improve their cybersecurity.</w:t>
      </w:r>
    </w:p>
    <w:p w14:paraId="64447B77" w14:textId="77777777" w:rsidR="00120717" w:rsidRPr="00F64A35" w:rsidRDefault="00120717" w:rsidP="008B54EB">
      <w:pPr>
        <w:pStyle w:val="BodyText"/>
      </w:pPr>
      <w:r w:rsidRPr="00B93EE1">
        <w:t>Network security is managed under Part 3 of the Telecommunications (Interception Capability and Security) Act (</w:t>
      </w:r>
      <w:proofErr w:type="spellStart"/>
      <w:r w:rsidRPr="00B93EE1">
        <w:t>TISCA</w:t>
      </w:r>
      <w:proofErr w:type="spellEnd"/>
      <w:r w:rsidRPr="00B93EE1">
        <w:t>) 2013.</w:t>
      </w:r>
      <w:r w:rsidRPr="00B93EE1">
        <w:rPr>
          <w:rStyle w:val="FootnoteReference"/>
        </w:rPr>
        <w:footnoteReference w:id="411"/>
      </w:r>
      <w:r w:rsidRPr="00B93EE1">
        <w:t xml:space="preserve"> The purpose of </w:t>
      </w:r>
      <w:proofErr w:type="spellStart"/>
      <w:r w:rsidRPr="00B93EE1">
        <w:t>TICSA</w:t>
      </w:r>
      <w:proofErr w:type="spellEnd"/>
      <w:r w:rsidRPr="00B93EE1">
        <w:t xml:space="preserve"> is to prevent, sufficiently mitigate, or remove security risks arising from the design, build, or operation of a public telecommunications network, or interconnection to or between public telecommunications networks in New Zealand or with networks overseas. It establishes a framework under which network operators are required to engage with the Government Communications and Security Bureau, through the National Cyber Security Centre about changes and developments with their networks where these intersect with national security. The legislation sets out a path to identify and address, prevent, mitigate, or remove network security risks that may arise.</w:t>
      </w:r>
    </w:p>
    <w:p w14:paraId="3241621E" w14:textId="77777777" w:rsidR="00120717" w:rsidRPr="00F64A35" w:rsidRDefault="00120717" w:rsidP="00B37E7A">
      <w:pPr>
        <w:pStyle w:val="BodyText"/>
        <w:keepNext/>
        <w:keepLines/>
      </w:pPr>
      <w:r w:rsidRPr="00B93EE1">
        <w:rPr>
          <w:iCs/>
        </w:rPr>
        <w:lastRenderedPageBreak/>
        <w:t>The</w:t>
      </w:r>
      <w:r w:rsidRPr="00B93EE1">
        <w:t xml:space="preserve"> Government is currently developing a Digital Strategy for New Zealand</w:t>
      </w:r>
      <w:r w:rsidRPr="00B93EE1">
        <w:rPr>
          <w:rStyle w:val="FootnoteReference"/>
        </w:rPr>
        <w:footnoteReference w:id="412"/>
      </w:r>
      <w:r w:rsidRPr="00B93EE1">
        <w:t>, which will set out the goals, priorities, and activities for short- and longer-term goals. The Strategy will be structured around three key themes: trust, inclusion, and growth. According to the authorities, public consultation on the development of this strategy has recently concluded and the final strategy will be published in early 2022.</w:t>
      </w:r>
    </w:p>
    <w:p w14:paraId="115DE33B" w14:textId="77777777" w:rsidR="00120717" w:rsidRPr="00F64A35" w:rsidRDefault="00120717" w:rsidP="00C134C4">
      <w:pPr>
        <w:pStyle w:val="BodyText"/>
      </w:pPr>
      <w:r w:rsidRPr="00B93EE1">
        <w:t>To reflect changes in technology and in the wider economy and society, and to strengthen privacy protections, the Privacy Act 2020 was adopted to replace the Privacy Act 1993.</w:t>
      </w:r>
      <w:r w:rsidRPr="00B93EE1">
        <w:rPr>
          <w:vertAlign w:val="superscript"/>
        </w:rPr>
        <w:footnoteReference w:id="413"/>
      </w:r>
      <w:r w:rsidRPr="00B93EE1">
        <w:t xml:space="preserve"> The Act is enforced through the Privacy Commissioner, which has the power to investigate any action which appears to interfere with the privacy of an individual and can do so either on a complaint made to the Commissioner or on the Commissioner's own initiative. It provides the principles for protecting personal information and puts responsibilities on agencies and organizations about how they must collect, use, disclose, store, retain, and give access to personal information. It applies to any person or body of persons, whether corporate or unincorporated, and whether in the public sector or in the private sector, and it has extraterritorial scope, i.e. it applies to any actions taken by an overseas agency in the course of carrying on business in New Zealand.</w:t>
      </w:r>
    </w:p>
    <w:p w14:paraId="59E3091A" w14:textId="77777777" w:rsidR="00120717" w:rsidRPr="00F64A35" w:rsidRDefault="00120717" w:rsidP="00C134C4">
      <w:pPr>
        <w:pStyle w:val="BodyText"/>
      </w:pPr>
      <w:r w:rsidRPr="00B93EE1">
        <w:t>The Act diverges from data protection laws in place in other jurisdictions in some respects. For example, the Act does not expressly provide a "right to be forgotten" or a right to data portability, and as a civil complaints system it has a relatively lenient penalty structure for non-compliance, as the Commissioner may only fine companies up to NZD 10,000 for offences under the Act. However, the Act includes new mandatory data breach notification requirements, and new requirements on cross-border transfers of personal information. For example, an organization or business may only disclose personal information to an agency outside of New Zealand if the receiving agency is subject to similar safeguards to those in the Privacy Act. If a jurisdiction does not offer similar protections, the individuals concerned must be fully informed that their information may not be adequately protected and they must expressly authorize the disclosure.</w:t>
      </w:r>
    </w:p>
    <w:p w14:paraId="75E10CE6" w14:textId="77777777" w:rsidR="00120717" w:rsidRPr="00F64A35" w:rsidRDefault="00120717" w:rsidP="00B90724">
      <w:pPr>
        <w:pStyle w:val="Heading3"/>
      </w:pPr>
      <w:bookmarkStart w:id="251" w:name="_Toc97800211"/>
      <w:r w:rsidRPr="00B93EE1">
        <w:t>Transport services</w:t>
      </w:r>
      <w:bookmarkEnd w:id="251"/>
    </w:p>
    <w:p w14:paraId="55B8C751" w14:textId="77777777" w:rsidR="00120717" w:rsidRPr="00F64A35" w:rsidRDefault="00120717" w:rsidP="00E962FF">
      <w:pPr>
        <w:pStyle w:val="Heading4"/>
        <w:numPr>
          <w:ilvl w:val="3"/>
          <w:numId w:val="44"/>
        </w:numPr>
      </w:pPr>
      <w:bookmarkStart w:id="252" w:name="_Toc97800212"/>
      <w:r w:rsidRPr="00B93EE1">
        <w:t>Overview</w:t>
      </w:r>
      <w:bookmarkEnd w:id="252"/>
    </w:p>
    <w:p w14:paraId="2CC360B1" w14:textId="77777777" w:rsidR="00120717" w:rsidRPr="00F64A35" w:rsidRDefault="00120717" w:rsidP="008B54EB">
      <w:pPr>
        <w:pStyle w:val="BodyText"/>
      </w:pPr>
      <w:r w:rsidRPr="00B93EE1">
        <w:t>The transport sector is crucial for the country's tourism industry, and international merchandise trade. The sector accounts for 5% of GDP and employs 108,000 workers (4% of total employment).</w:t>
      </w:r>
      <w:r w:rsidRPr="00B93EE1">
        <w:rPr>
          <w:rStyle w:val="FootnoteReference"/>
        </w:rPr>
        <w:footnoteReference w:id="414"/>
      </w:r>
      <w:r w:rsidRPr="00B93EE1">
        <w:t xml:space="preserve"> Almost all of New Zealand's international trade takes place through air and maritime transport. Domestically, road and rail freight services are mainly used by the agriculture sector and the dairy industry.</w:t>
      </w:r>
    </w:p>
    <w:p w14:paraId="5E614037" w14:textId="77777777" w:rsidR="00120717" w:rsidRPr="00F64A35" w:rsidRDefault="00120717" w:rsidP="008B54EB">
      <w:pPr>
        <w:pStyle w:val="BodyText"/>
      </w:pPr>
      <w:r w:rsidRPr="00B93EE1">
        <w:t>The Ministry of Transport is the main agency providing expert advice to the Government in all transport-related matters, including legislative, regulatory, policy, and funding issues. The Ministry also oversees the performance of four Crown entities with transport functions: the Civil Aviation Authority (CAA), Maritime New Zealand, NZ Transport Agency (land transport), and the Transport Accident Investigation Commission. In addition, three state-owned enterprises (Airways Corporation of New Zealand Limited, New Zealand Railways Corporation, and Meteorological Services of New Zealand Limited) have transport-related functions, while local authorities are primarily responsible for road networks and public transport services, and some of them own seaports and airports, or share ownership with the Crown.</w:t>
      </w:r>
    </w:p>
    <w:p w14:paraId="53E9569F" w14:textId="77777777" w:rsidR="00120717" w:rsidRPr="00F64A35" w:rsidRDefault="00120717" w:rsidP="008B54EB">
      <w:pPr>
        <w:pStyle w:val="BodyText"/>
      </w:pPr>
      <w:r w:rsidRPr="00B93EE1">
        <w:t>Carbon emissions from transport activities are a major part of New Zealand's climate challenge, representing some 20% of total emissions and 43% of CO</w:t>
      </w:r>
      <w:r w:rsidRPr="00B93EE1">
        <w:rPr>
          <w:vertAlign w:val="subscript"/>
        </w:rPr>
        <w:t>2</w:t>
      </w:r>
      <w:r w:rsidRPr="00B93EE1">
        <w:t xml:space="preserve"> emissions. The national draft Emissions Reduction Plan, which will create binding domestic commitments when finalized in April 2022, sets out a range of proposed interventions to reduce transport emissions by 41% by 2035. As part of this plan, the Government is currently considering legislation to set tough </w:t>
      </w:r>
      <w:r w:rsidRPr="00B93EE1">
        <w:lastRenderedPageBreak/>
        <w:t>CO</w:t>
      </w:r>
      <w:r w:rsidRPr="00B93EE1">
        <w:rPr>
          <w:vertAlign w:val="subscript"/>
        </w:rPr>
        <w:t>2</w:t>
      </w:r>
      <w:r w:rsidRPr="00B93EE1">
        <w:t> standards for light vehicles, has introduced rebates for low-emissions vehicles, is considering congestion charging in major centres, is developing a sustainable biofuels mandate, and is requiring all new public transport buses to have zero emissions by 2025.</w:t>
      </w:r>
    </w:p>
    <w:p w14:paraId="39ACE708" w14:textId="77777777" w:rsidR="00120717" w:rsidRPr="00F64A35" w:rsidRDefault="00120717" w:rsidP="00F64A35">
      <w:pPr>
        <w:pStyle w:val="Heading4"/>
      </w:pPr>
      <w:bookmarkStart w:id="253" w:name="_Toc97800213"/>
      <w:r w:rsidRPr="00B93EE1">
        <w:t>Air transport</w:t>
      </w:r>
      <w:bookmarkEnd w:id="253"/>
    </w:p>
    <w:p w14:paraId="3927EC82" w14:textId="77777777" w:rsidR="00120717" w:rsidRPr="00F64A35" w:rsidRDefault="00120717" w:rsidP="008B54EB">
      <w:pPr>
        <w:pStyle w:val="BodyText"/>
      </w:pPr>
      <w:r w:rsidRPr="00B93EE1">
        <w:t>Air transport is highly important to New Zealand's international trade for high-value products that require a short time to market. Although air freight accounts for only 0.3% of New Zealand's trade (imports and exports) by weight, it accounts for 19% of trade by value.</w:t>
      </w:r>
    </w:p>
    <w:p w14:paraId="4BA8FF75" w14:textId="77777777" w:rsidR="00120717" w:rsidRPr="00F64A35" w:rsidRDefault="00120717" w:rsidP="008B54EB">
      <w:pPr>
        <w:pStyle w:val="BodyText"/>
      </w:pPr>
      <w:r w:rsidRPr="00B93EE1">
        <w:t>The 2012 National Airspace and Air Navigation Plan continues to be New Zealand's guidance document in the air transport sector.</w:t>
      </w:r>
      <w:r w:rsidRPr="00B93EE1">
        <w:rPr>
          <w:rStyle w:val="FootnoteReference"/>
        </w:rPr>
        <w:footnoteReference w:id="415"/>
      </w:r>
      <w:r w:rsidRPr="00B93EE1">
        <w:t xml:space="preserve"> It represents the Government's views for airspace, air navigation, and air traffic management, and it clarifies how New Zealand aims to modernize its airspace. According to the authorities, some progress has been achieved under the Plan, including, the implementation of performance-based navigation approaches at the main international airports (in Auckland, Wellington, and Christchurch)</w:t>
      </w:r>
      <w:r w:rsidRPr="00B93EE1">
        <w:rPr>
          <w:rStyle w:val="FootnoteReference"/>
        </w:rPr>
        <w:footnoteReference w:id="416"/>
      </w:r>
      <w:r w:rsidRPr="00B93EE1">
        <w:t>, and modernization of some critical airport infrastructure.</w:t>
      </w:r>
    </w:p>
    <w:p w14:paraId="2D5D093E" w14:textId="77777777" w:rsidR="00120717" w:rsidRPr="00F64A35" w:rsidRDefault="00120717" w:rsidP="008B54EB">
      <w:pPr>
        <w:pStyle w:val="BodyText"/>
      </w:pPr>
      <w:r w:rsidRPr="00B93EE1">
        <w:t>COVID</w:t>
      </w:r>
      <w:r w:rsidRPr="00B93EE1">
        <w:noBreakHyphen/>
        <w:t>19 and the collapse of international air services have had a detrimental impact on the flow of essential goods and passenger movements. As a response, the Government implemented a temporary financial support package, the International Air Freight Capacity Scheme (</w:t>
      </w:r>
      <w:proofErr w:type="spellStart"/>
      <w:r w:rsidRPr="00B93EE1">
        <w:t>IAFC</w:t>
      </w:r>
      <w:proofErr w:type="spellEnd"/>
      <w:r w:rsidRPr="00B93EE1">
        <w:t xml:space="preserve">) to support essential connectivity as at the beginning of August 2020. A total of NZD 372 million was allocated to finance the scheme through to April 2021. The objectives of the scheme were to maintain essential trade flows, including the import of medical supplies, maintain air connectivity for passengers and future tourism capacity, and ensure the sustainability of the aviation sector. Only flights that do not get enough passengers and freight at a level that is economically viable were eligible for support. The </w:t>
      </w:r>
      <w:proofErr w:type="spellStart"/>
      <w:r w:rsidRPr="00B93EE1">
        <w:t>IAFC</w:t>
      </w:r>
      <w:proofErr w:type="spellEnd"/>
      <w:r w:rsidRPr="00B93EE1">
        <w:t xml:space="preserve"> ended in April 2021.</w:t>
      </w:r>
    </w:p>
    <w:p w14:paraId="65384BEA" w14:textId="77777777" w:rsidR="00120717" w:rsidRPr="00F64A35" w:rsidRDefault="00120717" w:rsidP="008B54EB">
      <w:pPr>
        <w:pStyle w:val="BodyText"/>
      </w:pPr>
      <w:r w:rsidRPr="00B93EE1">
        <w:t>In May 2021, the Government established a new temporary scheme, the Maintaining International Air Connectivity Scheme (MIAC), to support continued air services. The scheme is scheduled to end on 31 March 2022. An open-market procurement process was operated in April 2021 and all potential providers, including passenger airlines, dedicated freight carriers, and others in the sector, were eligible to apply.</w:t>
      </w:r>
    </w:p>
    <w:p w14:paraId="3BC53948" w14:textId="77777777" w:rsidR="00120717" w:rsidRPr="00F64A35" w:rsidRDefault="00120717" w:rsidP="008B54EB">
      <w:pPr>
        <w:pStyle w:val="BodyText"/>
      </w:pPr>
      <w:r w:rsidRPr="00B93EE1">
        <w:t>To support domestic connectivity, the Government allocated NZD 30 million to the Essential Transport Connectivity (ETC) Scheme for aviation initiatives and an additional NZD 20 million for ETC non-aviation initiatives.</w:t>
      </w:r>
    </w:p>
    <w:p w14:paraId="183360DE" w14:textId="77777777" w:rsidR="00120717" w:rsidRPr="00F64A35" w:rsidRDefault="00120717" w:rsidP="008B54EB">
      <w:pPr>
        <w:pStyle w:val="BodyText"/>
      </w:pPr>
      <w:r w:rsidRPr="00B93EE1">
        <w:t>Prior to COVID</w:t>
      </w:r>
      <w:r w:rsidRPr="00B93EE1">
        <w:noBreakHyphen/>
        <w:t xml:space="preserve">19, New Zealand had 5 airports receiving scheduled international air services and 28 regional airports. As at the end of November 2021, only two of these airports were receiving international flights. Auckland International Airport is New Zealand's busiest airport, followed by the international airports of Christchurch and Wellington. The movements of air freight are largely concentrated at Auckland and Christchurch airports. New Zealand's international airports are managed and operated by autonomous companies with both private and public ownership (such as Auckland International Airport Limited): </w:t>
      </w:r>
    </w:p>
    <w:p w14:paraId="0617D2BC" w14:textId="77777777" w:rsidR="00120717" w:rsidRPr="00F64A35" w:rsidRDefault="00120717" w:rsidP="00B37E7A">
      <w:pPr>
        <w:pStyle w:val="BodyText"/>
        <w:numPr>
          <w:ilvl w:val="6"/>
          <w:numId w:val="46"/>
        </w:numPr>
        <w:tabs>
          <w:tab w:val="clear" w:pos="567"/>
          <w:tab w:val="num" w:pos="1134"/>
        </w:tabs>
        <w:ind w:left="1134" w:hanging="567"/>
      </w:pPr>
      <w:r w:rsidRPr="00B93EE1">
        <w:t xml:space="preserve">Christchurch International Airport Limited has three shareholders: the local council with 75%, and two Ministers of the Crown (Central Government) holding the remaining 25%. </w:t>
      </w:r>
    </w:p>
    <w:p w14:paraId="5AFC1E9B" w14:textId="77777777" w:rsidR="00120717" w:rsidRPr="00F64A35" w:rsidRDefault="00120717" w:rsidP="00B37E7A">
      <w:pPr>
        <w:pStyle w:val="BodyText"/>
        <w:numPr>
          <w:ilvl w:val="6"/>
          <w:numId w:val="46"/>
        </w:numPr>
        <w:tabs>
          <w:tab w:val="clear" w:pos="567"/>
          <w:tab w:val="num" w:pos="1134"/>
        </w:tabs>
        <w:ind w:left="1134" w:hanging="567"/>
      </w:pPr>
      <w:r w:rsidRPr="00B93EE1">
        <w:t xml:space="preserve">Wellington International Airport Limited has two shareholders: the local council with 34%, and </w:t>
      </w:r>
      <w:proofErr w:type="spellStart"/>
      <w:r w:rsidRPr="00B93EE1">
        <w:t>Infratil</w:t>
      </w:r>
      <w:proofErr w:type="spellEnd"/>
      <w:r w:rsidRPr="00B93EE1">
        <w:t xml:space="preserve">, a private investment firm, with 66%. </w:t>
      </w:r>
    </w:p>
    <w:p w14:paraId="152F15E0" w14:textId="77777777" w:rsidR="00120717" w:rsidRPr="00F64A35" w:rsidRDefault="00120717" w:rsidP="00B37E7A">
      <w:pPr>
        <w:pStyle w:val="BodyText"/>
        <w:numPr>
          <w:ilvl w:val="6"/>
          <w:numId w:val="46"/>
        </w:numPr>
        <w:tabs>
          <w:tab w:val="clear" w:pos="567"/>
          <w:tab w:val="num" w:pos="1134"/>
        </w:tabs>
        <w:ind w:left="1134" w:hanging="567"/>
      </w:pPr>
      <w:r w:rsidRPr="00B93EE1">
        <w:lastRenderedPageBreak/>
        <w:t xml:space="preserve">Dunedin International Airport Limited has two shareholders: the local council with 50%, and shareholding Ministers (the Crown) with 50%. </w:t>
      </w:r>
    </w:p>
    <w:p w14:paraId="4A66E5A0" w14:textId="77777777" w:rsidR="00120717" w:rsidRPr="00F64A35" w:rsidRDefault="00120717" w:rsidP="00B37E7A">
      <w:pPr>
        <w:pStyle w:val="BodyText"/>
        <w:numPr>
          <w:ilvl w:val="6"/>
          <w:numId w:val="46"/>
        </w:numPr>
        <w:tabs>
          <w:tab w:val="clear" w:pos="567"/>
          <w:tab w:val="num" w:pos="1134"/>
        </w:tabs>
        <w:ind w:left="1134" w:hanging="567"/>
      </w:pPr>
      <w:r w:rsidRPr="00B93EE1">
        <w:t xml:space="preserve">Queenstown Airport Corporation has two shareholders: Auckland International Airport Limited with 24.99%, and the local council holds 75.01%. </w:t>
      </w:r>
    </w:p>
    <w:p w14:paraId="68840E41" w14:textId="77777777" w:rsidR="00120717" w:rsidRPr="00F64A35" w:rsidRDefault="00120717" w:rsidP="00B37E7A">
      <w:pPr>
        <w:spacing w:after="240"/>
      </w:pPr>
      <w:r w:rsidRPr="00B93EE1">
        <w:t>Regional airports are either owned by local authorities or through joint ventures between local authorities and the Crown.</w:t>
      </w:r>
    </w:p>
    <w:p w14:paraId="2D23B95E" w14:textId="77777777" w:rsidR="00120717" w:rsidRPr="00F64A35" w:rsidRDefault="00120717" w:rsidP="008B54EB">
      <w:pPr>
        <w:pStyle w:val="BodyText"/>
      </w:pPr>
      <w:r w:rsidRPr="00B93EE1">
        <w:t xml:space="preserve">There are two New Zealand-based international passenger airlines: Air New Zealand, the national flag carrier; and Air </w:t>
      </w:r>
      <w:proofErr w:type="spellStart"/>
      <w:r w:rsidRPr="00B93EE1">
        <w:t>Chathams</w:t>
      </w:r>
      <w:proofErr w:type="spellEnd"/>
      <w:r w:rsidRPr="00B93EE1">
        <w:t xml:space="preserve"> (which operates to the Australian territory of Norfolk Island). New Zealand has seen a significant reduction in the number of scheduled airlines due to the COVID</w:t>
      </w:r>
      <w:r w:rsidRPr="00B93EE1">
        <w:noBreakHyphen/>
        <w:t>19 pandemic. At end-November 2021, there were 15 (24 during the previous review period)</w:t>
      </w:r>
      <w:r w:rsidRPr="00B93EE1">
        <w:rPr>
          <w:rStyle w:val="FootnoteReference"/>
        </w:rPr>
        <w:footnoteReference w:id="417"/>
      </w:r>
      <w:r w:rsidRPr="00B93EE1">
        <w:t xml:space="preserve"> foreign airlines operating aircraft on a scheduled or semi-frequent basis (passenger and/or cargo) to and from New Zealand, and an additional 18 (21 during the previous review period)</w:t>
      </w:r>
      <w:r w:rsidRPr="00B93EE1">
        <w:rPr>
          <w:rStyle w:val="FootnoteReference"/>
        </w:rPr>
        <w:footnoteReference w:id="418"/>
      </w:r>
      <w:r w:rsidRPr="00B93EE1">
        <w:t xml:space="preserve"> airlines serving New Zealand on a code-sharing basis. The Crown holds a 52.3% stake in Air New Zealand. It also holds a preferential "Kiwi share", which enables the Government to impose a 10% cap on individual foreign shareholdings in the national airline, in order to maintain substantial ownership and effective control of Air New Zealand. The Crown also holds 100% ownership of Airways Corporation of New Zealand Limited, which is the sole provider of air navigation and air traffic management services in the country.</w:t>
      </w:r>
    </w:p>
    <w:p w14:paraId="4E8B1840" w14:textId="77777777" w:rsidR="00120717" w:rsidRPr="00F64A35" w:rsidRDefault="00120717" w:rsidP="008B54EB">
      <w:pPr>
        <w:pStyle w:val="BodyText"/>
      </w:pPr>
      <w:r w:rsidRPr="00B93EE1">
        <w:t>The air transport sector is subject to the provisions of the Overseas Investment Act 2005 (Section 2.4). No specific restrictions apply on foreigners providing airport services and airport auxiliary services, or computer reservation system services.</w:t>
      </w:r>
    </w:p>
    <w:p w14:paraId="492E2591" w14:textId="77777777" w:rsidR="00120717" w:rsidRPr="00F64A35" w:rsidRDefault="00120717" w:rsidP="008B54EB">
      <w:pPr>
        <w:pStyle w:val="BodyText"/>
      </w:pPr>
      <w:r w:rsidRPr="00B93EE1">
        <w:t>The Commerce Amendment Act 2018 strengthened the regulatory regime for major international airports in New Zealand by introducing a short</w:t>
      </w:r>
      <w:r w:rsidRPr="00B93EE1">
        <w:noBreakHyphen/>
        <w:t>form inquiry process and clarifying how changes to the type of regulation can be made.</w:t>
      </w:r>
    </w:p>
    <w:p w14:paraId="0A640F1C" w14:textId="77777777" w:rsidR="00120717" w:rsidRPr="00F64A35" w:rsidRDefault="00120717" w:rsidP="008B54EB">
      <w:pPr>
        <w:pStyle w:val="BodyText"/>
      </w:pPr>
      <w:r w:rsidRPr="00B93EE1">
        <w:t>The Civil Aviation Act 1990 and the Airport Authorities Act 1966 are the main sector-specific statutes governing the industry.</w:t>
      </w:r>
    </w:p>
    <w:p w14:paraId="3BA45A12" w14:textId="77777777" w:rsidR="00120717" w:rsidRPr="00F64A35" w:rsidRDefault="00120717" w:rsidP="0069504A">
      <w:pPr>
        <w:pStyle w:val="BodyText"/>
      </w:pPr>
      <w:r w:rsidRPr="00B93EE1">
        <w:t>The Airport Authorities Act 1966 (as amended) requires all airport companies to consult with their airline customers on charges and major capital expenditures and disclose certain financial information on an annual basis. To prevent potential abuse of monopoly power at the Auckland, Wellington, and Christchurch airports, the Commerce Amendment Act 2008 subjects specified airport services (airfield activities, and certain passenger terminal activities) to additional information disclosure requirements, such as disclosing information on their financial performance and quality of airport services. They also must disclose information on their price setting framework, pricing methodology, and an explanation of the extent to which the application of their pricing leads to efficient prices. On 25 October 2018, The Commerce Amendment Act was adopted and implemented to strengthen the regulatory regime for New Zealand's airports, by including a new inquiry process that may lead to further regulation being imposed on specified airport activities undertaken by those airports.</w:t>
      </w:r>
      <w:r w:rsidRPr="00B93EE1">
        <w:rPr>
          <w:rStyle w:val="FootnoteReference"/>
        </w:rPr>
        <w:footnoteReference w:id="419"/>
      </w:r>
      <w:r w:rsidRPr="00B93EE1">
        <w:t xml:space="preserve"> According to the authorities, a new Civil Aviation Bill was introduced on 8 September 2021 and is currently in front of a parliamentary Select Committee for consideration.</w:t>
      </w:r>
    </w:p>
    <w:p w14:paraId="2B204785" w14:textId="77777777" w:rsidR="00120717" w:rsidRPr="00F64A35" w:rsidRDefault="00120717" w:rsidP="008B54EB">
      <w:pPr>
        <w:pStyle w:val="BodyText"/>
      </w:pPr>
      <w:r w:rsidRPr="00B93EE1">
        <w:t xml:space="preserve">Under the Civil Aviation Act 1990, an airline wishing to operate a scheduled international air service to or from New Zealand is required to hold a scheduled international air service licence or an open aviation market licence. The latter is applicable only for scheduled services between New Zealand and a list of countries/territories specifically designated by the Minister of Transport. </w:t>
      </w:r>
      <w:r w:rsidRPr="00B93EE1">
        <w:lastRenderedPageBreak/>
        <w:t xml:space="preserve">In 2015, the list consisted of Australia, </w:t>
      </w:r>
      <w:r w:rsidRPr="00B93EE1">
        <w:rPr>
          <w:spacing w:val="-2"/>
        </w:rPr>
        <w:t>Brunei Darussalam</w:t>
      </w:r>
      <w:r w:rsidRPr="00B93EE1">
        <w:t>, Chile, the Cook Islands, Luxembourg, Malaysia, Samoa, Singapore, Tonga, the United Arab Emirates, and the United States.</w:t>
      </w:r>
    </w:p>
    <w:p w14:paraId="10649123" w14:textId="77777777" w:rsidR="00120717" w:rsidRPr="00F64A35" w:rsidRDefault="00120717" w:rsidP="008B54EB">
      <w:pPr>
        <w:pStyle w:val="BodyText"/>
      </w:pPr>
      <w:r w:rsidRPr="00B93EE1">
        <w:t>As was the case during the previous review period, an application for a scheduled international air services licence must be submitted to the Secretary of Transport. To qualify for a licence, an applicant airline must have been designated by its Government according to the provisions of the air services agreement (ASA) between that Government and the Government of New Zealand. In addition, an applicant may be required to provide evidence of the nationality of the control of the airline, and evidence of either the nationality of its ownership or its principal place of business and place of incorporation. To comply with safety and security requirements, an applicant must also obtain a foreign air operator certificate from the Director of the CAA. Under a mutual recognition agreement with Australia, New Zealand and Australian airlines do not need to hold safety certifications from both countries' civil aviation authorities.</w:t>
      </w:r>
    </w:p>
    <w:p w14:paraId="7D209AB1" w14:textId="77777777" w:rsidR="00120717" w:rsidRPr="00F64A35" w:rsidRDefault="00120717" w:rsidP="008B54EB">
      <w:pPr>
        <w:pStyle w:val="BodyText"/>
      </w:pPr>
      <w:r w:rsidRPr="00B93EE1">
        <w:t>Under the Ministry of Transport, the CAA is the regulatory authority for civil aviation in New Zealand. It is in charge of establishing and enforcing safety rules for all air services operators. Air traffic control services are provided by New Zealand Airways Corporation, which is a state-owned enterprise, established under the State-Owned Enterprises Act 1986.</w:t>
      </w:r>
    </w:p>
    <w:p w14:paraId="66DB743B" w14:textId="77777777" w:rsidR="00120717" w:rsidRPr="00F64A35" w:rsidRDefault="00120717" w:rsidP="008B54EB">
      <w:pPr>
        <w:pStyle w:val="BodyText"/>
      </w:pPr>
      <w:r w:rsidRPr="00B93EE1">
        <w:t xml:space="preserve">As at 30 October 2021, New Zealand had signed </w:t>
      </w:r>
      <w:proofErr w:type="spellStart"/>
      <w:r w:rsidRPr="00B93EE1">
        <w:t>ASAs</w:t>
      </w:r>
      <w:proofErr w:type="spellEnd"/>
      <w:r w:rsidRPr="00B93EE1">
        <w:t xml:space="preserve"> with 71 partners across all continents (Table A4.1).</w:t>
      </w:r>
      <w:r w:rsidRPr="00B93EE1">
        <w:rPr>
          <w:rStyle w:val="FootnoteReference"/>
        </w:rPr>
        <w:footnoteReference w:id="420"/>
      </w:r>
      <w:r w:rsidRPr="00B93EE1">
        <w:t xml:space="preserve"> According to the authorities, six of the </w:t>
      </w:r>
      <w:proofErr w:type="spellStart"/>
      <w:r w:rsidRPr="00B93EE1">
        <w:t>ASAs</w:t>
      </w:r>
      <w:proofErr w:type="spellEnd"/>
      <w:r w:rsidRPr="00B93EE1">
        <w:t>, however, are suspended as a result of New Zealand being a signatory to the Multilateral Agreement on the Liberalization of International Air Transportation (</w:t>
      </w:r>
      <w:proofErr w:type="spellStart"/>
      <w:r w:rsidRPr="00B93EE1">
        <w:t>MALIAT</w:t>
      </w:r>
      <w:proofErr w:type="spellEnd"/>
      <w:r w:rsidRPr="00B93EE1">
        <w:t xml:space="preserve">), a multilateral open skies ASA, which is open to accession by other parties. Currently, the parties to the </w:t>
      </w:r>
      <w:proofErr w:type="spellStart"/>
      <w:r w:rsidRPr="00B93EE1">
        <w:t>MALIAT</w:t>
      </w:r>
      <w:proofErr w:type="spellEnd"/>
      <w:r w:rsidRPr="00B93EE1">
        <w:t xml:space="preserve"> are </w:t>
      </w:r>
      <w:r w:rsidRPr="00B93EE1">
        <w:rPr>
          <w:spacing w:val="-2"/>
        </w:rPr>
        <w:t>Brunei Darussalam</w:t>
      </w:r>
      <w:r w:rsidRPr="00B93EE1">
        <w:t>, the Cook Islands, Chile, New Zealand, Singapore, Tonga, and the United States. Mongolia participates for cargo only.</w:t>
      </w:r>
    </w:p>
    <w:p w14:paraId="0C06E60F" w14:textId="77777777" w:rsidR="00120717" w:rsidRPr="00F64A35" w:rsidRDefault="00120717" w:rsidP="008B54EB">
      <w:pPr>
        <w:pStyle w:val="BodyText"/>
      </w:pPr>
      <w:r w:rsidRPr="00B93EE1">
        <w:t>The authorities indicate that they continue to advocate for open skies agreements, consistent with the International Air Transport Policy of New Zealand.</w:t>
      </w:r>
    </w:p>
    <w:p w14:paraId="7FB49321" w14:textId="77777777" w:rsidR="00120717" w:rsidRPr="00F64A35" w:rsidRDefault="00120717" w:rsidP="00D65C26">
      <w:pPr>
        <w:pStyle w:val="Heading4"/>
      </w:pPr>
      <w:bookmarkStart w:id="254" w:name="_Toc97800214"/>
      <w:r w:rsidRPr="00B93EE1">
        <w:t>Maritime transport</w:t>
      </w:r>
      <w:bookmarkEnd w:id="254"/>
    </w:p>
    <w:p w14:paraId="4D7D5658" w14:textId="77777777" w:rsidR="00120717" w:rsidRPr="00F64A35" w:rsidRDefault="00120717" w:rsidP="008B54EB">
      <w:pPr>
        <w:pStyle w:val="BodyText"/>
      </w:pPr>
      <w:r w:rsidRPr="00B93EE1">
        <w:t>Maritime transport plays a key role for New Zealand freight movement. Shipping services are provided by both New Zealand-based ship operators and international shipping lines. The New Zealand operators tend to concentrate on the movement of domestic cargoes. Domestic transport of petroleum products is primarily from the Northland refinery via pipeline to Auckland and Auckland Airport and coastal distribution across the country. A key cement manufacturer in the Northland distributes by coastal ships and then road and rail.</w:t>
      </w:r>
    </w:p>
    <w:p w14:paraId="5C664376" w14:textId="77777777" w:rsidR="00120717" w:rsidRPr="00F64A35" w:rsidRDefault="00120717" w:rsidP="008B54EB">
      <w:pPr>
        <w:pStyle w:val="BodyText"/>
      </w:pPr>
      <w:r w:rsidRPr="00B93EE1">
        <w:t>The authorities indicate that no significant changes took place during the review period. The Maritime Transport Act 1994 sets out the legal framework for maritime services, including licensing requirements for ships and crew, and protection of the maritime environment. Under the Act, Maritime New Zealand, a Crown entity, is responsible for developing and monitoring rules and standards for safety, security, and environmental matters in maritime transport. The entity is also responsible for implementing the Maritime Security Act 2004, administering the New Zealand Register of Ships (as per the Ship Registration Act 1992) and ensuring compliance with international maritime and marine environment protection conventions.</w:t>
      </w:r>
      <w:r w:rsidRPr="00B93EE1">
        <w:rPr>
          <w:rStyle w:val="FootnoteReference"/>
          <w:rFonts w:cs="Verdana"/>
          <w:szCs w:val="18"/>
        </w:rPr>
        <w:footnoteReference w:id="421"/>
      </w:r>
    </w:p>
    <w:p w14:paraId="5A36E95F" w14:textId="77777777" w:rsidR="00120717" w:rsidRPr="00F64A35" w:rsidRDefault="00120717" w:rsidP="008B54EB">
      <w:pPr>
        <w:pStyle w:val="BodyText"/>
      </w:pPr>
      <w:r w:rsidRPr="00B93EE1">
        <w:t>Three categories of ships are allowed to carry coastal cargo under the Maritime Transport Act: (</w:t>
      </w:r>
      <w:proofErr w:type="spellStart"/>
      <w:r w:rsidRPr="00B93EE1">
        <w:t>i</w:t>
      </w:r>
      <w:proofErr w:type="spellEnd"/>
      <w:r w:rsidRPr="00B93EE1">
        <w:t>) New Zealand ships; (ii) foreign ships passing through New Zealand to unload import cargo or load export cargo; and (iii) overseas-registered ships operated or controlled by a New Zealand entity, provided that the crew is subject to national law. Any other ship is not allowed to carry coastal cargo unless it receives authorization to do so, provided that no New Zealand ship or foreign ship on an international voyage is available.</w:t>
      </w:r>
    </w:p>
    <w:p w14:paraId="07A3C3BF" w14:textId="77777777" w:rsidR="00120717" w:rsidRPr="00F64A35" w:rsidRDefault="00120717" w:rsidP="008B54EB">
      <w:pPr>
        <w:pStyle w:val="BodyText"/>
      </w:pPr>
      <w:r w:rsidRPr="00B93EE1">
        <w:t xml:space="preserve">New Zealand-owned ships (i.e. ships that are majority or entirely owned by New Zealand nationals) must be registered under the Ship Registration Act 1992. Foreign persons are only allowed to register a ship under the country's flag in co-ownership with a majority of New Zealand nationals. </w:t>
      </w:r>
      <w:r w:rsidRPr="00B93EE1">
        <w:lastRenderedPageBreak/>
        <w:t>When the ship is subject to shareholding, more than half of the shares in the ship must be owned by New Zealand nationals.</w:t>
      </w:r>
    </w:p>
    <w:p w14:paraId="30992EE2" w14:textId="77777777" w:rsidR="00120717" w:rsidRPr="00F64A35" w:rsidRDefault="00120717" w:rsidP="008B54EB">
      <w:pPr>
        <w:pStyle w:val="BodyText"/>
      </w:pPr>
      <w:r w:rsidRPr="00B93EE1">
        <w:t>The Commerce Act 2017 repealed provisions of the Shipping Act 1987 that previously applied to competition in international shipping and exempted international shipping from the competition regulation under the Commerce Act 1986. The Act amended the Commerce Act to provide qualified exceptions in relation to international liner shipping services. The exceptions allow cooperative price</w:t>
      </w:r>
      <w:r w:rsidRPr="00B93EE1">
        <w:noBreakHyphen/>
        <w:t>fixing and capacity-limiting arrangements that have the effect of improving service supplied to owners or consignors of goods carried at sea.</w:t>
      </w:r>
    </w:p>
    <w:p w14:paraId="7FA86C4A" w14:textId="77777777" w:rsidR="00120717" w:rsidRPr="00F64A35" w:rsidRDefault="00120717" w:rsidP="008B54EB">
      <w:pPr>
        <w:pStyle w:val="BodyText"/>
      </w:pPr>
      <w:r w:rsidRPr="00B93EE1">
        <w:t>The Port Companies Act 1988 provides for the formation of port companies to carry out port</w:t>
      </w:r>
      <w:r w:rsidRPr="00B93EE1">
        <w:noBreakHyphen/>
        <w:t>related commercial activities and control the ownership thereof. Currently, 13 port companies are incorporated under the Act. The Act does not impose any limitation on the acquisition or holding of port company shares by private national or foreign persons, but acquisitions by overseas persons above the specified threshold would need prior consent under the Overseas Investment Act.</w:t>
      </w:r>
    </w:p>
    <w:p w14:paraId="7B4F4B11" w14:textId="77777777" w:rsidR="00120717" w:rsidRPr="00F64A35" w:rsidRDefault="00120717" w:rsidP="008B54EB">
      <w:pPr>
        <w:pStyle w:val="BodyText"/>
      </w:pPr>
      <w:r w:rsidRPr="00B93EE1">
        <w:t>Private companies may also undertake auxiliary services activities in seaport areas. In 2021, however, private shareholding in seaport companies remained limited: 8 of the 13 port companies were entirely owned by local authorities.</w:t>
      </w:r>
    </w:p>
    <w:p w14:paraId="2BFFB281" w14:textId="77777777" w:rsidR="00120717" w:rsidRPr="00F64A35" w:rsidRDefault="00120717" w:rsidP="008B54EB">
      <w:pPr>
        <w:pStyle w:val="BodyText"/>
      </w:pPr>
      <w:r w:rsidRPr="00B93EE1">
        <w:t>The two largest port companies are Port of Tauranga and Ports of Auckland. In 2020, the two companies owned 51% of the total assets of the 12 ports.</w:t>
      </w:r>
      <w:r w:rsidRPr="00B93EE1">
        <w:rPr>
          <w:color w:val="333333"/>
          <w:shd w:val="clear" w:color="auto" w:fill="FFFFFF"/>
        </w:rPr>
        <w:t xml:space="preserve"> Tauranga is New Zealand's largest export port (48% of total exports by value in 2020), and Auckland is the largest import port (51% of total imports by value).</w:t>
      </w:r>
      <w:r w:rsidRPr="00B93EE1">
        <w:rPr>
          <w:rStyle w:val="FootnoteReference"/>
          <w:rFonts w:cs="Verdana"/>
          <w:szCs w:val="18"/>
        </w:rPr>
        <w:footnoteReference w:id="422"/>
      </w:r>
    </w:p>
    <w:p w14:paraId="0B6FC4ED" w14:textId="77777777" w:rsidR="00120717" w:rsidRPr="00F64A35" w:rsidRDefault="00120717" w:rsidP="00CB1CB1">
      <w:pPr>
        <w:pStyle w:val="Heading3"/>
      </w:pPr>
      <w:bookmarkStart w:id="255" w:name="_Toc97800215"/>
      <w:r w:rsidRPr="00B93EE1">
        <w:t>Tourism</w:t>
      </w:r>
      <w:bookmarkEnd w:id="255"/>
    </w:p>
    <w:p w14:paraId="59E26534" w14:textId="77777777" w:rsidR="00120717" w:rsidRPr="00F64A35" w:rsidRDefault="00120717" w:rsidP="00106E1C">
      <w:pPr>
        <w:pStyle w:val="BodyText"/>
      </w:pPr>
      <w:r w:rsidRPr="00B93EE1">
        <w:t>Due to the COVID</w:t>
      </w:r>
      <w:r w:rsidRPr="00B93EE1">
        <w:noBreakHyphen/>
        <w:t>19 effects, New Zealand welcomed some 53,000 international visitors in the year ending March 2021 (down from approximately 3.7 million in 2020) (Table 4.10).</w:t>
      </w:r>
    </w:p>
    <w:p w14:paraId="5D516311" w14:textId="77777777" w:rsidR="00120717" w:rsidRPr="00F64A35" w:rsidRDefault="00120717" w:rsidP="008B54EB">
      <w:pPr>
        <w:pStyle w:val="BodyText"/>
      </w:pPr>
      <w:r w:rsidRPr="00B93EE1">
        <w:t>In the year ending March 2020, the top six markets comprised 70% of total international visitor numbers, and included Australia (41%), the United States (10%), the United Kingdom (6%), China (9%), Germany (2%), and Japan (2%). Hotel occupancy rates reflected this growth pattern, rising from 64% in 2015 to 69% in 2018, before plateauing at around 68.6% in the year ending September 2019.</w:t>
      </w:r>
      <w:r w:rsidRPr="00B93EE1">
        <w:rPr>
          <w:rStyle w:val="FootnoteReference"/>
          <w:rFonts w:cs="Verdana"/>
          <w:szCs w:val="18"/>
        </w:rPr>
        <w:footnoteReference w:id="423"/>
      </w:r>
    </w:p>
    <w:p w14:paraId="16526197" w14:textId="67E9E90D" w:rsidR="00120717" w:rsidRPr="00B93EE1" w:rsidRDefault="00D37A97" w:rsidP="00D37A97">
      <w:pPr>
        <w:pStyle w:val="Caption"/>
      </w:pPr>
      <w:bookmarkStart w:id="256" w:name="_Toc97793414"/>
      <w:r>
        <w:t xml:space="preserve">Table </w:t>
      </w:r>
      <w:r w:rsidR="0012793B">
        <w:fldChar w:fldCharType="begin"/>
      </w:r>
      <w:r w:rsidR="0012793B">
        <w:instrText xml:space="preserve"> STYLEREF 1 \s </w:instrText>
      </w:r>
      <w:r w:rsidR="0012793B">
        <w:fldChar w:fldCharType="separate"/>
      </w:r>
      <w:r>
        <w:rPr>
          <w:noProof/>
        </w:rPr>
        <w:t>4</w:t>
      </w:r>
      <w:r w:rsidR="0012793B">
        <w:rPr>
          <w:noProof/>
        </w:rPr>
        <w:fldChar w:fldCharType="end"/>
      </w:r>
      <w:r>
        <w:t>.</w:t>
      </w:r>
      <w:r w:rsidR="0012793B">
        <w:fldChar w:fldCharType="begin"/>
      </w:r>
      <w:r w:rsidR="0012793B">
        <w:instrText xml:space="preserve"> SEQ Table \* ARABIC \s 1 </w:instrText>
      </w:r>
      <w:r w:rsidR="0012793B">
        <w:fldChar w:fldCharType="separate"/>
      </w:r>
      <w:r>
        <w:rPr>
          <w:noProof/>
        </w:rPr>
        <w:t>10</w:t>
      </w:r>
      <w:r w:rsidR="0012793B">
        <w:rPr>
          <w:noProof/>
        </w:rPr>
        <w:fldChar w:fldCharType="end"/>
      </w:r>
      <w:r w:rsidR="00120717" w:rsidRPr="00B93EE1">
        <w:t xml:space="preserve"> Visitors by key markets with percentage of total, 2015-21</w:t>
      </w:r>
      <w:bookmarkEnd w:id="256"/>
    </w:p>
    <w:tbl>
      <w:tblPr>
        <w:tblStyle w:val="WTOTable13"/>
        <w:tblW w:w="5000" w:type="pct"/>
        <w:tblLook w:val="04A0" w:firstRow="1" w:lastRow="0" w:firstColumn="1" w:lastColumn="0" w:noHBand="0" w:noVBand="1"/>
      </w:tblPr>
      <w:tblGrid>
        <w:gridCol w:w="1277"/>
        <w:gridCol w:w="1143"/>
        <w:gridCol w:w="1143"/>
        <w:gridCol w:w="1143"/>
        <w:gridCol w:w="1144"/>
        <w:gridCol w:w="1144"/>
        <w:gridCol w:w="1144"/>
        <w:gridCol w:w="878"/>
      </w:tblGrid>
      <w:tr w:rsidR="00120717" w:rsidRPr="00B93EE1" w14:paraId="6BAB9BD8" w14:textId="77777777" w:rsidTr="00220A2F">
        <w:trPr>
          <w:cnfStyle w:val="100000000000" w:firstRow="1" w:lastRow="0" w:firstColumn="0" w:lastColumn="0" w:oddVBand="0" w:evenVBand="0" w:oddHBand="0" w:evenHBand="0" w:firstRowFirstColumn="0" w:firstRowLastColumn="0" w:lastRowFirstColumn="0" w:lastRowLastColumn="0"/>
          <w:tblHeader/>
        </w:trPr>
        <w:tc>
          <w:tcPr>
            <w:tcW w:w="0" w:type="pct"/>
          </w:tcPr>
          <w:p w14:paraId="71768C3C" w14:textId="77777777" w:rsidR="00120717" w:rsidRPr="00B93EE1" w:rsidRDefault="00120717" w:rsidP="00DB56D8">
            <w:pPr>
              <w:keepNext/>
              <w:keepLines/>
              <w:rPr>
                <w:bCs/>
                <w:sz w:val="14"/>
                <w:szCs w:val="14"/>
              </w:rPr>
            </w:pPr>
          </w:p>
        </w:tc>
        <w:tc>
          <w:tcPr>
            <w:tcW w:w="0" w:type="pct"/>
            <w:vAlign w:val="center"/>
          </w:tcPr>
          <w:p w14:paraId="6BEEC458" w14:textId="77777777" w:rsidR="00120717" w:rsidRPr="00B93EE1" w:rsidRDefault="00120717" w:rsidP="00DB56D8">
            <w:pPr>
              <w:keepNext/>
              <w:keepLines/>
              <w:ind w:right="113"/>
              <w:jc w:val="right"/>
              <w:rPr>
                <w:bCs/>
                <w:sz w:val="14"/>
                <w:szCs w:val="14"/>
              </w:rPr>
            </w:pPr>
            <w:r w:rsidRPr="00B93EE1">
              <w:rPr>
                <w:bCs/>
                <w:sz w:val="14"/>
                <w:szCs w:val="14"/>
              </w:rPr>
              <w:t>2015</w:t>
            </w:r>
          </w:p>
        </w:tc>
        <w:tc>
          <w:tcPr>
            <w:tcW w:w="0" w:type="pct"/>
            <w:vAlign w:val="center"/>
          </w:tcPr>
          <w:p w14:paraId="41EF4932" w14:textId="77777777" w:rsidR="00120717" w:rsidRPr="00B93EE1" w:rsidRDefault="00120717" w:rsidP="00DB56D8">
            <w:pPr>
              <w:keepNext/>
              <w:keepLines/>
              <w:ind w:right="113"/>
              <w:jc w:val="right"/>
              <w:rPr>
                <w:bCs/>
                <w:sz w:val="14"/>
                <w:szCs w:val="14"/>
              </w:rPr>
            </w:pPr>
            <w:r w:rsidRPr="00B93EE1">
              <w:rPr>
                <w:bCs/>
                <w:sz w:val="14"/>
                <w:szCs w:val="14"/>
              </w:rPr>
              <w:t>2016</w:t>
            </w:r>
          </w:p>
        </w:tc>
        <w:tc>
          <w:tcPr>
            <w:tcW w:w="0" w:type="pct"/>
            <w:vAlign w:val="center"/>
          </w:tcPr>
          <w:p w14:paraId="13D7EC4B" w14:textId="77777777" w:rsidR="00120717" w:rsidRPr="00B93EE1" w:rsidRDefault="00120717" w:rsidP="00DB56D8">
            <w:pPr>
              <w:keepNext/>
              <w:keepLines/>
              <w:ind w:right="113"/>
              <w:jc w:val="right"/>
              <w:rPr>
                <w:bCs/>
                <w:sz w:val="14"/>
                <w:szCs w:val="14"/>
              </w:rPr>
            </w:pPr>
            <w:r w:rsidRPr="00B93EE1">
              <w:rPr>
                <w:bCs/>
                <w:sz w:val="14"/>
                <w:szCs w:val="14"/>
              </w:rPr>
              <w:t>2017</w:t>
            </w:r>
          </w:p>
        </w:tc>
        <w:tc>
          <w:tcPr>
            <w:tcW w:w="0" w:type="pct"/>
            <w:vAlign w:val="center"/>
          </w:tcPr>
          <w:p w14:paraId="5D90A6A7" w14:textId="77777777" w:rsidR="00120717" w:rsidRPr="00B93EE1" w:rsidRDefault="00120717" w:rsidP="00DB56D8">
            <w:pPr>
              <w:keepNext/>
              <w:keepLines/>
              <w:ind w:right="113"/>
              <w:jc w:val="right"/>
              <w:rPr>
                <w:bCs/>
                <w:sz w:val="14"/>
                <w:szCs w:val="14"/>
              </w:rPr>
            </w:pPr>
            <w:r w:rsidRPr="00B93EE1">
              <w:rPr>
                <w:bCs/>
                <w:sz w:val="14"/>
                <w:szCs w:val="14"/>
              </w:rPr>
              <w:t>2018</w:t>
            </w:r>
          </w:p>
        </w:tc>
        <w:tc>
          <w:tcPr>
            <w:tcW w:w="0" w:type="pct"/>
            <w:vAlign w:val="center"/>
          </w:tcPr>
          <w:p w14:paraId="1156315C" w14:textId="77777777" w:rsidR="00120717" w:rsidRPr="00B93EE1" w:rsidRDefault="00120717" w:rsidP="00DB56D8">
            <w:pPr>
              <w:keepNext/>
              <w:keepLines/>
              <w:ind w:right="113"/>
              <w:jc w:val="right"/>
              <w:rPr>
                <w:bCs/>
                <w:sz w:val="14"/>
                <w:szCs w:val="14"/>
              </w:rPr>
            </w:pPr>
            <w:r w:rsidRPr="00B93EE1">
              <w:rPr>
                <w:bCs/>
                <w:sz w:val="14"/>
                <w:szCs w:val="14"/>
              </w:rPr>
              <w:t>2019</w:t>
            </w:r>
          </w:p>
        </w:tc>
        <w:tc>
          <w:tcPr>
            <w:tcW w:w="0" w:type="pct"/>
            <w:vAlign w:val="center"/>
          </w:tcPr>
          <w:p w14:paraId="32B03DFC" w14:textId="77777777" w:rsidR="00120717" w:rsidRPr="00B93EE1" w:rsidRDefault="00120717" w:rsidP="00DB56D8">
            <w:pPr>
              <w:keepNext/>
              <w:keepLines/>
              <w:ind w:right="113"/>
              <w:jc w:val="right"/>
              <w:rPr>
                <w:bCs/>
                <w:sz w:val="14"/>
                <w:szCs w:val="14"/>
              </w:rPr>
            </w:pPr>
            <w:r w:rsidRPr="00B93EE1">
              <w:rPr>
                <w:bCs/>
                <w:sz w:val="14"/>
                <w:szCs w:val="14"/>
              </w:rPr>
              <w:t>2020</w:t>
            </w:r>
          </w:p>
        </w:tc>
        <w:tc>
          <w:tcPr>
            <w:tcW w:w="0" w:type="pct"/>
            <w:vAlign w:val="center"/>
          </w:tcPr>
          <w:p w14:paraId="2E46C2CA" w14:textId="77777777" w:rsidR="00120717" w:rsidRPr="00B93EE1" w:rsidRDefault="00120717" w:rsidP="00DB56D8">
            <w:pPr>
              <w:keepNext/>
              <w:keepLines/>
              <w:ind w:right="113"/>
              <w:jc w:val="right"/>
              <w:rPr>
                <w:bCs/>
                <w:sz w:val="14"/>
                <w:szCs w:val="14"/>
              </w:rPr>
            </w:pPr>
            <w:r w:rsidRPr="00B93EE1">
              <w:rPr>
                <w:bCs/>
                <w:sz w:val="14"/>
                <w:szCs w:val="14"/>
              </w:rPr>
              <w:t>2021</w:t>
            </w:r>
          </w:p>
        </w:tc>
      </w:tr>
      <w:tr w:rsidR="00120717" w:rsidRPr="00B93EE1" w14:paraId="07319F26" w14:textId="77777777" w:rsidTr="00AA39ED">
        <w:trPr>
          <w:cnfStyle w:val="000000100000" w:firstRow="0" w:lastRow="0" w:firstColumn="0" w:lastColumn="0" w:oddVBand="0" w:evenVBand="0" w:oddHBand="1" w:evenHBand="0" w:firstRowFirstColumn="0" w:firstRowLastColumn="0" w:lastRowFirstColumn="0" w:lastRowLastColumn="0"/>
          <w:trHeight w:val="226"/>
        </w:trPr>
        <w:tc>
          <w:tcPr>
            <w:tcW w:w="635" w:type="pct"/>
            <w:vAlign w:val="center"/>
          </w:tcPr>
          <w:p w14:paraId="31868CDB" w14:textId="1249C054" w:rsidR="00AA39ED" w:rsidRPr="00B93EE1" w:rsidRDefault="00120717" w:rsidP="00E326B1">
            <w:pPr>
              <w:keepNext/>
              <w:keepLines/>
              <w:spacing w:before="10" w:after="10"/>
              <w:jc w:val="left"/>
              <w:rPr>
                <w:b/>
                <w:bCs/>
                <w:sz w:val="14"/>
                <w:szCs w:val="14"/>
              </w:rPr>
            </w:pPr>
            <w:r w:rsidRPr="00B93EE1">
              <w:rPr>
                <w:b/>
                <w:bCs/>
                <w:sz w:val="14"/>
                <w:szCs w:val="14"/>
              </w:rPr>
              <w:t>Total visitors</w:t>
            </w:r>
          </w:p>
        </w:tc>
        <w:tc>
          <w:tcPr>
            <w:tcW w:w="647" w:type="pct"/>
            <w:vAlign w:val="center"/>
          </w:tcPr>
          <w:p w14:paraId="11D669E1" w14:textId="77777777" w:rsidR="00120717" w:rsidRPr="00B93EE1" w:rsidRDefault="00120717" w:rsidP="00E326B1">
            <w:pPr>
              <w:keepNext/>
              <w:keepLines/>
              <w:spacing w:before="10" w:after="10"/>
              <w:ind w:right="113"/>
              <w:jc w:val="right"/>
              <w:rPr>
                <w:b/>
                <w:bCs/>
                <w:sz w:val="14"/>
                <w:szCs w:val="14"/>
              </w:rPr>
            </w:pPr>
            <w:r w:rsidRPr="00B93EE1">
              <w:rPr>
                <w:b/>
                <w:bCs/>
                <w:sz w:val="14"/>
                <w:szCs w:val="14"/>
              </w:rPr>
              <w:t>2,947,901</w:t>
            </w:r>
          </w:p>
        </w:tc>
        <w:tc>
          <w:tcPr>
            <w:tcW w:w="647" w:type="pct"/>
            <w:vAlign w:val="center"/>
          </w:tcPr>
          <w:p w14:paraId="69A898AE" w14:textId="77777777" w:rsidR="00120717" w:rsidRPr="00B93EE1" w:rsidRDefault="00120717" w:rsidP="00E326B1">
            <w:pPr>
              <w:keepNext/>
              <w:keepLines/>
              <w:spacing w:before="10" w:after="10"/>
              <w:ind w:right="113"/>
              <w:jc w:val="right"/>
              <w:rPr>
                <w:b/>
                <w:bCs/>
                <w:sz w:val="14"/>
                <w:szCs w:val="14"/>
              </w:rPr>
            </w:pPr>
            <w:r w:rsidRPr="00B93EE1">
              <w:rPr>
                <w:b/>
                <w:bCs/>
                <w:sz w:val="14"/>
                <w:szCs w:val="14"/>
              </w:rPr>
              <w:t>3,255,463</w:t>
            </w:r>
          </w:p>
        </w:tc>
        <w:tc>
          <w:tcPr>
            <w:tcW w:w="647" w:type="pct"/>
            <w:vAlign w:val="center"/>
          </w:tcPr>
          <w:p w14:paraId="03F6310B" w14:textId="77777777" w:rsidR="00120717" w:rsidRPr="00B93EE1" w:rsidRDefault="00120717" w:rsidP="00E326B1">
            <w:pPr>
              <w:keepNext/>
              <w:keepLines/>
              <w:spacing w:before="10" w:after="10"/>
              <w:ind w:right="113"/>
              <w:jc w:val="right"/>
              <w:rPr>
                <w:b/>
                <w:bCs/>
                <w:sz w:val="14"/>
                <w:szCs w:val="14"/>
              </w:rPr>
            </w:pPr>
            <w:r w:rsidRPr="00B93EE1">
              <w:rPr>
                <w:b/>
                <w:bCs/>
                <w:sz w:val="14"/>
                <w:szCs w:val="14"/>
              </w:rPr>
              <w:t>3,543,631</w:t>
            </w:r>
          </w:p>
        </w:tc>
        <w:tc>
          <w:tcPr>
            <w:tcW w:w="647" w:type="pct"/>
            <w:vAlign w:val="center"/>
          </w:tcPr>
          <w:p w14:paraId="16C420B5" w14:textId="77777777" w:rsidR="00120717" w:rsidRPr="00B93EE1" w:rsidRDefault="00120717" w:rsidP="00E326B1">
            <w:pPr>
              <w:keepNext/>
              <w:keepLines/>
              <w:spacing w:before="10" w:after="10"/>
              <w:ind w:right="113"/>
              <w:jc w:val="right"/>
              <w:rPr>
                <w:b/>
                <w:bCs/>
                <w:sz w:val="14"/>
                <w:szCs w:val="14"/>
              </w:rPr>
            </w:pPr>
            <w:r w:rsidRPr="00B93EE1">
              <w:rPr>
                <w:b/>
                <w:bCs/>
                <w:sz w:val="14"/>
                <w:szCs w:val="14"/>
              </w:rPr>
              <w:t>3,819,817</w:t>
            </w:r>
          </w:p>
        </w:tc>
        <w:tc>
          <w:tcPr>
            <w:tcW w:w="647" w:type="pct"/>
            <w:vAlign w:val="center"/>
          </w:tcPr>
          <w:p w14:paraId="7D276B95" w14:textId="77777777" w:rsidR="00120717" w:rsidRPr="00B93EE1" w:rsidRDefault="00120717" w:rsidP="00E326B1">
            <w:pPr>
              <w:keepNext/>
              <w:keepLines/>
              <w:spacing w:before="10" w:after="10"/>
              <w:ind w:right="113"/>
              <w:jc w:val="right"/>
              <w:rPr>
                <w:b/>
                <w:bCs/>
                <w:sz w:val="14"/>
                <w:szCs w:val="14"/>
              </w:rPr>
            </w:pPr>
            <w:r w:rsidRPr="00B93EE1">
              <w:rPr>
                <w:b/>
                <w:bCs/>
                <w:sz w:val="14"/>
                <w:szCs w:val="14"/>
              </w:rPr>
              <w:t>3,867,756</w:t>
            </w:r>
          </w:p>
        </w:tc>
        <w:tc>
          <w:tcPr>
            <w:tcW w:w="647" w:type="pct"/>
            <w:vAlign w:val="center"/>
          </w:tcPr>
          <w:p w14:paraId="6C573D4B" w14:textId="77777777" w:rsidR="00120717" w:rsidRPr="00B93EE1" w:rsidRDefault="00120717" w:rsidP="00E326B1">
            <w:pPr>
              <w:keepNext/>
              <w:keepLines/>
              <w:spacing w:before="10" w:after="10"/>
              <w:ind w:right="113"/>
              <w:jc w:val="right"/>
              <w:rPr>
                <w:b/>
                <w:bCs/>
                <w:sz w:val="14"/>
                <w:szCs w:val="14"/>
              </w:rPr>
            </w:pPr>
            <w:r w:rsidRPr="00B93EE1">
              <w:rPr>
                <w:b/>
                <w:bCs/>
                <w:sz w:val="14"/>
                <w:szCs w:val="14"/>
              </w:rPr>
              <w:t>3,651,967</w:t>
            </w:r>
          </w:p>
        </w:tc>
        <w:tc>
          <w:tcPr>
            <w:tcW w:w="485" w:type="pct"/>
            <w:vAlign w:val="center"/>
          </w:tcPr>
          <w:p w14:paraId="69D76459" w14:textId="77777777" w:rsidR="00120717" w:rsidRPr="00B93EE1" w:rsidRDefault="00120717" w:rsidP="00E326B1">
            <w:pPr>
              <w:keepNext/>
              <w:keepLines/>
              <w:spacing w:before="10" w:after="10"/>
              <w:ind w:right="113"/>
              <w:jc w:val="right"/>
              <w:rPr>
                <w:b/>
                <w:bCs/>
                <w:sz w:val="14"/>
                <w:szCs w:val="14"/>
              </w:rPr>
            </w:pPr>
            <w:r w:rsidRPr="00B93EE1">
              <w:rPr>
                <w:b/>
                <w:bCs/>
                <w:sz w:val="14"/>
                <w:szCs w:val="14"/>
              </w:rPr>
              <w:t>52,690</w:t>
            </w:r>
          </w:p>
        </w:tc>
      </w:tr>
      <w:tr w:rsidR="00120717" w:rsidRPr="00B93EE1" w14:paraId="673A66D3" w14:textId="77777777" w:rsidTr="00681C42">
        <w:trPr>
          <w:cnfStyle w:val="000000010000" w:firstRow="0" w:lastRow="0" w:firstColumn="0" w:lastColumn="0" w:oddVBand="0" w:evenVBand="0" w:oddHBand="0" w:evenHBand="1" w:firstRowFirstColumn="0" w:firstRowLastColumn="0" w:lastRowFirstColumn="0" w:lastRowLastColumn="0"/>
          <w:trHeight w:val="285"/>
        </w:trPr>
        <w:tc>
          <w:tcPr>
            <w:tcW w:w="635" w:type="pct"/>
          </w:tcPr>
          <w:p w14:paraId="15B32F1A" w14:textId="77777777" w:rsidR="00120717" w:rsidRPr="00B93EE1" w:rsidRDefault="00120717" w:rsidP="00681C42">
            <w:pPr>
              <w:keepNext/>
              <w:keepLines/>
              <w:spacing w:before="10" w:after="10"/>
              <w:jc w:val="left"/>
              <w:rPr>
                <w:b/>
                <w:bCs/>
                <w:sz w:val="14"/>
                <w:szCs w:val="14"/>
              </w:rPr>
            </w:pPr>
            <w:r w:rsidRPr="00B93EE1">
              <w:rPr>
                <w:b/>
                <w:bCs/>
                <w:sz w:val="14"/>
                <w:szCs w:val="14"/>
              </w:rPr>
              <w:t>Australia</w:t>
            </w:r>
          </w:p>
        </w:tc>
        <w:tc>
          <w:tcPr>
            <w:tcW w:w="647" w:type="pct"/>
            <w:vAlign w:val="center"/>
          </w:tcPr>
          <w:p w14:paraId="1622B810" w14:textId="77777777" w:rsidR="00120717" w:rsidRPr="00B93EE1" w:rsidRDefault="00120717" w:rsidP="00E326B1">
            <w:pPr>
              <w:keepNext/>
              <w:keepLines/>
              <w:spacing w:before="10" w:after="10"/>
              <w:ind w:right="113"/>
              <w:jc w:val="right"/>
              <w:rPr>
                <w:sz w:val="14"/>
                <w:szCs w:val="14"/>
              </w:rPr>
            </w:pPr>
            <w:r w:rsidRPr="00B93EE1">
              <w:rPr>
                <w:sz w:val="14"/>
                <w:szCs w:val="14"/>
              </w:rPr>
              <w:t>1,273,152</w:t>
            </w:r>
          </w:p>
          <w:p w14:paraId="4CFBF974" w14:textId="77777777" w:rsidR="00120717" w:rsidRPr="00B93EE1" w:rsidRDefault="00120717" w:rsidP="00E326B1">
            <w:pPr>
              <w:keepNext/>
              <w:keepLines/>
              <w:spacing w:before="10" w:after="10"/>
              <w:ind w:right="113"/>
              <w:jc w:val="right"/>
              <w:rPr>
                <w:sz w:val="14"/>
                <w:szCs w:val="14"/>
              </w:rPr>
            </w:pPr>
            <w:r w:rsidRPr="00B93EE1">
              <w:rPr>
                <w:sz w:val="14"/>
                <w:szCs w:val="14"/>
              </w:rPr>
              <w:t>(43%)</w:t>
            </w:r>
          </w:p>
        </w:tc>
        <w:tc>
          <w:tcPr>
            <w:tcW w:w="647" w:type="pct"/>
            <w:vAlign w:val="center"/>
          </w:tcPr>
          <w:p w14:paraId="799DC774" w14:textId="77777777" w:rsidR="00120717" w:rsidRPr="00B93EE1" w:rsidRDefault="00120717" w:rsidP="00E326B1">
            <w:pPr>
              <w:keepNext/>
              <w:keepLines/>
              <w:spacing w:before="10" w:after="10"/>
              <w:ind w:right="113"/>
              <w:jc w:val="right"/>
              <w:rPr>
                <w:sz w:val="14"/>
                <w:szCs w:val="14"/>
              </w:rPr>
            </w:pPr>
            <w:r w:rsidRPr="00B93EE1">
              <w:rPr>
                <w:sz w:val="14"/>
                <w:szCs w:val="14"/>
              </w:rPr>
              <w:t>1,364,736</w:t>
            </w:r>
          </w:p>
          <w:p w14:paraId="34F9B80F" w14:textId="77777777" w:rsidR="00120717" w:rsidRPr="00B93EE1" w:rsidRDefault="00120717" w:rsidP="00E326B1">
            <w:pPr>
              <w:keepNext/>
              <w:keepLines/>
              <w:spacing w:before="10" w:after="10"/>
              <w:ind w:right="113"/>
              <w:jc w:val="right"/>
              <w:rPr>
                <w:sz w:val="14"/>
                <w:szCs w:val="14"/>
              </w:rPr>
            </w:pPr>
            <w:r w:rsidRPr="00B93EE1">
              <w:rPr>
                <w:sz w:val="14"/>
                <w:szCs w:val="14"/>
              </w:rPr>
              <w:t>(42%)</w:t>
            </w:r>
          </w:p>
        </w:tc>
        <w:tc>
          <w:tcPr>
            <w:tcW w:w="647" w:type="pct"/>
            <w:vAlign w:val="center"/>
          </w:tcPr>
          <w:p w14:paraId="6B16E84B" w14:textId="77777777" w:rsidR="00120717" w:rsidRPr="00B93EE1" w:rsidRDefault="00120717" w:rsidP="00E326B1">
            <w:pPr>
              <w:keepNext/>
              <w:keepLines/>
              <w:spacing w:before="10" w:after="10"/>
              <w:ind w:right="113"/>
              <w:jc w:val="right"/>
              <w:rPr>
                <w:sz w:val="14"/>
                <w:szCs w:val="14"/>
              </w:rPr>
            </w:pPr>
            <w:r w:rsidRPr="00B93EE1">
              <w:rPr>
                <w:sz w:val="14"/>
                <w:szCs w:val="14"/>
              </w:rPr>
              <w:t>1,406,256</w:t>
            </w:r>
          </w:p>
          <w:p w14:paraId="68DA8512" w14:textId="77777777" w:rsidR="00120717" w:rsidRPr="00B93EE1" w:rsidRDefault="00120717" w:rsidP="00E326B1">
            <w:pPr>
              <w:keepNext/>
              <w:keepLines/>
              <w:spacing w:before="10" w:after="10"/>
              <w:ind w:right="113"/>
              <w:jc w:val="right"/>
              <w:rPr>
                <w:sz w:val="14"/>
                <w:szCs w:val="14"/>
              </w:rPr>
            </w:pPr>
            <w:r w:rsidRPr="00B93EE1">
              <w:rPr>
                <w:sz w:val="14"/>
                <w:szCs w:val="14"/>
              </w:rPr>
              <w:t>(40%)</w:t>
            </w:r>
          </w:p>
        </w:tc>
        <w:tc>
          <w:tcPr>
            <w:tcW w:w="647" w:type="pct"/>
            <w:vAlign w:val="center"/>
          </w:tcPr>
          <w:p w14:paraId="222FFF3F" w14:textId="77777777" w:rsidR="00120717" w:rsidRPr="00B93EE1" w:rsidRDefault="00120717" w:rsidP="00E326B1">
            <w:pPr>
              <w:keepNext/>
              <w:keepLines/>
              <w:spacing w:before="10" w:after="10"/>
              <w:ind w:right="113"/>
              <w:jc w:val="right"/>
              <w:rPr>
                <w:sz w:val="14"/>
                <w:szCs w:val="14"/>
              </w:rPr>
            </w:pPr>
            <w:r w:rsidRPr="00B93EE1">
              <w:rPr>
                <w:sz w:val="14"/>
                <w:szCs w:val="14"/>
              </w:rPr>
              <w:t>1,495,392</w:t>
            </w:r>
          </w:p>
          <w:p w14:paraId="265FE975" w14:textId="77777777" w:rsidR="00120717" w:rsidRPr="00B93EE1" w:rsidRDefault="00120717" w:rsidP="00E326B1">
            <w:pPr>
              <w:keepNext/>
              <w:keepLines/>
              <w:spacing w:before="10" w:after="10"/>
              <w:ind w:right="113"/>
              <w:jc w:val="right"/>
              <w:rPr>
                <w:sz w:val="14"/>
                <w:szCs w:val="14"/>
              </w:rPr>
            </w:pPr>
            <w:r w:rsidRPr="00B93EE1">
              <w:rPr>
                <w:sz w:val="14"/>
                <w:szCs w:val="14"/>
              </w:rPr>
              <w:t>(39%)</w:t>
            </w:r>
          </w:p>
        </w:tc>
        <w:tc>
          <w:tcPr>
            <w:tcW w:w="647" w:type="pct"/>
            <w:vAlign w:val="center"/>
          </w:tcPr>
          <w:p w14:paraId="488BF19D" w14:textId="77777777" w:rsidR="00120717" w:rsidRPr="00B93EE1" w:rsidRDefault="00120717" w:rsidP="00E326B1">
            <w:pPr>
              <w:keepNext/>
              <w:keepLines/>
              <w:spacing w:before="10" w:after="10"/>
              <w:ind w:right="113"/>
              <w:jc w:val="right"/>
              <w:rPr>
                <w:sz w:val="14"/>
                <w:szCs w:val="14"/>
              </w:rPr>
            </w:pPr>
            <w:r w:rsidRPr="00B93EE1">
              <w:rPr>
                <w:sz w:val="14"/>
                <w:szCs w:val="14"/>
              </w:rPr>
              <w:t>1,491,000</w:t>
            </w:r>
          </w:p>
          <w:p w14:paraId="3BC0F225" w14:textId="77777777" w:rsidR="00120717" w:rsidRPr="00B93EE1" w:rsidRDefault="00120717" w:rsidP="00E326B1">
            <w:pPr>
              <w:keepNext/>
              <w:keepLines/>
              <w:spacing w:before="10" w:after="10"/>
              <w:ind w:right="113"/>
              <w:jc w:val="right"/>
              <w:rPr>
                <w:sz w:val="14"/>
                <w:szCs w:val="14"/>
              </w:rPr>
            </w:pPr>
            <w:r w:rsidRPr="00B93EE1">
              <w:rPr>
                <w:sz w:val="14"/>
                <w:szCs w:val="14"/>
              </w:rPr>
              <w:t>(39%)</w:t>
            </w:r>
          </w:p>
        </w:tc>
        <w:tc>
          <w:tcPr>
            <w:tcW w:w="647" w:type="pct"/>
            <w:vAlign w:val="center"/>
          </w:tcPr>
          <w:p w14:paraId="741654AC" w14:textId="77777777" w:rsidR="00120717" w:rsidRPr="00B93EE1" w:rsidRDefault="00120717" w:rsidP="00E326B1">
            <w:pPr>
              <w:keepNext/>
              <w:keepLines/>
              <w:spacing w:before="10" w:after="10"/>
              <w:ind w:right="113"/>
              <w:jc w:val="right"/>
              <w:rPr>
                <w:sz w:val="14"/>
                <w:szCs w:val="14"/>
              </w:rPr>
            </w:pPr>
            <w:r w:rsidRPr="00B93EE1">
              <w:rPr>
                <w:sz w:val="14"/>
                <w:szCs w:val="14"/>
              </w:rPr>
              <w:t>1,491,252</w:t>
            </w:r>
          </w:p>
          <w:p w14:paraId="17BB4585" w14:textId="77777777" w:rsidR="00120717" w:rsidRPr="00B93EE1" w:rsidRDefault="00120717" w:rsidP="00E326B1">
            <w:pPr>
              <w:keepNext/>
              <w:keepLines/>
              <w:spacing w:before="10" w:after="10"/>
              <w:ind w:right="113"/>
              <w:jc w:val="right"/>
              <w:rPr>
                <w:sz w:val="14"/>
                <w:szCs w:val="14"/>
              </w:rPr>
            </w:pPr>
            <w:r w:rsidRPr="00B93EE1">
              <w:rPr>
                <w:sz w:val="14"/>
                <w:szCs w:val="14"/>
              </w:rPr>
              <w:t>(41%)</w:t>
            </w:r>
          </w:p>
        </w:tc>
        <w:tc>
          <w:tcPr>
            <w:tcW w:w="485" w:type="pct"/>
            <w:vAlign w:val="center"/>
          </w:tcPr>
          <w:p w14:paraId="0666BCB0" w14:textId="77777777" w:rsidR="00120717" w:rsidRPr="00B93EE1" w:rsidRDefault="00120717" w:rsidP="00E326B1">
            <w:pPr>
              <w:keepNext/>
              <w:keepLines/>
              <w:spacing w:before="10" w:after="10"/>
              <w:ind w:right="113"/>
              <w:jc w:val="right"/>
              <w:rPr>
                <w:sz w:val="14"/>
                <w:szCs w:val="14"/>
              </w:rPr>
            </w:pPr>
            <w:r w:rsidRPr="00B93EE1">
              <w:rPr>
                <w:sz w:val="14"/>
                <w:szCs w:val="14"/>
              </w:rPr>
              <w:t>15,106</w:t>
            </w:r>
          </w:p>
          <w:p w14:paraId="2E615659" w14:textId="77777777" w:rsidR="00120717" w:rsidRPr="00B93EE1" w:rsidRDefault="00120717" w:rsidP="00E326B1">
            <w:pPr>
              <w:keepNext/>
              <w:keepLines/>
              <w:spacing w:before="10" w:after="10"/>
              <w:ind w:right="113"/>
              <w:jc w:val="right"/>
              <w:rPr>
                <w:sz w:val="14"/>
                <w:szCs w:val="14"/>
              </w:rPr>
            </w:pPr>
            <w:r w:rsidRPr="00B93EE1">
              <w:rPr>
                <w:sz w:val="14"/>
                <w:szCs w:val="14"/>
              </w:rPr>
              <w:t>(29%)</w:t>
            </w:r>
          </w:p>
        </w:tc>
      </w:tr>
      <w:tr w:rsidR="00120717" w:rsidRPr="00B93EE1" w14:paraId="70F57DCD" w14:textId="77777777" w:rsidTr="00681C42">
        <w:trPr>
          <w:cnfStyle w:val="000000100000" w:firstRow="0" w:lastRow="0" w:firstColumn="0" w:lastColumn="0" w:oddVBand="0" w:evenVBand="0" w:oddHBand="1" w:evenHBand="0" w:firstRowFirstColumn="0" w:firstRowLastColumn="0" w:lastRowFirstColumn="0" w:lastRowLastColumn="0"/>
          <w:trHeight w:val="376"/>
        </w:trPr>
        <w:tc>
          <w:tcPr>
            <w:tcW w:w="635" w:type="pct"/>
          </w:tcPr>
          <w:p w14:paraId="4687AC54" w14:textId="77777777" w:rsidR="00120717" w:rsidRPr="00B93EE1" w:rsidRDefault="00120717" w:rsidP="00681C42">
            <w:pPr>
              <w:spacing w:before="10" w:after="10"/>
              <w:jc w:val="left"/>
              <w:rPr>
                <w:b/>
                <w:bCs/>
                <w:sz w:val="14"/>
                <w:szCs w:val="14"/>
              </w:rPr>
            </w:pPr>
            <w:r w:rsidRPr="00B93EE1">
              <w:rPr>
                <w:b/>
                <w:bCs/>
                <w:sz w:val="14"/>
                <w:szCs w:val="14"/>
              </w:rPr>
              <w:t>China</w:t>
            </w:r>
          </w:p>
        </w:tc>
        <w:tc>
          <w:tcPr>
            <w:tcW w:w="647" w:type="pct"/>
            <w:vAlign w:val="center"/>
          </w:tcPr>
          <w:p w14:paraId="5DEB0022" w14:textId="77777777" w:rsidR="00120717" w:rsidRPr="00B93EE1" w:rsidRDefault="00120717" w:rsidP="00E326B1">
            <w:pPr>
              <w:spacing w:before="10" w:after="10"/>
              <w:ind w:right="113"/>
              <w:jc w:val="right"/>
              <w:rPr>
                <w:sz w:val="14"/>
                <w:szCs w:val="14"/>
              </w:rPr>
            </w:pPr>
            <w:r w:rsidRPr="00B93EE1">
              <w:rPr>
                <w:sz w:val="14"/>
                <w:szCs w:val="14"/>
              </w:rPr>
              <w:t>295,552</w:t>
            </w:r>
          </w:p>
          <w:p w14:paraId="1B710E97" w14:textId="77777777" w:rsidR="00120717" w:rsidRPr="00B93EE1" w:rsidRDefault="00120717" w:rsidP="00E326B1">
            <w:pPr>
              <w:spacing w:before="10" w:after="10"/>
              <w:ind w:right="113"/>
              <w:jc w:val="right"/>
              <w:rPr>
                <w:sz w:val="14"/>
                <w:szCs w:val="14"/>
              </w:rPr>
            </w:pPr>
            <w:r w:rsidRPr="00B93EE1">
              <w:rPr>
                <w:sz w:val="14"/>
                <w:szCs w:val="14"/>
              </w:rPr>
              <w:t>(10%)</w:t>
            </w:r>
          </w:p>
        </w:tc>
        <w:tc>
          <w:tcPr>
            <w:tcW w:w="647" w:type="pct"/>
            <w:vAlign w:val="center"/>
          </w:tcPr>
          <w:p w14:paraId="5B498275" w14:textId="77777777" w:rsidR="00120717" w:rsidRPr="00B93EE1" w:rsidRDefault="00120717" w:rsidP="00E326B1">
            <w:pPr>
              <w:spacing w:before="10" w:after="10"/>
              <w:ind w:right="113"/>
              <w:jc w:val="right"/>
              <w:rPr>
                <w:sz w:val="14"/>
                <w:szCs w:val="14"/>
              </w:rPr>
            </w:pPr>
            <w:r w:rsidRPr="00B93EE1">
              <w:rPr>
                <w:sz w:val="14"/>
                <w:szCs w:val="14"/>
              </w:rPr>
              <w:t>377,840</w:t>
            </w:r>
          </w:p>
          <w:p w14:paraId="2E1EA6E9" w14:textId="77777777" w:rsidR="00120717" w:rsidRPr="00B93EE1" w:rsidRDefault="00120717" w:rsidP="00E326B1">
            <w:pPr>
              <w:spacing w:before="10" w:after="10"/>
              <w:ind w:right="113"/>
              <w:jc w:val="right"/>
              <w:rPr>
                <w:sz w:val="14"/>
                <w:szCs w:val="14"/>
              </w:rPr>
            </w:pPr>
            <w:r w:rsidRPr="00B93EE1">
              <w:rPr>
                <w:sz w:val="14"/>
                <w:szCs w:val="14"/>
              </w:rPr>
              <w:t>(12%)</w:t>
            </w:r>
          </w:p>
        </w:tc>
        <w:tc>
          <w:tcPr>
            <w:tcW w:w="647" w:type="pct"/>
            <w:vAlign w:val="center"/>
          </w:tcPr>
          <w:p w14:paraId="68F5FB67" w14:textId="77777777" w:rsidR="00120717" w:rsidRPr="00B93EE1" w:rsidRDefault="00120717" w:rsidP="00E326B1">
            <w:pPr>
              <w:spacing w:before="10" w:after="10"/>
              <w:ind w:right="113"/>
              <w:jc w:val="right"/>
              <w:rPr>
                <w:sz w:val="14"/>
                <w:szCs w:val="14"/>
              </w:rPr>
            </w:pPr>
            <w:r w:rsidRPr="00B93EE1">
              <w:rPr>
                <w:sz w:val="14"/>
                <w:szCs w:val="14"/>
              </w:rPr>
              <w:t>404,384</w:t>
            </w:r>
          </w:p>
          <w:p w14:paraId="3FBA988D" w14:textId="77777777" w:rsidR="00120717" w:rsidRPr="00B93EE1" w:rsidRDefault="00120717" w:rsidP="00E326B1">
            <w:pPr>
              <w:spacing w:before="10" w:after="10"/>
              <w:ind w:right="113"/>
              <w:jc w:val="right"/>
              <w:rPr>
                <w:sz w:val="14"/>
                <w:szCs w:val="14"/>
              </w:rPr>
            </w:pPr>
            <w:r w:rsidRPr="00B93EE1">
              <w:rPr>
                <w:sz w:val="14"/>
                <w:szCs w:val="14"/>
              </w:rPr>
              <w:t>(11%)</w:t>
            </w:r>
          </w:p>
        </w:tc>
        <w:tc>
          <w:tcPr>
            <w:tcW w:w="647" w:type="pct"/>
            <w:vAlign w:val="center"/>
          </w:tcPr>
          <w:p w14:paraId="747B35E8" w14:textId="77777777" w:rsidR="00120717" w:rsidRPr="00B93EE1" w:rsidRDefault="00120717" w:rsidP="00E326B1">
            <w:pPr>
              <w:spacing w:before="10" w:after="10"/>
              <w:ind w:right="113"/>
              <w:jc w:val="right"/>
              <w:rPr>
                <w:sz w:val="14"/>
                <w:szCs w:val="14"/>
              </w:rPr>
            </w:pPr>
            <w:r w:rsidRPr="00B93EE1">
              <w:rPr>
                <w:sz w:val="14"/>
                <w:szCs w:val="14"/>
              </w:rPr>
              <w:t>437,696</w:t>
            </w:r>
          </w:p>
          <w:p w14:paraId="35CFF992" w14:textId="77777777" w:rsidR="00120717" w:rsidRPr="00B93EE1" w:rsidRDefault="00120717" w:rsidP="00E326B1">
            <w:pPr>
              <w:spacing w:before="10" w:after="10"/>
              <w:ind w:right="113"/>
              <w:jc w:val="right"/>
              <w:rPr>
                <w:sz w:val="14"/>
                <w:szCs w:val="14"/>
              </w:rPr>
            </w:pPr>
            <w:r w:rsidRPr="00B93EE1">
              <w:rPr>
                <w:sz w:val="14"/>
                <w:szCs w:val="14"/>
              </w:rPr>
              <w:t>(11%)</w:t>
            </w:r>
          </w:p>
        </w:tc>
        <w:tc>
          <w:tcPr>
            <w:tcW w:w="647" w:type="pct"/>
            <w:vAlign w:val="center"/>
          </w:tcPr>
          <w:p w14:paraId="06A62C49" w14:textId="77777777" w:rsidR="00120717" w:rsidRPr="00B93EE1" w:rsidRDefault="00120717" w:rsidP="00E326B1">
            <w:pPr>
              <w:spacing w:before="10" w:after="10"/>
              <w:ind w:right="113"/>
              <w:jc w:val="right"/>
              <w:rPr>
                <w:sz w:val="14"/>
                <w:szCs w:val="14"/>
              </w:rPr>
            </w:pPr>
            <w:r w:rsidRPr="00B93EE1">
              <w:rPr>
                <w:sz w:val="14"/>
                <w:szCs w:val="14"/>
              </w:rPr>
              <w:t>434,323</w:t>
            </w:r>
          </w:p>
          <w:p w14:paraId="2FFDA29E" w14:textId="77777777" w:rsidR="00120717" w:rsidRPr="00B93EE1" w:rsidRDefault="00120717" w:rsidP="00E326B1">
            <w:pPr>
              <w:spacing w:before="10" w:after="10"/>
              <w:ind w:right="113"/>
              <w:jc w:val="right"/>
              <w:rPr>
                <w:sz w:val="14"/>
                <w:szCs w:val="14"/>
              </w:rPr>
            </w:pPr>
            <w:r w:rsidRPr="00B93EE1">
              <w:rPr>
                <w:sz w:val="14"/>
                <w:szCs w:val="14"/>
              </w:rPr>
              <w:t>(11%)</w:t>
            </w:r>
          </w:p>
        </w:tc>
        <w:tc>
          <w:tcPr>
            <w:tcW w:w="647" w:type="pct"/>
            <w:vAlign w:val="center"/>
          </w:tcPr>
          <w:p w14:paraId="305466C9" w14:textId="77777777" w:rsidR="00120717" w:rsidRPr="00B93EE1" w:rsidRDefault="00120717" w:rsidP="00E326B1">
            <w:pPr>
              <w:spacing w:before="10" w:after="10"/>
              <w:ind w:right="113"/>
              <w:jc w:val="right"/>
              <w:rPr>
                <w:sz w:val="14"/>
                <w:szCs w:val="14"/>
              </w:rPr>
            </w:pPr>
            <w:r w:rsidRPr="00B93EE1">
              <w:rPr>
                <w:sz w:val="14"/>
                <w:szCs w:val="14"/>
              </w:rPr>
              <w:t>328,145</w:t>
            </w:r>
          </w:p>
          <w:p w14:paraId="30F7E943" w14:textId="77777777" w:rsidR="00120717" w:rsidRPr="00B93EE1" w:rsidRDefault="00120717" w:rsidP="00E326B1">
            <w:pPr>
              <w:spacing w:before="10" w:after="10"/>
              <w:ind w:right="113"/>
              <w:jc w:val="right"/>
              <w:rPr>
                <w:sz w:val="14"/>
                <w:szCs w:val="14"/>
              </w:rPr>
            </w:pPr>
            <w:r w:rsidRPr="00B93EE1">
              <w:rPr>
                <w:sz w:val="14"/>
                <w:szCs w:val="14"/>
              </w:rPr>
              <w:t>(9%)</w:t>
            </w:r>
          </w:p>
        </w:tc>
        <w:tc>
          <w:tcPr>
            <w:tcW w:w="485" w:type="pct"/>
            <w:vAlign w:val="center"/>
          </w:tcPr>
          <w:p w14:paraId="31BC8AAE" w14:textId="77777777" w:rsidR="00120717" w:rsidRPr="00B93EE1" w:rsidRDefault="00120717" w:rsidP="00E326B1">
            <w:pPr>
              <w:spacing w:before="10" w:after="10"/>
              <w:ind w:right="113"/>
              <w:jc w:val="right"/>
              <w:rPr>
                <w:sz w:val="14"/>
                <w:szCs w:val="14"/>
              </w:rPr>
            </w:pPr>
            <w:r w:rsidRPr="00B93EE1">
              <w:rPr>
                <w:sz w:val="14"/>
                <w:szCs w:val="14"/>
              </w:rPr>
              <w:t>2,155</w:t>
            </w:r>
          </w:p>
          <w:p w14:paraId="2920F8CC" w14:textId="77777777" w:rsidR="00120717" w:rsidRPr="00B93EE1" w:rsidRDefault="00120717" w:rsidP="00E326B1">
            <w:pPr>
              <w:spacing w:before="10" w:after="10"/>
              <w:ind w:right="113"/>
              <w:jc w:val="right"/>
              <w:rPr>
                <w:sz w:val="14"/>
                <w:szCs w:val="14"/>
              </w:rPr>
            </w:pPr>
            <w:r w:rsidRPr="00B93EE1">
              <w:rPr>
                <w:sz w:val="14"/>
                <w:szCs w:val="14"/>
              </w:rPr>
              <w:t>(4%)</w:t>
            </w:r>
          </w:p>
        </w:tc>
      </w:tr>
      <w:tr w:rsidR="00120717" w:rsidRPr="00B93EE1" w14:paraId="7295EE2F" w14:textId="77777777" w:rsidTr="00681C42">
        <w:trPr>
          <w:cnfStyle w:val="000000010000" w:firstRow="0" w:lastRow="0" w:firstColumn="0" w:lastColumn="0" w:oddVBand="0" w:evenVBand="0" w:oddHBand="0" w:evenHBand="1" w:firstRowFirstColumn="0" w:firstRowLastColumn="0" w:lastRowFirstColumn="0" w:lastRowLastColumn="0"/>
          <w:trHeight w:val="281"/>
        </w:trPr>
        <w:tc>
          <w:tcPr>
            <w:tcW w:w="635" w:type="pct"/>
          </w:tcPr>
          <w:p w14:paraId="14E81D8F" w14:textId="77777777" w:rsidR="00120717" w:rsidRPr="00B93EE1" w:rsidRDefault="00120717" w:rsidP="00681C42">
            <w:pPr>
              <w:spacing w:before="10" w:after="10"/>
              <w:jc w:val="left"/>
              <w:rPr>
                <w:b/>
                <w:bCs/>
                <w:sz w:val="14"/>
                <w:szCs w:val="14"/>
              </w:rPr>
            </w:pPr>
            <w:r w:rsidRPr="00B93EE1">
              <w:rPr>
                <w:b/>
                <w:bCs/>
                <w:sz w:val="14"/>
                <w:szCs w:val="14"/>
              </w:rPr>
              <w:t>United States</w:t>
            </w:r>
          </w:p>
        </w:tc>
        <w:tc>
          <w:tcPr>
            <w:tcW w:w="647" w:type="pct"/>
            <w:vAlign w:val="center"/>
          </w:tcPr>
          <w:p w14:paraId="27C2A2A2" w14:textId="77777777" w:rsidR="00120717" w:rsidRPr="00B93EE1" w:rsidRDefault="00120717" w:rsidP="00E326B1">
            <w:pPr>
              <w:spacing w:before="10" w:after="10"/>
              <w:ind w:right="113"/>
              <w:jc w:val="right"/>
              <w:rPr>
                <w:sz w:val="14"/>
                <w:szCs w:val="14"/>
              </w:rPr>
            </w:pPr>
            <w:r w:rsidRPr="00B93EE1">
              <w:rPr>
                <w:sz w:val="14"/>
                <w:szCs w:val="14"/>
              </w:rPr>
              <w:t>226,960</w:t>
            </w:r>
          </w:p>
          <w:p w14:paraId="70E5F6B7" w14:textId="77777777" w:rsidR="00120717" w:rsidRPr="00B93EE1" w:rsidRDefault="00120717" w:rsidP="00E326B1">
            <w:pPr>
              <w:spacing w:before="10" w:after="10"/>
              <w:ind w:right="113"/>
              <w:jc w:val="right"/>
              <w:rPr>
                <w:sz w:val="14"/>
                <w:szCs w:val="14"/>
              </w:rPr>
            </w:pPr>
            <w:r w:rsidRPr="00B93EE1">
              <w:rPr>
                <w:sz w:val="14"/>
                <w:szCs w:val="14"/>
              </w:rPr>
              <w:t>(8%)</w:t>
            </w:r>
          </w:p>
        </w:tc>
        <w:tc>
          <w:tcPr>
            <w:tcW w:w="647" w:type="pct"/>
            <w:vAlign w:val="center"/>
          </w:tcPr>
          <w:p w14:paraId="4136D0D4" w14:textId="77777777" w:rsidR="00120717" w:rsidRPr="00B93EE1" w:rsidRDefault="00120717" w:rsidP="00E326B1">
            <w:pPr>
              <w:spacing w:before="10" w:after="10"/>
              <w:ind w:right="113"/>
              <w:jc w:val="right"/>
              <w:rPr>
                <w:sz w:val="14"/>
                <w:szCs w:val="14"/>
              </w:rPr>
            </w:pPr>
            <w:r w:rsidRPr="00B93EE1">
              <w:rPr>
                <w:sz w:val="14"/>
                <w:szCs w:val="14"/>
              </w:rPr>
              <w:t>253,792</w:t>
            </w:r>
          </w:p>
          <w:p w14:paraId="6EF622B7" w14:textId="77777777" w:rsidR="00120717" w:rsidRPr="00B93EE1" w:rsidRDefault="00120717" w:rsidP="00E326B1">
            <w:pPr>
              <w:spacing w:before="10" w:after="10"/>
              <w:ind w:right="113"/>
              <w:jc w:val="right"/>
              <w:rPr>
                <w:sz w:val="14"/>
                <w:szCs w:val="14"/>
              </w:rPr>
            </w:pPr>
            <w:r w:rsidRPr="00B93EE1">
              <w:rPr>
                <w:sz w:val="14"/>
                <w:szCs w:val="14"/>
              </w:rPr>
              <w:t>(8%)</w:t>
            </w:r>
          </w:p>
        </w:tc>
        <w:tc>
          <w:tcPr>
            <w:tcW w:w="647" w:type="pct"/>
            <w:vAlign w:val="center"/>
          </w:tcPr>
          <w:p w14:paraId="739EAE2E" w14:textId="77777777" w:rsidR="00120717" w:rsidRPr="00B93EE1" w:rsidRDefault="00120717" w:rsidP="00E326B1">
            <w:pPr>
              <w:spacing w:before="10" w:after="10"/>
              <w:ind w:right="113"/>
              <w:jc w:val="right"/>
              <w:rPr>
                <w:sz w:val="14"/>
                <w:szCs w:val="14"/>
              </w:rPr>
            </w:pPr>
            <w:r w:rsidRPr="00B93EE1">
              <w:rPr>
                <w:sz w:val="14"/>
                <w:szCs w:val="14"/>
              </w:rPr>
              <w:t>312,816</w:t>
            </w:r>
          </w:p>
          <w:p w14:paraId="298D038A" w14:textId="77777777" w:rsidR="00120717" w:rsidRPr="00B93EE1" w:rsidRDefault="00120717" w:rsidP="00E326B1">
            <w:pPr>
              <w:spacing w:before="10" w:after="10"/>
              <w:ind w:right="113"/>
              <w:jc w:val="right"/>
              <w:rPr>
                <w:sz w:val="14"/>
                <w:szCs w:val="14"/>
              </w:rPr>
            </w:pPr>
            <w:r w:rsidRPr="00B93EE1">
              <w:rPr>
                <w:sz w:val="14"/>
                <w:szCs w:val="14"/>
              </w:rPr>
              <w:t>(9%)</w:t>
            </w:r>
          </w:p>
        </w:tc>
        <w:tc>
          <w:tcPr>
            <w:tcW w:w="647" w:type="pct"/>
            <w:vAlign w:val="center"/>
          </w:tcPr>
          <w:p w14:paraId="21CD7D1B" w14:textId="77777777" w:rsidR="00120717" w:rsidRPr="00B93EE1" w:rsidRDefault="00120717" w:rsidP="00E326B1">
            <w:pPr>
              <w:spacing w:before="10" w:after="10"/>
              <w:ind w:right="113"/>
              <w:jc w:val="right"/>
              <w:rPr>
                <w:sz w:val="14"/>
                <w:szCs w:val="14"/>
              </w:rPr>
            </w:pPr>
            <w:r w:rsidRPr="00B93EE1">
              <w:rPr>
                <w:sz w:val="14"/>
                <w:szCs w:val="14"/>
              </w:rPr>
              <w:t>340,144</w:t>
            </w:r>
          </w:p>
          <w:p w14:paraId="63454295" w14:textId="77777777" w:rsidR="00120717" w:rsidRPr="00B93EE1" w:rsidRDefault="00120717" w:rsidP="00E326B1">
            <w:pPr>
              <w:spacing w:before="10" w:after="10"/>
              <w:ind w:right="113"/>
              <w:jc w:val="right"/>
              <w:rPr>
                <w:sz w:val="14"/>
                <w:szCs w:val="14"/>
              </w:rPr>
            </w:pPr>
            <w:r w:rsidRPr="00B93EE1">
              <w:rPr>
                <w:sz w:val="14"/>
                <w:szCs w:val="14"/>
              </w:rPr>
              <w:t>(9%)</w:t>
            </w:r>
          </w:p>
        </w:tc>
        <w:tc>
          <w:tcPr>
            <w:tcW w:w="647" w:type="pct"/>
            <w:vAlign w:val="center"/>
          </w:tcPr>
          <w:p w14:paraId="73183CCC" w14:textId="77777777" w:rsidR="00120717" w:rsidRPr="00B93EE1" w:rsidRDefault="00120717" w:rsidP="00E326B1">
            <w:pPr>
              <w:spacing w:before="10" w:after="10"/>
              <w:ind w:right="113"/>
              <w:jc w:val="right"/>
              <w:rPr>
                <w:sz w:val="14"/>
                <w:szCs w:val="14"/>
              </w:rPr>
            </w:pPr>
            <w:r w:rsidRPr="00B93EE1">
              <w:rPr>
                <w:sz w:val="14"/>
                <w:szCs w:val="14"/>
              </w:rPr>
              <w:t>362,394</w:t>
            </w:r>
          </w:p>
          <w:p w14:paraId="03E142D1" w14:textId="77777777" w:rsidR="00120717" w:rsidRPr="00B93EE1" w:rsidRDefault="00120717" w:rsidP="00E326B1">
            <w:pPr>
              <w:spacing w:before="10" w:after="10"/>
              <w:ind w:right="113"/>
              <w:jc w:val="right"/>
              <w:rPr>
                <w:sz w:val="14"/>
                <w:szCs w:val="14"/>
              </w:rPr>
            </w:pPr>
            <w:r w:rsidRPr="00B93EE1">
              <w:rPr>
                <w:sz w:val="14"/>
                <w:szCs w:val="14"/>
              </w:rPr>
              <w:t>(9%)</w:t>
            </w:r>
          </w:p>
        </w:tc>
        <w:tc>
          <w:tcPr>
            <w:tcW w:w="647" w:type="pct"/>
            <w:vAlign w:val="center"/>
          </w:tcPr>
          <w:p w14:paraId="73CD0432" w14:textId="77777777" w:rsidR="00120717" w:rsidRPr="00B93EE1" w:rsidRDefault="00120717" w:rsidP="00E326B1">
            <w:pPr>
              <w:spacing w:before="10" w:after="10"/>
              <w:ind w:right="113"/>
              <w:jc w:val="right"/>
              <w:rPr>
                <w:sz w:val="14"/>
                <w:szCs w:val="14"/>
              </w:rPr>
            </w:pPr>
            <w:r w:rsidRPr="00B93EE1">
              <w:rPr>
                <w:sz w:val="14"/>
                <w:szCs w:val="14"/>
              </w:rPr>
              <w:t>347,629</w:t>
            </w:r>
          </w:p>
          <w:p w14:paraId="1B26DBD1" w14:textId="77777777" w:rsidR="00120717" w:rsidRPr="00B93EE1" w:rsidRDefault="00120717" w:rsidP="00E326B1">
            <w:pPr>
              <w:spacing w:before="10" w:after="10"/>
              <w:ind w:right="113"/>
              <w:jc w:val="right"/>
              <w:rPr>
                <w:sz w:val="14"/>
                <w:szCs w:val="14"/>
              </w:rPr>
            </w:pPr>
            <w:r w:rsidRPr="00B93EE1">
              <w:rPr>
                <w:sz w:val="14"/>
                <w:szCs w:val="14"/>
              </w:rPr>
              <w:t>(10%)</w:t>
            </w:r>
          </w:p>
        </w:tc>
        <w:tc>
          <w:tcPr>
            <w:tcW w:w="485" w:type="pct"/>
            <w:vAlign w:val="center"/>
          </w:tcPr>
          <w:p w14:paraId="3CCB98E6" w14:textId="77777777" w:rsidR="00120717" w:rsidRPr="00B93EE1" w:rsidRDefault="00120717" w:rsidP="00E326B1">
            <w:pPr>
              <w:spacing w:before="10" w:after="10"/>
              <w:ind w:right="113"/>
              <w:jc w:val="right"/>
              <w:rPr>
                <w:sz w:val="14"/>
                <w:szCs w:val="14"/>
              </w:rPr>
            </w:pPr>
            <w:r w:rsidRPr="00B93EE1">
              <w:rPr>
                <w:sz w:val="14"/>
                <w:szCs w:val="14"/>
              </w:rPr>
              <w:t>6,123</w:t>
            </w:r>
          </w:p>
          <w:p w14:paraId="69B57D54" w14:textId="77777777" w:rsidR="00120717" w:rsidRPr="00B93EE1" w:rsidRDefault="00120717" w:rsidP="00E326B1">
            <w:pPr>
              <w:spacing w:before="10" w:after="10"/>
              <w:ind w:right="113"/>
              <w:jc w:val="right"/>
              <w:rPr>
                <w:sz w:val="14"/>
                <w:szCs w:val="14"/>
              </w:rPr>
            </w:pPr>
            <w:r w:rsidRPr="00B93EE1">
              <w:rPr>
                <w:sz w:val="14"/>
                <w:szCs w:val="14"/>
              </w:rPr>
              <w:t>(12%)</w:t>
            </w:r>
          </w:p>
        </w:tc>
      </w:tr>
      <w:tr w:rsidR="00120717" w:rsidRPr="00B93EE1" w14:paraId="4F06A834" w14:textId="77777777" w:rsidTr="00681C42">
        <w:trPr>
          <w:cnfStyle w:val="000000100000" w:firstRow="0" w:lastRow="0" w:firstColumn="0" w:lastColumn="0" w:oddVBand="0" w:evenVBand="0" w:oddHBand="1" w:evenHBand="0" w:firstRowFirstColumn="0" w:firstRowLastColumn="0" w:lastRowFirstColumn="0" w:lastRowLastColumn="0"/>
          <w:trHeight w:val="230"/>
        </w:trPr>
        <w:tc>
          <w:tcPr>
            <w:tcW w:w="635" w:type="pct"/>
          </w:tcPr>
          <w:p w14:paraId="7CDF65C6" w14:textId="77777777" w:rsidR="00120717" w:rsidRPr="00B93EE1" w:rsidRDefault="00120717" w:rsidP="00681C42">
            <w:pPr>
              <w:spacing w:before="10" w:after="10"/>
              <w:jc w:val="left"/>
              <w:rPr>
                <w:b/>
                <w:bCs/>
                <w:sz w:val="14"/>
                <w:szCs w:val="14"/>
              </w:rPr>
            </w:pPr>
            <w:r w:rsidRPr="00B93EE1">
              <w:rPr>
                <w:b/>
                <w:bCs/>
                <w:sz w:val="14"/>
                <w:szCs w:val="14"/>
              </w:rPr>
              <w:t>United Kingdom</w:t>
            </w:r>
          </w:p>
        </w:tc>
        <w:tc>
          <w:tcPr>
            <w:tcW w:w="647" w:type="pct"/>
            <w:vAlign w:val="center"/>
          </w:tcPr>
          <w:p w14:paraId="215061EE" w14:textId="77777777" w:rsidR="00120717" w:rsidRPr="00B93EE1" w:rsidRDefault="00120717" w:rsidP="00E326B1">
            <w:pPr>
              <w:spacing w:before="10" w:after="10"/>
              <w:ind w:right="113"/>
              <w:jc w:val="right"/>
              <w:rPr>
                <w:sz w:val="14"/>
                <w:szCs w:val="14"/>
              </w:rPr>
            </w:pPr>
            <w:r w:rsidRPr="00B93EE1">
              <w:rPr>
                <w:sz w:val="14"/>
                <w:szCs w:val="14"/>
              </w:rPr>
              <w:t>199,760</w:t>
            </w:r>
          </w:p>
          <w:p w14:paraId="23C9AAD3" w14:textId="77777777" w:rsidR="00120717" w:rsidRPr="00B93EE1" w:rsidRDefault="00120717" w:rsidP="00E326B1">
            <w:pPr>
              <w:spacing w:before="10" w:after="10"/>
              <w:ind w:right="113"/>
              <w:jc w:val="right"/>
              <w:rPr>
                <w:sz w:val="14"/>
                <w:szCs w:val="14"/>
              </w:rPr>
            </w:pPr>
            <w:r w:rsidRPr="00B93EE1">
              <w:rPr>
                <w:sz w:val="14"/>
                <w:szCs w:val="14"/>
              </w:rPr>
              <w:t>(7%)</w:t>
            </w:r>
          </w:p>
        </w:tc>
        <w:tc>
          <w:tcPr>
            <w:tcW w:w="647" w:type="pct"/>
            <w:vAlign w:val="center"/>
          </w:tcPr>
          <w:p w14:paraId="0AAB1F72" w14:textId="77777777" w:rsidR="00120717" w:rsidRPr="00B93EE1" w:rsidRDefault="00120717" w:rsidP="00E326B1">
            <w:pPr>
              <w:spacing w:before="10" w:after="10"/>
              <w:ind w:right="113"/>
              <w:jc w:val="right"/>
              <w:rPr>
                <w:sz w:val="14"/>
                <w:szCs w:val="14"/>
              </w:rPr>
            </w:pPr>
            <w:r w:rsidRPr="00B93EE1">
              <w:rPr>
                <w:sz w:val="14"/>
                <w:szCs w:val="14"/>
              </w:rPr>
              <w:t>213,792</w:t>
            </w:r>
          </w:p>
          <w:p w14:paraId="61E21421" w14:textId="77777777" w:rsidR="00120717" w:rsidRPr="00B93EE1" w:rsidRDefault="00120717" w:rsidP="00E326B1">
            <w:pPr>
              <w:spacing w:before="10" w:after="10"/>
              <w:ind w:right="113"/>
              <w:jc w:val="right"/>
              <w:rPr>
                <w:sz w:val="14"/>
                <w:szCs w:val="14"/>
              </w:rPr>
            </w:pPr>
            <w:r w:rsidRPr="00B93EE1">
              <w:rPr>
                <w:sz w:val="14"/>
                <w:szCs w:val="14"/>
              </w:rPr>
              <w:t>(7%)</w:t>
            </w:r>
          </w:p>
        </w:tc>
        <w:tc>
          <w:tcPr>
            <w:tcW w:w="647" w:type="pct"/>
            <w:vAlign w:val="center"/>
          </w:tcPr>
          <w:p w14:paraId="392B2D46" w14:textId="77777777" w:rsidR="00120717" w:rsidRPr="00B93EE1" w:rsidRDefault="00120717" w:rsidP="00E326B1">
            <w:pPr>
              <w:spacing w:before="10" w:after="10"/>
              <w:ind w:right="113"/>
              <w:jc w:val="right"/>
              <w:rPr>
                <w:sz w:val="14"/>
                <w:szCs w:val="14"/>
              </w:rPr>
            </w:pPr>
            <w:r w:rsidRPr="00B93EE1">
              <w:rPr>
                <w:sz w:val="14"/>
                <w:szCs w:val="14"/>
              </w:rPr>
              <w:t>222,784</w:t>
            </w:r>
          </w:p>
          <w:p w14:paraId="4874B6DD" w14:textId="77777777" w:rsidR="00120717" w:rsidRPr="00B93EE1" w:rsidRDefault="00120717" w:rsidP="00E326B1">
            <w:pPr>
              <w:spacing w:before="10" w:after="10"/>
              <w:ind w:right="113"/>
              <w:jc w:val="right"/>
              <w:rPr>
                <w:sz w:val="14"/>
                <w:szCs w:val="14"/>
              </w:rPr>
            </w:pPr>
            <w:r w:rsidRPr="00B93EE1">
              <w:rPr>
                <w:sz w:val="14"/>
                <w:szCs w:val="14"/>
              </w:rPr>
              <w:t>(6%)</w:t>
            </w:r>
          </w:p>
        </w:tc>
        <w:tc>
          <w:tcPr>
            <w:tcW w:w="647" w:type="pct"/>
            <w:vAlign w:val="center"/>
          </w:tcPr>
          <w:p w14:paraId="40980D5C" w14:textId="77777777" w:rsidR="00120717" w:rsidRPr="00B93EE1" w:rsidRDefault="00120717" w:rsidP="00E326B1">
            <w:pPr>
              <w:spacing w:before="10" w:after="10"/>
              <w:ind w:right="113"/>
              <w:jc w:val="right"/>
              <w:rPr>
                <w:sz w:val="14"/>
                <w:szCs w:val="14"/>
              </w:rPr>
            </w:pPr>
            <w:r w:rsidRPr="00B93EE1">
              <w:rPr>
                <w:sz w:val="14"/>
                <w:szCs w:val="14"/>
              </w:rPr>
              <w:t>254,832</w:t>
            </w:r>
          </w:p>
          <w:p w14:paraId="24454A6E" w14:textId="77777777" w:rsidR="00120717" w:rsidRPr="00B93EE1" w:rsidRDefault="00120717" w:rsidP="00E326B1">
            <w:pPr>
              <w:spacing w:before="10" w:after="10"/>
              <w:ind w:right="113"/>
              <w:jc w:val="right"/>
              <w:rPr>
                <w:sz w:val="14"/>
                <w:szCs w:val="14"/>
              </w:rPr>
            </w:pPr>
            <w:r w:rsidRPr="00B93EE1">
              <w:rPr>
                <w:sz w:val="14"/>
                <w:szCs w:val="14"/>
              </w:rPr>
              <w:t>(7%)</w:t>
            </w:r>
          </w:p>
        </w:tc>
        <w:tc>
          <w:tcPr>
            <w:tcW w:w="647" w:type="pct"/>
            <w:vAlign w:val="center"/>
          </w:tcPr>
          <w:p w14:paraId="114526CB" w14:textId="77777777" w:rsidR="00120717" w:rsidRPr="00B93EE1" w:rsidRDefault="00120717" w:rsidP="00E326B1">
            <w:pPr>
              <w:spacing w:before="10" w:after="10"/>
              <w:ind w:right="113"/>
              <w:jc w:val="right"/>
              <w:rPr>
                <w:sz w:val="14"/>
                <w:szCs w:val="14"/>
              </w:rPr>
            </w:pPr>
            <w:r w:rsidRPr="00B93EE1">
              <w:rPr>
                <w:sz w:val="14"/>
                <w:szCs w:val="14"/>
              </w:rPr>
              <w:t>230,307</w:t>
            </w:r>
          </w:p>
          <w:p w14:paraId="24EE0281" w14:textId="77777777" w:rsidR="00120717" w:rsidRPr="00B93EE1" w:rsidRDefault="00120717" w:rsidP="00E326B1">
            <w:pPr>
              <w:spacing w:before="10" w:after="10"/>
              <w:ind w:right="113"/>
              <w:jc w:val="right"/>
              <w:rPr>
                <w:sz w:val="14"/>
                <w:szCs w:val="14"/>
              </w:rPr>
            </w:pPr>
            <w:r w:rsidRPr="00B93EE1">
              <w:rPr>
                <w:sz w:val="14"/>
                <w:szCs w:val="14"/>
              </w:rPr>
              <w:t>(6%)</w:t>
            </w:r>
          </w:p>
        </w:tc>
        <w:tc>
          <w:tcPr>
            <w:tcW w:w="647" w:type="pct"/>
            <w:vAlign w:val="center"/>
          </w:tcPr>
          <w:p w14:paraId="59E2D0A6" w14:textId="77777777" w:rsidR="00120717" w:rsidRPr="00B93EE1" w:rsidRDefault="00120717" w:rsidP="00E326B1">
            <w:pPr>
              <w:spacing w:before="10" w:after="10"/>
              <w:ind w:right="113"/>
              <w:jc w:val="right"/>
              <w:rPr>
                <w:sz w:val="14"/>
                <w:szCs w:val="14"/>
              </w:rPr>
            </w:pPr>
            <w:r w:rsidRPr="00B93EE1">
              <w:rPr>
                <w:sz w:val="14"/>
                <w:szCs w:val="14"/>
              </w:rPr>
              <w:t>223,102</w:t>
            </w:r>
          </w:p>
          <w:p w14:paraId="6D6B5C93" w14:textId="77777777" w:rsidR="00120717" w:rsidRPr="00B93EE1" w:rsidRDefault="00120717" w:rsidP="00E326B1">
            <w:pPr>
              <w:spacing w:before="10" w:after="10"/>
              <w:ind w:right="113"/>
              <w:jc w:val="right"/>
              <w:rPr>
                <w:sz w:val="14"/>
                <w:szCs w:val="14"/>
              </w:rPr>
            </w:pPr>
            <w:r w:rsidRPr="00B93EE1">
              <w:rPr>
                <w:sz w:val="14"/>
                <w:szCs w:val="14"/>
              </w:rPr>
              <w:t>(6%)</w:t>
            </w:r>
          </w:p>
        </w:tc>
        <w:tc>
          <w:tcPr>
            <w:tcW w:w="485" w:type="pct"/>
            <w:vAlign w:val="center"/>
          </w:tcPr>
          <w:p w14:paraId="4ACB5F4C" w14:textId="77777777" w:rsidR="00120717" w:rsidRPr="00B93EE1" w:rsidRDefault="00120717" w:rsidP="00E326B1">
            <w:pPr>
              <w:spacing w:before="10" w:after="10"/>
              <w:ind w:right="113"/>
              <w:jc w:val="right"/>
              <w:rPr>
                <w:sz w:val="14"/>
                <w:szCs w:val="14"/>
              </w:rPr>
            </w:pPr>
            <w:r w:rsidRPr="00B93EE1">
              <w:rPr>
                <w:sz w:val="14"/>
                <w:szCs w:val="14"/>
              </w:rPr>
              <w:t>6,855</w:t>
            </w:r>
          </w:p>
          <w:p w14:paraId="7713D606" w14:textId="77777777" w:rsidR="00120717" w:rsidRPr="00B93EE1" w:rsidRDefault="00120717" w:rsidP="00E326B1">
            <w:pPr>
              <w:spacing w:before="10" w:after="10"/>
              <w:ind w:right="113"/>
              <w:jc w:val="right"/>
              <w:rPr>
                <w:sz w:val="14"/>
                <w:szCs w:val="14"/>
              </w:rPr>
            </w:pPr>
            <w:r w:rsidRPr="00B93EE1">
              <w:rPr>
                <w:sz w:val="14"/>
                <w:szCs w:val="14"/>
              </w:rPr>
              <w:t>(13%)</w:t>
            </w:r>
          </w:p>
        </w:tc>
      </w:tr>
      <w:tr w:rsidR="00120717" w:rsidRPr="00B93EE1" w14:paraId="45FAA00C" w14:textId="77777777" w:rsidTr="00681C42">
        <w:trPr>
          <w:cnfStyle w:val="000000010000" w:firstRow="0" w:lastRow="0" w:firstColumn="0" w:lastColumn="0" w:oddVBand="0" w:evenVBand="0" w:oddHBand="0" w:evenHBand="1" w:firstRowFirstColumn="0" w:firstRowLastColumn="0" w:lastRowFirstColumn="0" w:lastRowLastColumn="0"/>
          <w:trHeight w:val="163"/>
        </w:trPr>
        <w:tc>
          <w:tcPr>
            <w:tcW w:w="635" w:type="pct"/>
          </w:tcPr>
          <w:p w14:paraId="4D6FAED4" w14:textId="77777777" w:rsidR="00120717" w:rsidRPr="00B93EE1" w:rsidRDefault="00120717" w:rsidP="00681C42">
            <w:pPr>
              <w:spacing w:before="10" w:after="10"/>
              <w:jc w:val="left"/>
              <w:rPr>
                <w:b/>
                <w:bCs/>
                <w:sz w:val="14"/>
                <w:szCs w:val="14"/>
              </w:rPr>
            </w:pPr>
            <w:r w:rsidRPr="00B93EE1">
              <w:rPr>
                <w:b/>
                <w:bCs/>
                <w:sz w:val="14"/>
                <w:szCs w:val="14"/>
              </w:rPr>
              <w:t>Germany</w:t>
            </w:r>
          </w:p>
        </w:tc>
        <w:tc>
          <w:tcPr>
            <w:tcW w:w="647" w:type="pct"/>
            <w:vAlign w:val="center"/>
          </w:tcPr>
          <w:p w14:paraId="5092CFFC" w14:textId="77777777" w:rsidR="00120717" w:rsidRPr="00B93EE1" w:rsidRDefault="00120717" w:rsidP="00E326B1">
            <w:pPr>
              <w:spacing w:before="10" w:after="10"/>
              <w:ind w:right="113"/>
              <w:jc w:val="right"/>
              <w:rPr>
                <w:sz w:val="14"/>
                <w:szCs w:val="14"/>
              </w:rPr>
            </w:pPr>
            <w:r w:rsidRPr="00B93EE1">
              <w:rPr>
                <w:sz w:val="14"/>
                <w:szCs w:val="14"/>
              </w:rPr>
              <w:t>81,152</w:t>
            </w:r>
          </w:p>
          <w:p w14:paraId="2B41CFA3" w14:textId="77777777" w:rsidR="00120717" w:rsidRPr="00B93EE1" w:rsidRDefault="00120717" w:rsidP="00E326B1">
            <w:pPr>
              <w:spacing w:before="10" w:after="10"/>
              <w:ind w:right="113"/>
              <w:jc w:val="right"/>
              <w:rPr>
                <w:sz w:val="14"/>
                <w:szCs w:val="14"/>
              </w:rPr>
            </w:pPr>
            <w:r w:rsidRPr="00B93EE1">
              <w:rPr>
                <w:sz w:val="14"/>
                <w:szCs w:val="14"/>
              </w:rPr>
              <w:t>(3%)</w:t>
            </w:r>
          </w:p>
        </w:tc>
        <w:tc>
          <w:tcPr>
            <w:tcW w:w="647" w:type="pct"/>
            <w:vAlign w:val="center"/>
          </w:tcPr>
          <w:p w14:paraId="16C778EF" w14:textId="77777777" w:rsidR="00120717" w:rsidRPr="00B93EE1" w:rsidRDefault="00120717" w:rsidP="00E326B1">
            <w:pPr>
              <w:spacing w:before="10" w:after="10"/>
              <w:ind w:right="113"/>
              <w:jc w:val="right"/>
              <w:rPr>
                <w:sz w:val="14"/>
                <w:szCs w:val="14"/>
              </w:rPr>
            </w:pPr>
            <w:r w:rsidRPr="00B93EE1">
              <w:rPr>
                <w:sz w:val="14"/>
                <w:szCs w:val="14"/>
              </w:rPr>
              <w:t>90,496</w:t>
            </w:r>
          </w:p>
          <w:p w14:paraId="7D771EB2" w14:textId="77777777" w:rsidR="00120717" w:rsidRPr="00B93EE1" w:rsidRDefault="00120717" w:rsidP="00E326B1">
            <w:pPr>
              <w:spacing w:before="10" w:after="10"/>
              <w:ind w:right="113"/>
              <w:jc w:val="right"/>
              <w:rPr>
                <w:sz w:val="14"/>
                <w:szCs w:val="14"/>
              </w:rPr>
            </w:pPr>
            <w:r w:rsidRPr="00B93EE1">
              <w:rPr>
                <w:sz w:val="14"/>
                <w:szCs w:val="14"/>
              </w:rPr>
              <w:t>(3%)</w:t>
            </w:r>
          </w:p>
        </w:tc>
        <w:tc>
          <w:tcPr>
            <w:tcW w:w="647" w:type="pct"/>
            <w:vAlign w:val="center"/>
          </w:tcPr>
          <w:p w14:paraId="5DE18381" w14:textId="77777777" w:rsidR="00120717" w:rsidRPr="00B93EE1" w:rsidRDefault="00120717" w:rsidP="00E326B1">
            <w:pPr>
              <w:spacing w:before="10" w:after="10"/>
              <w:ind w:right="113"/>
              <w:jc w:val="right"/>
              <w:rPr>
                <w:sz w:val="14"/>
                <w:szCs w:val="14"/>
              </w:rPr>
            </w:pPr>
            <w:r w:rsidRPr="00B93EE1">
              <w:rPr>
                <w:sz w:val="14"/>
                <w:szCs w:val="14"/>
              </w:rPr>
              <w:t>102,608</w:t>
            </w:r>
          </w:p>
          <w:p w14:paraId="2F7EDAFC" w14:textId="77777777" w:rsidR="00120717" w:rsidRPr="00B93EE1" w:rsidRDefault="00120717" w:rsidP="00E326B1">
            <w:pPr>
              <w:spacing w:before="10" w:after="10"/>
              <w:ind w:right="113"/>
              <w:jc w:val="right"/>
              <w:rPr>
                <w:sz w:val="14"/>
                <w:szCs w:val="14"/>
              </w:rPr>
            </w:pPr>
            <w:r w:rsidRPr="00B93EE1">
              <w:rPr>
                <w:sz w:val="14"/>
                <w:szCs w:val="14"/>
              </w:rPr>
              <w:t>(3%)</w:t>
            </w:r>
          </w:p>
        </w:tc>
        <w:tc>
          <w:tcPr>
            <w:tcW w:w="647" w:type="pct"/>
            <w:vAlign w:val="center"/>
          </w:tcPr>
          <w:p w14:paraId="30A3B756" w14:textId="77777777" w:rsidR="00120717" w:rsidRPr="00B93EE1" w:rsidRDefault="00120717" w:rsidP="00E326B1">
            <w:pPr>
              <w:spacing w:before="10" w:after="10"/>
              <w:ind w:right="113"/>
              <w:jc w:val="right"/>
              <w:rPr>
                <w:sz w:val="14"/>
                <w:szCs w:val="14"/>
              </w:rPr>
            </w:pPr>
            <w:r w:rsidRPr="00B93EE1">
              <w:rPr>
                <w:sz w:val="14"/>
                <w:szCs w:val="14"/>
              </w:rPr>
              <w:t>102,864</w:t>
            </w:r>
          </w:p>
          <w:p w14:paraId="13BD2427" w14:textId="77777777" w:rsidR="00120717" w:rsidRPr="00B93EE1" w:rsidRDefault="00120717" w:rsidP="00E326B1">
            <w:pPr>
              <w:spacing w:before="10" w:after="10"/>
              <w:ind w:right="113"/>
              <w:jc w:val="right"/>
              <w:rPr>
                <w:sz w:val="14"/>
                <w:szCs w:val="14"/>
              </w:rPr>
            </w:pPr>
            <w:r w:rsidRPr="00B93EE1">
              <w:rPr>
                <w:sz w:val="14"/>
                <w:szCs w:val="14"/>
              </w:rPr>
              <w:t>(3%)</w:t>
            </w:r>
          </w:p>
        </w:tc>
        <w:tc>
          <w:tcPr>
            <w:tcW w:w="647" w:type="pct"/>
            <w:vAlign w:val="center"/>
          </w:tcPr>
          <w:p w14:paraId="5A20B1B3" w14:textId="77777777" w:rsidR="00120717" w:rsidRPr="00B93EE1" w:rsidRDefault="00120717" w:rsidP="00E326B1">
            <w:pPr>
              <w:spacing w:before="10" w:after="10"/>
              <w:ind w:right="113"/>
              <w:jc w:val="right"/>
              <w:rPr>
                <w:sz w:val="14"/>
                <w:szCs w:val="14"/>
              </w:rPr>
            </w:pPr>
            <w:r w:rsidRPr="00B93EE1">
              <w:rPr>
                <w:sz w:val="14"/>
                <w:szCs w:val="14"/>
              </w:rPr>
              <w:t>102,107</w:t>
            </w:r>
          </w:p>
          <w:p w14:paraId="334E0F72" w14:textId="77777777" w:rsidR="00120717" w:rsidRPr="00B93EE1" w:rsidRDefault="00120717" w:rsidP="00E326B1">
            <w:pPr>
              <w:spacing w:before="10" w:after="10"/>
              <w:ind w:right="113"/>
              <w:jc w:val="right"/>
              <w:rPr>
                <w:sz w:val="14"/>
                <w:szCs w:val="14"/>
              </w:rPr>
            </w:pPr>
            <w:r w:rsidRPr="00B93EE1">
              <w:rPr>
                <w:sz w:val="14"/>
                <w:szCs w:val="14"/>
              </w:rPr>
              <w:t>(3%)</w:t>
            </w:r>
          </w:p>
        </w:tc>
        <w:tc>
          <w:tcPr>
            <w:tcW w:w="647" w:type="pct"/>
            <w:vAlign w:val="center"/>
          </w:tcPr>
          <w:p w14:paraId="54B36613" w14:textId="77777777" w:rsidR="00120717" w:rsidRPr="00B93EE1" w:rsidRDefault="00120717" w:rsidP="00E326B1">
            <w:pPr>
              <w:spacing w:before="10" w:after="10"/>
              <w:ind w:right="113"/>
              <w:jc w:val="right"/>
              <w:rPr>
                <w:sz w:val="14"/>
                <w:szCs w:val="14"/>
              </w:rPr>
            </w:pPr>
            <w:r w:rsidRPr="00B93EE1">
              <w:rPr>
                <w:sz w:val="14"/>
                <w:szCs w:val="14"/>
              </w:rPr>
              <w:t>91,067</w:t>
            </w:r>
          </w:p>
          <w:p w14:paraId="015FC2B2" w14:textId="77777777" w:rsidR="00120717" w:rsidRPr="00B93EE1" w:rsidRDefault="00120717" w:rsidP="00E326B1">
            <w:pPr>
              <w:spacing w:before="10" w:after="10"/>
              <w:ind w:right="113"/>
              <w:jc w:val="right"/>
              <w:rPr>
                <w:sz w:val="14"/>
                <w:szCs w:val="14"/>
              </w:rPr>
            </w:pPr>
            <w:r w:rsidRPr="00B93EE1">
              <w:rPr>
                <w:sz w:val="14"/>
                <w:szCs w:val="14"/>
              </w:rPr>
              <w:t>(2%)</w:t>
            </w:r>
          </w:p>
        </w:tc>
        <w:tc>
          <w:tcPr>
            <w:tcW w:w="485" w:type="pct"/>
            <w:vAlign w:val="center"/>
          </w:tcPr>
          <w:p w14:paraId="51BCC755" w14:textId="77777777" w:rsidR="00120717" w:rsidRPr="00B93EE1" w:rsidRDefault="00120717" w:rsidP="00E326B1">
            <w:pPr>
              <w:spacing w:before="10" w:after="10"/>
              <w:ind w:right="113"/>
              <w:jc w:val="right"/>
              <w:rPr>
                <w:sz w:val="14"/>
                <w:szCs w:val="14"/>
              </w:rPr>
            </w:pPr>
            <w:r w:rsidRPr="00B93EE1">
              <w:rPr>
                <w:sz w:val="14"/>
                <w:szCs w:val="14"/>
              </w:rPr>
              <w:t>718</w:t>
            </w:r>
          </w:p>
          <w:p w14:paraId="5237E936" w14:textId="77777777" w:rsidR="00120717" w:rsidRPr="00B93EE1" w:rsidRDefault="00120717" w:rsidP="00E326B1">
            <w:pPr>
              <w:spacing w:before="10" w:after="10"/>
              <w:ind w:right="113"/>
              <w:jc w:val="right"/>
              <w:rPr>
                <w:sz w:val="14"/>
                <w:szCs w:val="14"/>
              </w:rPr>
            </w:pPr>
            <w:r w:rsidRPr="00B93EE1">
              <w:rPr>
                <w:sz w:val="14"/>
                <w:szCs w:val="14"/>
              </w:rPr>
              <w:t>(1%)</w:t>
            </w:r>
          </w:p>
        </w:tc>
      </w:tr>
      <w:tr w:rsidR="00120717" w:rsidRPr="00B93EE1" w14:paraId="32B70235" w14:textId="77777777" w:rsidTr="00681C42">
        <w:trPr>
          <w:cnfStyle w:val="000000100000" w:firstRow="0" w:lastRow="0" w:firstColumn="0" w:lastColumn="0" w:oddVBand="0" w:evenVBand="0" w:oddHBand="1" w:evenHBand="0" w:firstRowFirstColumn="0" w:firstRowLastColumn="0" w:lastRowFirstColumn="0" w:lastRowLastColumn="0"/>
          <w:trHeight w:val="254"/>
        </w:trPr>
        <w:tc>
          <w:tcPr>
            <w:tcW w:w="635" w:type="pct"/>
          </w:tcPr>
          <w:p w14:paraId="3ADAC79F" w14:textId="77777777" w:rsidR="00120717" w:rsidRPr="00B93EE1" w:rsidRDefault="00120717" w:rsidP="00681C42">
            <w:pPr>
              <w:spacing w:before="10" w:after="10"/>
              <w:jc w:val="left"/>
              <w:rPr>
                <w:b/>
                <w:bCs/>
                <w:sz w:val="14"/>
                <w:szCs w:val="14"/>
              </w:rPr>
            </w:pPr>
            <w:r w:rsidRPr="00B93EE1">
              <w:rPr>
                <w:b/>
                <w:bCs/>
                <w:sz w:val="14"/>
                <w:szCs w:val="14"/>
              </w:rPr>
              <w:t>Japan</w:t>
            </w:r>
          </w:p>
        </w:tc>
        <w:tc>
          <w:tcPr>
            <w:tcW w:w="647" w:type="pct"/>
            <w:vAlign w:val="center"/>
          </w:tcPr>
          <w:p w14:paraId="762901BD" w14:textId="77777777" w:rsidR="00120717" w:rsidRPr="00B93EE1" w:rsidRDefault="00120717" w:rsidP="00E326B1">
            <w:pPr>
              <w:spacing w:before="10" w:after="10"/>
              <w:ind w:right="113"/>
              <w:jc w:val="right"/>
              <w:rPr>
                <w:sz w:val="14"/>
                <w:szCs w:val="14"/>
              </w:rPr>
            </w:pPr>
            <w:r w:rsidRPr="00B93EE1">
              <w:rPr>
                <w:sz w:val="14"/>
                <w:szCs w:val="14"/>
              </w:rPr>
              <w:t>83,392</w:t>
            </w:r>
          </w:p>
          <w:p w14:paraId="1E34ADD7" w14:textId="77777777" w:rsidR="00120717" w:rsidRPr="00B93EE1" w:rsidRDefault="00120717" w:rsidP="00E326B1">
            <w:pPr>
              <w:spacing w:before="10" w:after="10"/>
              <w:ind w:right="113"/>
              <w:jc w:val="right"/>
              <w:rPr>
                <w:sz w:val="14"/>
                <w:szCs w:val="14"/>
              </w:rPr>
            </w:pPr>
            <w:r w:rsidRPr="00B93EE1">
              <w:rPr>
                <w:sz w:val="14"/>
                <w:szCs w:val="14"/>
              </w:rPr>
              <w:t>(3%)</w:t>
            </w:r>
          </w:p>
        </w:tc>
        <w:tc>
          <w:tcPr>
            <w:tcW w:w="647" w:type="pct"/>
            <w:vAlign w:val="center"/>
          </w:tcPr>
          <w:p w14:paraId="65FDE672" w14:textId="77777777" w:rsidR="00120717" w:rsidRPr="00B93EE1" w:rsidRDefault="00120717" w:rsidP="00E326B1">
            <w:pPr>
              <w:spacing w:before="10" w:after="10"/>
              <w:ind w:right="113"/>
              <w:jc w:val="right"/>
              <w:rPr>
                <w:sz w:val="14"/>
                <w:szCs w:val="14"/>
              </w:rPr>
            </w:pPr>
            <w:r w:rsidRPr="00B93EE1">
              <w:rPr>
                <w:sz w:val="14"/>
                <w:szCs w:val="14"/>
              </w:rPr>
              <w:t>91,344</w:t>
            </w:r>
          </w:p>
          <w:p w14:paraId="587E9F58" w14:textId="77777777" w:rsidR="00120717" w:rsidRPr="00B93EE1" w:rsidRDefault="00120717" w:rsidP="00E326B1">
            <w:pPr>
              <w:spacing w:before="10" w:after="10"/>
              <w:ind w:right="113"/>
              <w:jc w:val="right"/>
              <w:rPr>
                <w:sz w:val="14"/>
                <w:szCs w:val="14"/>
              </w:rPr>
            </w:pPr>
            <w:r w:rsidRPr="00B93EE1">
              <w:rPr>
                <w:sz w:val="14"/>
                <w:szCs w:val="14"/>
              </w:rPr>
              <w:t>(3%)</w:t>
            </w:r>
          </w:p>
        </w:tc>
        <w:tc>
          <w:tcPr>
            <w:tcW w:w="647" w:type="pct"/>
            <w:vAlign w:val="center"/>
          </w:tcPr>
          <w:p w14:paraId="0CB3DD72" w14:textId="77777777" w:rsidR="00120717" w:rsidRPr="00B93EE1" w:rsidRDefault="00120717" w:rsidP="00E326B1">
            <w:pPr>
              <w:spacing w:before="10" w:after="10"/>
              <w:ind w:right="113"/>
              <w:jc w:val="right"/>
              <w:rPr>
                <w:sz w:val="14"/>
                <w:szCs w:val="14"/>
              </w:rPr>
            </w:pPr>
            <w:r w:rsidRPr="00B93EE1">
              <w:rPr>
                <w:sz w:val="14"/>
                <w:szCs w:val="14"/>
              </w:rPr>
              <w:t>102,320</w:t>
            </w:r>
          </w:p>
          <w:p w14:paraId="6B431629" w14:textId="77777777" w:rsidR="00120717" w:rsidRPr="00B93EE1" w:rsidRDefault="00120717" w:rsidP="00E326B1">
            <w:pPr>
              <w:spacing w:before="10" w:after="10"/>
              <w:ind w:right="113"/>
              <w:jc w:val="right"/>
              <w:rPr>
                <w:sz w:val="14"/>
                <w:szCs w:val="14"/>
              </w:rPr>
            </w:pPr>
            <w:r w:rsidRPr="00B93EE1">
              <w:rPr>
                <w:sz w:val="14"/>
                <w:szCs w:val="14"/>
              </w:rPr>
              <w:t>(3%)</w:t>
            </w:r>
          </w:p>
        </w:tc>
        <w:tc>
          <w:tcPr>
            <w:tcW w:w="647" w:type="pct"/>
            <w:vAlign w:val="center"/>
          </w:tcPr>
          <w:p w14:paraId="07B60222" w14:textId="77777777" w:rsidR="00120717" w:rsidRPr="00B93EE1" w:rsidRDefault="00120717" w:rsidP="00E326B1">
            <w:pPr>
              <w:spacing w:before="10" w:after="10"/>
              <w:ind w:right="113"/>
              <w:jc w:val="right"/>
              <w:rPr>
                <w:sz w:val="14"/>
                <w:szCs w:val="14"/>
              </w:rPr>
            </w:pPr>
            <w:r w:rsidRPr="00B93EE1">
              <w:rPr>
                <w:sz w:val="14"/>
                <w:szCs w:val="14"/>
              </w:rPr>
              <w:t>102,416</w:t>
            </w:r>
          </w:p>
          <w:p w14:paraId="6C7C80BB" w14:textId="77777777" w:rsidR="00120717" w:rsidRPr="00B93EE1" w:rsidRDefault="00120717" w:rsidP="00E326B1">
            <w:pPr>
              <w:spacing w:before="10" w:after="10"/>
              <w:ind w:right="113"/>
              <w:jc w:val="right"/>
              <w:rPr>
                <w:sz w:val="14"/>
                <w:szCs w:val="14"/>
              </w:rPr>
            </w:pPr>
            <w:r w:rsidRPr="00B93EE1">
              <w:rPr>
                <w:sz w:val="14"/>
                <w:szCs w:val="14"/>
              </w:rPr>
              <w:t>(3%)</w:t>
            </w:r>
          </w:p>
        </w:tc>
        <w:tc>
          <w:tcPr>
            <w:tcW w:w="647" w:type="pct"/>
            <w:vAlign w:val="center"/>
          </w:tcPr>
          <w:p w14:paraId="7F63707A" w14:textId="77777777" w:rsidR="00120717" w:rsidRPr="00B93EE1" w:rsidRDefault="00120717" w:rsidP="00E326B1">
            <w:pPr>
              <w:spacing w:before="10" w:after="10"/>
              <w:ind w:right="113"/>
              <w:jc w:val="right"/>
              <w:rPr>
                <w:sz w:val="14"/>
                <w:szCs w:val="14"/>
              </w:rPr>
            </w:pPr>
            <w:r w:rsidRPr="00B93EE1">
              <w:rPr>
                <w:sz w:val="14"/>
                <w:szCs w:val="14"/>
              </w:rPr>
              <w:t>99,300</w:t>
            </w:r>
          </w:p>
          <w:p w14:paraId="24DF03EA" w14:textId="77777777" w:rsidR="00120717" w:rsidRPr="00B93EE1" w:rsidRDefault="00120717" w:rsidP="00E326B1">
            <w:pPr>
              <w:spacing w:before="10" w:after="10"/>
              <w:ind w:right="113"/>
              <w:jc w:val="right"/>
              <w:rPr>
                <w:sz w:val="14"/>
                <w:szCs w:val="14"/>
              </w:rPr>
            </w:pPr>
            <w:r w:rsidRPr="00B93EE1">
              <w:rPr>
                <w:sz w:val="14"/>
                <w:szCs w:val="14"/>
              </w:rPr>
              <w:t>(3%)</w:t>
            </w:r>
          </w:p>
        </w:tc>
        <w:tc>
          <w:tcPr>
            <w:tcW w:w="647" w:type="pct"/>
            <w:vAlign w:val="center"/>
          </w:tcPr>
          <w:p w14:paraId="1AA5EAC6" w14:textId="77777777" w:rsidR="00120717" w:rsidRPr="00B93EE1" w:rsidRDefault="00120717" w:rsidP="00E326B1">
            <w:pPr>
              <w:spacing w:before="10" w:after="10"/>
              <w:ind w:right="113"/>
              <w:jc w:val="right"/>
              <w:rPr>
                <w:sz w:val="14"/>
                <w:szCs w:val="14"/>
              </w:rPr>
            </w:pPr>
            <w:r w:rsidRPr="00B93EE1">
              <w:rPr>
                <w:sz w:val="14"/>
                <w:szCs w:val="14"/>
              </w:rPr>
              <w:t>90,326</w:t>
            </w:r>
          </w:p>
          <w:p w14:paraId="6A2C5B56" w14:textId="77777777" w:rsidR="00120717" w:rsidRPr="00B93EE1" w:rsidRDefault="00120717" w:rsidP="00E326B1">
            <w:pPr>
              <w:spacing w:before="10" w:after="10"/>
              <w:ind w:right="113"/>
              <w:jc w:val="right"/>
              <w:rPr>
                <w:sz w:val="14"/>
                <w:szCs w:val="14"/>
              </w:rPr>
            </w:pPr>
            <w:r w:rsidRPr="00B93EE1">
              <w:rPr>
                <w:sz w:val="14"/>
                <w:szCs w:val="14"/>
              </w:rPr>
              <w:t>(2%)</w:t>
            </w:r>
          </w:p>
        </w:tc>
        <w:tc>
          <w:tcPr>
            <w:tcW w:w="485" w:type="pct"/>
            <w:vAlign w:val="center"/>
          </w:tcPr>
          <w:p w14:paraId="42B8CEEE" w14:textId="77777777" w:rsidR="00120717" w:rsidRPr="00B93EE1" w:rsidRDefault="00120717" w:rsidP="00E326B1">
            <w:pPr>
              <w:spacing w:before="10" w:after="10"/>
              <w:ind w:right="113"/>
              <w:jc w:val="right"/>
              <w:rPr>
                <w:sz w:val="14"/>
                <w:szCs w:val="14"/>
              </w:rPr>
            </w:pPr>
            <w:r w:rsidRPr="00B93EE1">
              <w:rPr>
                <w:sz w:val="14"/>
                <w:szCs w:val="14"/>
              </w:rPr>
              <w:t>496</w:t>
            </w:r>
          </w:p>
          <w:p w14:paraId="46E74E63" w14:textId="77777777" w:rsidR="00120717" w:rsidRPr="00B93EE1" w:rsidRDefault="00120717" w:rsidP="00E326B1">
            <w:pPr>
              <w:spacing w:before="10" w:after="10"/>
              <w:ind w:right="113"/>
              <w:jc w:val="right"/>
              <w:rPr>
                <w:sz w:val="14"/>
                <w:szCs w:val="14"/>
              </w:rPr>
            </w:pPr>
            <w:r w:rsidRPr="00B93EE1">
              <w:rPr>
                <w:sz w:val="14"/>
                <w:szCs w:val="14"/>
              </w:rPr>
              <w:t>(1%)</w:t>
            </w:r>
          </w:p>
        </w:tc>
      </w:tr>
    </w:tbl>
    <w:p w14:paraId="31DC87B7" w14:textId="77777777" w:rsidR="00120717" w:rsidRPr="00B93EE1" w:rsidRDefault="00120717" w:rsidP="00B37E7A">
      <w:pPr>
        <w:pStyle w:val="NoteText"/>
        <w:spacing w:before="120"/>
      </w:pPr>
      <w:r w:rsidRPr="00B93EE1">
        <w:t>Note:</w:t>
      </w:r>
      <w:r w:rsidRPr="00B93EE1">
        <w:tab/>
        <w:t>Year ending in March.</w:t>
      </w:r>
    </w:p>
    <w:p w14:paraId="744F56DC" w14:textId="77777777" w:rsidR="00120717" w:rsidRPr="00B93EE1" w:rsidRDefault="00120717" w:rsidP="00B37E7A">
      <w:pPr>
        <w:pStyle w:val="NoteText"/>
        <w:spacing w:before="120" w:after="240"/>
      </w:pPr>
      <w:r w:rsidRPr="00B93EE1">
        <w:t>Source:</w:t>
      </w:r>
      <w:r w:rsidRPr="00B93EE1">
        <w:tab/>
        <w:t>Information provided by the authorities.</w:t>
      </w:r>
    </w:p>
    <w:p w14:paraId="22C43EE5" w14:textId="77777777" w:rsidR="00120717" w:rsidRPr="00F64A35" w:rsidRDefault="00120717" w:rsidP="00106E1C">
      <w:pPr>
        <w:pStyle w:val="BodyText"/>
      </w:pPr>
      <w:r w:rsidRPr="00B93EE1">
        <w:lastRenderedPageBreak/>
        <w:t>Until the beginning of 2020, before the outbreak of COVID</w:t>
      </w:r>
      <w:r w:rsidRPr="00B93EE1">
        <w:noBreakHyphen/>
        <w:t>19, tourism was New Zealand's biggest export industry. In the year ended March 2020, tourism generated a direct contribution of NZD 16.3 billion or 5.5% to New Zealand's GDP. The indirect value added by industries that support tourism generated an additional NZD 11.2 billion, or 3.8% of GDP. Tourism was New Zealand's largest export earner (20% of exports), directly employing 218,580 people, representing 7.9% of total employment, and generating NZD 3.9 billion in goods and services tax revenue.</w:t>
      </w:r>
    </w:p>
    <w:p w14:paraId="5DAD8C2A" w14:textId="77777777" w:rsidR="00120717" w:rsidRPr="00F64A35" w:rsidRDefault="00120717" w:rsidP="008B54EB">
      <w:pPr>
        <w:pStyle w:val="BodyText"/>
      </w:pPr>
      <w:r w:rsidRPr="00B93EE1">
        <w:t>Following the outbreak of COVID</w:t>
      </w:r>
      <w:r w:rsidRPr="00B93EE1">
        <w:noBreakHyphen/>
        <w:t>19, for the year ending March 2021, provisional estimates indicate that tourism's direct contribution to New Zealand's GDP decreased to NZD 8.6 billion (2.9% of GDP). The indirect value added by industries that support tourism decreased to NZD 5.8 billion (1.9% of GDP). Tourism accounted for 2.1% of total exports (down by 17.9 percentage points), its employment decreased to 146,295 (down 72,285), accounting for 5.2% of total employment (down by 2.7 percentage points); and it generated 2.4 billion in goods and services tax (down by 37.7%).</w:t>
      </w:r>
    </w:p>
    <w:p w14:paraId="65E71134" w14:textId="03CBCB88" w:rsidR="00120717" w:rsidRPr="00F64A35" w:rsidRDefault="00120717" w:rsidP="008B54EB">
      <w:pPr>
        <w:pStyle w:val="BodyText"/>
      </w:pPr>
      <w:r w:rsidRPr="00B93EE1">
        <w:t>While the travel services category accounted for over 60% of services exports in between 2014 and 2018, it eased to slightly less than 60% for the years ending March 2019 and 2020, before plummeting to 35% in the year ending March 2021.</w:t>
      </w:r>
    </w:p>
    <w:p w14:paraId="6C8BF1F2" w14:textId="07F5EC51" w:rsidR="00120717" w:rsidRPr="00F64A35" w:rsidRDefault="00120717" w:rsidP="008B54EB">
      <w:pPr>
        <w:pStyle w:val="BodyText"/>
      </w:pPr>
      <w:r w:rsidRPr="00B93EE1">
        <w:t>Foreign investment in tourism is subject to the provisions of the Overseas Investment Act 2005 (Section 2</w:t>
      </w:r>
      <w:r w:rsidR="00377DE8">
        <w:t>.4</w:t>
      </w:r>
      <w:r w:rsidRPr="00B93EE1">
        <w:t>). New Zealand has no stand-alone legislation that regulates the tourism sector. The Government's role in the tourism sector consists mainly of setting strategy, providing funding to promote New Zealand as a tourism destination, and investing in facilities and infrastructure to support visitor experiences.</w:t>
      </w:r>
    </w:p>
    <w:p w14:paraId="4FCDCCFF" w14:textId="77777777" w:rsidR="00120717" w:rsidRPr="00F64A35" w:rsidRDefault="00120717" w:rsidP="008B54EB">
      <w:pPr>
        <w:pStyle w:val="BodyText"/>
      </w:pPr>
      <w:r w:rsidRPr="00B93EE1">
        <w:t>The 2019 New Zealand Government Tourism Strategy sets out a stewardship role for Government in tourism, to ensure tourism enriches New Zealand through more productive, sustainable, and inclusive growth. Priority actions for delivering this include coordination across the tourism system, the development of long-term sustainable funding mechanisms, the facilitation of destination management and planning, and better data and insight.</w:t>
      </w:r>
    </w:p>
    <w:p w14:paraId="253E24AF" w14:textId="77777777" w:rsidR="00120717" w:rsidRPr="00F64A35" w:rsidRDefault="00120717" w:rsidP="008B54EB">
      <w:pPr>
        <w:pStyle w:val="BodyText"/>
      </w:pPr>
      <w:r w:rsidRPr="00B93EE1">
        <w:t>In 2019, the International Visitor Conservation and Tourism Levy was introduced. This NZD 35 levy, which applies to most international visitors to New Zealand, is used to invest in projects that will help to create productive, sustainable, and inclusive tourism growth that protects and supports the environment.</w:t>
      </w:r>
    </w:p>
    <w:p w14:paraId="5C122371" w14:textId="77777777" w:rsidR="00120717" w:rsidRPr="00F64A35" w:rsidRDefault="00120717" w:rsidP="008B54EB">
      <w:pPr>
        <w:pStyle w:val="BodyText"/>
      </w:pPr>
      <w:r w:rsidRPr="00B93EE1">
        <w:t>In response to COVID</w:t>
      </w:r>
      <w:r w:rsidRPr="00B93EE1">
        <w:noBreakHyphen/>
        <w:t>19, the New Zealand Government has taken steps to support New Zealand's tourism sector. In 2020, immediate support came from economy-wide stimulus measures, including NZD 1.8 billion through a Wage Subsidy scheme and NZD 285 million through a Small Business Cash Flow scheme. A NZD 400 million Tourism Recovery Fund was introduced in 2020, providing funding for a range of support initiatives including a Strategic Tourism Assets Protection programme to protect core tourism assets and offerings; a Tourism Transitions Programme to deliver advice and support to tourism businesses on issues such as how to pivot towards the domestic market, scale, back or hibernate operations, and how to build digital capability; and the New Zealand Tourism Futures Taskforce, established to identify changes that could be made to the tourism system to enrich New Zealand and enhance community well-being.</w:t>
      </w:r>
    </w:p>
    <w:p w14:paraId="3EE68609" w14:textId="77777777" w:rsidR="00120717" w:rsidRPr="00F64A35" w:rsidRDefault="00120717" w:rsidP="008B54EB">
      <w:pPr>
        <w:pStyle w:val="BodyText"/>
      </w:pPr>
      <w:r w:rsidRPr="00B93EE1">
        <w:t xml:space="preserve">A further NZD 200 million was provided in 2021 through the Tourism Communities: Support, Recovery and Re-set Plan. The Plan aims to ensure the immediate survival of the tourism sector and contains initiatives that focus on ensuring tourism is sustainable and resilient in the future. It incorporates investments in small business support, tourism infrastructure, the conservation estate, Māori tourism development, economic and regional development and diversification in regions previously reliant on international tourism, and mental well-being support for workers in the tourism industry. According to the authorities, funding was also allocated for an Industry Transformation Plan, which will build on previous work by, </w:t>
      </w:r>
      <w:r w:rsidRPr="00B93EE1">
        <w:rPr>
          <w:i/>
          <w:iCs/>
        </w:rPr>
        <w:t>inter alia</w:t>
      </w:r>
      <w:r w:rsidRPr="00B93EE1">
        <w:t>, the Tourism Futures Taskforce, the Parliamentary Commissioner for the Environment, and the Climate Change Commission to transform tourism into a more sustainable model.</w:t>
      </w:r>
    </w:p>
    <w:p w14:paraId="2CB0D4E6" w14:textId="77777777" w:rsidR="00120717" w:rsidRPr="00F64A35" w:rsidRDefault="00120717" w:rsidP="008B54EB">
      <w:pPr>
        <w:pStyle w:val="BodyText"/>
      </w:pPr>
      <w:r w:rsidRPr="00B93EE1">
        <w:t xml:space="preserve">The </w:t>
      </w:r>
      <w:proofErr w:type="spellStart"/>
      <w:r w:rsidRPr="00B93EE1">
        <w:t>MBIE</w:t>
      </w:r>
      <w:proofErr w:type="spellEnd"/>
      <w:r w:rsidRPr="00B93EE1">
        <w:t xml:space="preserve"> is the country's monitoring agency and is responsible for tourism policy and regulation. Its Tourism Policy Unit provides guidance to the Government and works with other government departments on key tourism policy issues. Under the New Zealand Tourism Board </w:t>
      </w:r>
      <w:r w:rsidRPr="00B93EE1">
        <w:lastRenderedPageBreak/>
        <w:t>Act 1991, Tourism New Zealand (</w:t>
      </w:r>
      <w:proofErr w:type="spellStart"/>
      <w:r w:rsidRPr="00B93EE1">
        <w:t>TNZ</w:t>
      </w:r>
      <w:proofErr w:type="spellEnd"/>
      <w:r w:rsidRPr="00B93EE1">
        <w:t>) is responsible for marketing New Zealand to the world as a tourist destination.</w:t>
      </w:r>
      <w:r w:rsidRPr="00B93EE1">
        <w:rPr>
          <w:rStyle w:val="FootnoteReference"/>
          <w:rFonts w:cs="Verdana"/>
          <w:szCs w:val="18"/>
        </w:rPr>
        <w:footnoteReference w:id="424"/>
      </w:r>
      <w:r w:rsidRPr="00B93EE1">
        <w:t xml:space="preserve"> </w:t>
      </w:r>
      <w:proofErr w:type="spellStart"/>
      <w:r w:rsidRPr="00B93EE1">
        <w:t>Qualmark</w:t>
      </w:r>
      <w:proofErr w:type="spellEnd"/>
      <w:r w:rsidRPr="00B93EE1">
        <w:t xml:space="preserve"> Limited and Visitor Information Network Incorporated, its two subsidiary organizations, are in charge of improving visitor satisfaction and product quality. The New Zealand Māori Arts and Crafts Institute seeks to encourage, foster, and promote all types of Māori culture and the practice and appreciation of Māori arts and crafts.</w:t>
      </w:r>
    </w:p>
    <w:p w14:paraId="16E435ED" w14:textId="77777777" w:rsidR="00120717" w:rsidRPr="00F64A35" w:rsidRDefault="00120717" w:rsidP="008B54EB">
      <w:pPr>
        <w:pStyle w:val="BodyText"/>
      </w:pPr>
      <w:r w:rsidRPr="00B93EE1">
        <w:t xml:space="preserve">To support access to information about the tourism industry, the </w:t>
      </w:r>
      <w:proofErr w:type="spellStart"/>
      <w:r w:rsidRPr="00B93EE1">
        <w:t>MBIE</w:t>
      </w:r>
      <w:proofErr w:type="spellEnd"/>
      <w:r w:rsidRPr="00B93EE1">
        <w:t xml:space="preserve"> developed the Tourism Evidence and Insights Centre (</w:t>
      </w:r>
      <w:proofErr w:type="spellStart"/>
      <w:r w:rsidRPr="00B93EE1">
        <w:t>TEIC</w:t>
      </w:r>
      <w:proofErr w:type="spellEnd"/>
      <w:r w:rsidRPr="00B93EE1">
        <w:t xml:space="preserve">), in collaboration with representatives from the tourism industry, academia, and central and local government. The </w:t>
      </w:r>
      <w:proofErr w:type="spellStart"/>
      <w:r w:rsidRPr="00B93EE1">
        <w:t>TEIC</w:t>
      </w:r>
      <w:proofErr w:type="spellEnd"/>
      <w:r w:rsidRPr="00B93EE1">
        <w:t>, launched in 2021, provides a central location for tourism data, reports, and articles and includes an interactive hub for sharing tourism data and insights to help measure the impact of tourism on New Zealand.</w:t>
      </w:r>
    </w:p>
    <w:p w14:paraId="4BF58BAE" w14:textId="77777777" w:rsidR="00120717" w:rsidRPr="00F64A35" w:rsidRDefault="00120717" w:rsidP="008B54EB">
      <w:pPr>
        <w:pStyle w:val="BodyText"/>
      </w:pPr>
      <w:r w:rsidRPr="00B93EE1">
        <w:t>The Tourism Chief Executives' Group was established in 2016 and is made up of chief executives of key central government agencies. It helps provide cross</w:t>
      </w:r>
      <w:r w:rsidRPr="00B93EE1">
        <w:rPr>
          <w:rFonts w:ascii="Cambria Math" w:hAnsi="Cambria Math" w:cs="Cambria Math"/>
        </w:rPr>
        <w:t>‐</w:t>
      </w:r>
      <w:r w:rsidRPr="00B93EE1">
        <w:t>portfolio coordination and strategic oversight to deliver on tourism objectives. The Group aims to coordinate and align the Government's tourism</w:t>
      </w:r>
      <w:r w:rsidRPr="00B93EE1">
        <w:rPr>
          <w:rFonts w:ascii="Cambria Math" w:hAnsi="Cambria Math" w:cs="Cambria Math"/>
        </w:rPr>
        <w:t>‐</w:t>
      </w:r>
      <w:r w:rsidRPr="00B93EE1">
        <w:t xml:space="preserve">related activities by, </w:t>
      </w:r>
      <w:r w:rsidRPr="00B93EE1">
        <w:rPr>
          <w:i/>
          <w:iCs/>
        </w:rPr>
        <w:t>inter alia</w:t>
      </w:r>
      <w:r w:rsidRPr="00B93EE1">
        <w:t>, providing strategic oversight, facilitating information sharing, and helping manage relationships across a range of agencies whose portfolios intersect with the tourism sector, including the Departments of Conservation and Internal Affairs and the Ministry of Culture and Heritage and the Ministry of Transport.</w:t>
      </w:r>
    </w:p>
    <w:p w14:paraId="25FC7019" w14:textId="77777777" w:rsidR="00120717" w:rsidRPr="00F64A35" w:rsidRDefault="00120717" w:rsidP="001B4C77">
      <w:pPr>
        <w:pStyle w:val="BodyText"/>
      </w:pPr>
      <w:r w:rsidRPr="00B93EE1">
        <w:t>Local governments are increasingly involved in tourism development through regional tourism organizations and have received over NZD 40 million to implement destination management and planning, and encourage more people to explore their regions. They take measures to attract visitors to their regions and provide local facilities and infrastructure and enforce any related local bylaws.</w:t>
      </w:r>
    </w:p>
    <w:p w14:paraId="58EF2E3C" w14:textId="77777777" w:rsidR="00120717" w:rsidRPr="00B93EE1" w:rsidRDefault="00120717" w:rsidP="00BB34F7">
      <w:pPr>
        <w:sectPr w:rsidR="00120717" w:rsidRPr="00B93EE1" w:rsidSect="003D7746">
          <w:footnotePr>
            <w:numRestart w:val="eachSect"/>
          </w:footnotePr>
          <w:pgSz w:w="11906" w:h="16838" w:code="9"/>
          <w:pgMar w:top="1701" w:right="1440" w:bottom="1440" w:left="1440" w:header="720" w:footer="720" w:gutter="0"/>
          <w:cols w:space="720"/>
          <w:docGrid w:linePitch="360"/>
        </w:sectPr>
      </w:pPr>
    </w:p>
    <w:p w14:paraId="6ACDA5FC" w14:textId="77777777" w:rsidR="00120717" w:rsidRPr="00F64A35" w:rsidRDefault="00120717" w:rsidP="009D5168">
      <w:pPr>
        <w:pStyle w:val="Heading1"/>
      </w:pPr>
      <w:bookmarkStart w:id="257" w:name="_Toc97800216"/>
      <w:r w:rsidRPr="00B93EE1">
        <w:lastRenderedPageBreak/>
        <w:t>APPENDIX TABLES</w:t>
      </w:r>
      <w:bookmarkEnd w:id="257"/>
    </w:p>
    <w:p w14:paraId="6E65ADDA" w14:textId="2A48E65C" w:rsidR="00120717" w:rsidRPr="00B93EE1" w:rsidRDefault="009327F6" w:rsidP="009327F6">
      <w:pPr>
        <w:pStyle w:val="Caption"/>
        <w:rPr>
          <w:rFonts w:eastAsia="Calibri"/>
          <w:sz w:val="16"/>
        </w:rPr>
      </w:pPr>
      <w:bookmarkStart w:id="258" w:name="_Toc97803822"/>
      <w:r>
        <w:t>Table A1.</w:t>
      </w:r>
      <w:r w:rsidR="0012793B">
        <w:fldChar w:fldCharType="begin"/>
      </w:r>
      <w:r w:rsidR="0012793B">
        <w:instrText xml:space="preserve"> SEQ Table_A1. \* ARABIC </w:instrText>
      </w:r>
      <w:r w:rsidR="0012793B">
        <w:fldChar w:fldCharType="separate"/>
      </w:r>
      <w:r w:rsidR="00DE713E">
        <w:rPr>
          <w:noProof/>
        </w:rPr>
        <w:t>1</w:t>
      </w:r>
      <w:r w:rsidR="0012793B">
        <w:rPr>
          <w:noProof/>
        </w:rPr>
        <w:fldChar w:fldCharType="end"/>
      </w:r>
      <w:r w:rsidR="00120717" w:rsidRPr="00B93EE1">
        <w:t xml:space="preserve"> Merchandise exports by HS section and major chapter/subheading,</w:t>
      </w:r>
      <w:r w:rsidR="00120717" w:rsidRPr="00B93EE1">
        <w:br/>
        <w:t>2015-21</w:t>
      </w:r>
      <w:bookmarkEnd w:id="258"/>
    </w:p>
    <w:tbl>
      <w:tblPr>
        <w:tblStyle w:val="WTOTable1"/>
        <w:tblW w:w="5000" w:type="pct"/>
        <w:tblLayout w:type="fixed"/>
        <w:tblLook w:val="04A0" w:firstRow="1" w:lastRow="0" w:firstColumn="1" w:lastColumn="0" w:noHBand="0" w:noVBand="1"/>
      </w:tblPr>
      <w:tblGrid>
        <w:gridCol w:w="3964"/>
        <w:gridCol w:w="722"/>
        <w:gridCol w:w="721"/>
        <w:gridCol w:w="721"/>
        <w:gridCol w:w="721"/>
        <w:gridCol w:w="721"/>
        <w:gridCol w:w="721"/>
        <w:gridCol w:w="725"/>
      </w:tblGrid>
      <w:tr w:rsidR="00120717" w:rsidRPr="00EE1448" w14:paraId="0DC8AD6A" w14:textId="77777777" w:rsidTr="00EE1448">
        <w:trPr>
          <w:cnfStyle w:val="100000000000" w:firstRow="1" w:lastRow="0" w:firstColumn="0" w:lastColumn="0" w:oddVBand="0" w:evenVBand="0" w:oddHBand="0" w:evenHBand="0" w:firstRowFirstColumn="0" w:firstRowLastColumn="0" w:lastRowFirstColumn="0" w:lastRowLastColumn="0"/>
        </w:trPr>
        <w:tc>
          <w:tcPr>
            <w:tcW w:w="2198" w:type="pct"/>
            <w:hideMark/>
          </w:tcPr>
          <w:p w14:paraId="4DCB8765" w14:textId="2386454D" w:rsidR="00120717" w:rsidRPr="00EE1448" w:rsidRDefault="00120717" w:rsidP="00075C8B">
            <w:pPr>
              <w:jc w:val="left"/>
              <w:rPr>
                <w:rFonts w:cs="Calibri"/>
                <w:sz w:val="15"/>
                <w:szCs w:val="15"/>
              </w:rPr>
            </w:pPr>
            <w:r w:rsidRPr="00EE1448">
              <w:rPr>
                <w:rFonts w:cs="Calibri"/>
                <w:sz w:val="15"/>
                <w:szCs w:val="15"/>
              </w:rPr>
              <w:t>HS Section/chapter/subheading</w:t>
            </w:r>
          </w:p>
        </w:tc>
        <w:tc>
          <w:tcPr>
            <w:tcW w:w="400" w:type="pct"/>
            <w:noWrap/>
            <w:hideMark/>
          </w:tcPr>
          <w:p w14:paraId="141609A2" w14:textId="77777777" w:rsidR="00120717" w:rsidRPr="00EE1448" w:rsidRDefault="00120717" w:rsidP="00075C8B">
            <w:pPr>
              <w:ind w:right="57"/>
              <w:jc w:val="right"/>
              <w:rPr>
                <w:rFonts w:cs="Calibri"/>
                <w:sz w:val="15"/>
                <w:szCs w:val="15"/>
              </w:rPr>
            </w:pPr>
            <w:r w:rsidRPr="00EE1448">
              <w:rPr>
                <w:rFonts w:cs="Calibri"/>
                <w:sz w:val="15"/>
                <w:szCs w:val="15"/>
              </w:rPr>
              <w:t>2015</w:t>
            </w:r>
          </w:p>
        </w:tc>
        <w:tc>
          <w:tcPr>
            <w:tcW w:w="400" w:type="pct"/>
            <w:noWrap/>
            <w:hideMark/>
          </w:tcPr>
          <w:p w14:paraId="2C7C3A75" w14:textId="77777777" w:rsidR="00120717" w:rsidRPr="00EE1448" w:rsidRDefault="00120717" w:rsidP="00075C8B">
            <w:pPr>
              <w:ind w:right="57"/>
              <w:jc w:val="right"/>
              <w:rPr>
                <w:rFonts w:cs="Calibri"/>
                <w:sz w:val="15"/>
                <w:szCs w:val="15"/>
              </w:rPr>
            </w:pPr>
            <w:r w:rsidRPr="00EE1448">
              <w:rPr>
                <w:rFonts w:cs="Calibri"/>
                <w:sz w:val="15"/>
                <w:szCs w:val="15"/>
              </w:rPr>
              <w:t>2016</w:t>
            </w:r>
          </w:p>
        </w:tc>
        <w:tc>
          <w:tcPr>
            <w:tcW w:w="400" w:type="pct"/>
            <w:noWrap/>
            <w:hideMark/>
          </w:tcPr>
          <w:p w14:paraId="34DB7398" w14:textId="77777777" w:rsidR="00120717" w:rsidRPr="00EE1448" w:rsidRDefault="00120717" w:rsidP="00075C8B">
            <w:pPr>
              <w:ind w:right="57"/>
              <w:jc w:val="right"/>
              <w:rPr>
                <w:rFonts w:cs="Calibri"/>
                <w:sz w:val="15"/>
                <w:szCs w:val="15"/>
              </w:rPr>
            </w:pPr>
            <w:r w:rsidRPr="00EE1448">
              <w:rPr>
                <w:rFonts w:cs="Calibri"/>
                <w:sz w:val="15"/>
                <w:szCs w:val="15"/>
              </w:rPr>
              <w:t>2017</w:t>
            </w:r>
          </w:p>
        </w:tc>
        <w:tc>
          <w:tcPr>
            <w:tcW w:w="400" w:type="pct"/>
            <w:noWrap/>
            <w:hideMark/>
          </w:tcPr>
          <w:p w14:paraId="61EE66EF" w14:textId="77777777" w:rsidR="00120717" w:rsidRPr="00EE1448" w:rsidRDefault="00120717" w:rsidP="00075C8B">
            <w:pPr>
              <w:ind w:right="57"/>
              <w:jc w:val="right"/>
              <w:rPr>
                <w:rFonts w:cs="Calibri"/>
                <w:sz w:val="15"/>
                <w:szCs w:val="15"/>
              </w:rPr>
            </w:pPr>
            <w:r w:rsidRPr="00EE1448">
              <w:rPr>
                <w:rFonts w:cs="Calibri"/>
                <w:sz w:val="15"/>
                <w:szCs w:val="15"/>
              </w:rPr>
              <w:t>2018</w:t>
            </w:r>
          </w:p>
        </w:tc>
        <w:tc>
          <w:tcPr>
            <w:tcW w:w="400" w:type="pct"/>
            <w:noWrap/>
            <w:hideMark/>
          </w:tcPr>
          <w:p w14:paraId="11EFBB10" w14:textId="77777777" w:rsidR="00120717" w:rsidRPr="00EE1448" w:rsidRDefault="00120717" w:rsidP="00075C8B">
            <w:pPr>
              <w:ind w:right="57"/>
              <w:jc w:val="right"/>
              <w:rPr>
                <w:rFonts w:cs="Calibri"/>
                <w:sz w:val="15"/>
                <w:szCs w:val="15"/>
              </w:rPr>
            </w:pPr>
            <w:r w:rsidRPr="00EE1448">
              <w:rPr>
                <w:rFonts w:cs="Calibri"/>
                <w:sz w:val="15"/>
                <w:szCs w:val="15"/>
              </w:rPr>
              <w:t>2019</w:t>
            </w:r>
          </w:p>
        </w:tc>
        <w:tc>
          <w:tcPr>
            <w:tcW w:w="400" w:type="pct"/>
            <w:noWrap/>
            <w:hideMark/>
          </w:tcPr>
          <w:p w14:paraId="34E81F4B" w14:textId="77777777" w:rsidR="00120717" w:rsidRPr="00EE1448" w:rsidRDefault="00120717" w:rsidP="00075C8B">
            <w:pPr>
              <w:ind w:right="57"/>
              <w:jc w:val="right"/>
              <w:rPr>
                <w:rFonts w:cs="Calibri"/>
                <w:sz w:val="15"/>
                <w:szCs w:val="15"/>
              </w:rPr>
            </w:pPr>
            <w:r w:rsidRPr="00EE1448">
              <w:rPr>
                <w:rFonts w:cs="Calibri"/>
                <w:sz w:val="15"/>
                <w:szCs w:val="15"/>
              </w:rPr>
              <w:t>2020</w:t>
            </w:r>
          </w:p>
        </w:tc>
        <w:tc>
          <w:tcPr>
            <w:tcW w:w="400" w:type="pct"/>
          </w:tcPr>
          <w:p w14:paraId="480548DA" w14:textId="77777777" w:rsidR="00120717" w:rsidRPr="00EE1448" w:rsidRDefault="00120717" w:rsidP="00075C8B">
            <w:pPr>
              <w:ind w:right="57"/>
              <w:jc w:val="right"/>
              <w:rPr>
                <w:rFonts w:cs="Calibri"/>
                <w:color w:val="FFFFFF" w:themeColor="background1"/>
                <w:sz w:val="15"/>
                <w:szCs w:val="15"/>
              </w:rPr>
            </w:pPr>
            <w:r w:rsidRPr="00EE1448">
              <w:rPr>
                <w:rFonts w:cs="Calibri"/>
                <w:color w:val="FFFFFF" w:themeColor="background1"/>
                <w:sz w:val="15"/>
                <w:szCs w:val="15"/>
              </w:rPr>
              <w:t>2021</w:t>
            </w:r>
          </w:p>
        </w:tc>
      </w:tr>
      <w:tr w:rsidR="00120717" w:rsidRPr="00EE1448" w14:paraId="7A462872" w14:textId="77777777" w:rsidTr="00EE1448">
        <w:tc>
          <w:tcPr>
            <w:tcW w:w="2198" w:type="pct"/>
            <w:noWrap/>
            <w:hideMark/>
          </w:tcPr>
          <w:p w14:paraId="66B1634B" w14:textId="77777777" w:rsidR="00120717" w:rsidRPr="00EE1448" w:rsidRDefault="00120717" w:rsidP="00075C8B">
            <w:pPr>
              <w:jc w:val="left"/>
              <w:rPr>
                <w:rFonts w:cs="Calibri"/>
                <w:color w:val="000000"/>
                <w:sz w:val="15"/>
                <w:szCs w:val="15"/>
              </w:rPr>
            </w:pPr>
            <w:r w:rsidRPr="00EE1448">
              <w:rPr>
                <w:rFonts w:cs="Calibri"/>
                <w:color w:val="000000"/>
                <w:sz w:val="15"/>
                <w:szCs w:val="15"/>
              </w:rPr>
              <w:t>Total exports (USD billion)</w:t>
            </w:r>
          </w:p>
        </w:tc>
        <w:tc>
          <w:tcPr>
            <w:tcW w:w="400" w:type="pct"/>
            <w:noWrap/>
            <w:hideMark/>
          </w:tcPr>
          <w:p w14:paraId="3E3B1F65" w14:textId="77777777" w:rsidR="00120717" w:rsidRPr="00EE1448" w:rsidRDefault="00120717" w:rsidP="00075C8B">
            <w:pPr>
              <w:ind w:right="57"/>
              <w:jc w:val="right"/>
              <w:rPr>
                <w:rFonts w:cs="Calibri"/>
                <w:color w:val="000000"/>
                <w:sz w:val="15"/>
                <w:szCs w:val="15"/>
              </w:rPr>
            </w:pPr>
            <w:r w:rsidRPr="00EE1448">
              <w:rPr>
                <w:rFonts w:cs="Calibri"/>
                <w:color w:val="000000"/>
                <w:sz w:val="15"/>
                <w:szCs w:val="15"/>
              </w:rPr>
              <w:t>34.4</w:t>
            </w:r>
          </w:p>
        </w:tc>
        <w:tc>
          <w:tcPr>
            <w:tcW w:w="400" w:type="pct"/>
            <w:noWrap/>
            <w:hideMark/>
          </w:tcPr>
          <w:p w14:paraId="7D3035C9" w14:textId="77777777" w:rsidR="00120717" w:rsidRPr="00EE1448" w:rsidRDefault="00120717" w:rsidP="00075C8B">
            <w:pPr>
              <w:ind w:right="57"/>
              <w:jc w:val="right"/>
              <w:rPr>
                <w:rFonts w:cs="Calibri"/>
                <w:color w:val="000000"/>
                <w:sz w:val="15"/>
                <w:szCs w:val="15"/>
              </w:rPr>
            </w:pPr>
            <w:r w:rsidRPr="00EE1448">
              <w:rPr>
                <w:rFonts w:cs="Calibri"/>
                <w:color w:val="000000"/>
                <w:sz w:val="15"/>
                <w:szCs w:val="15"/>
              </w:rPr>
              <w:t>33.7</w:t>
            </w:r>
          </w:p>
        </w:tc>
        <w:tc>
          <w:tcPr>
            <w:tcW w:w="400" w:type="pct"/>
            <w:noWrap/>
            <w:hideMark/>
          </w:tcPr>
          <w:p w14:paraId="3D8C66E4" w14:textId="77777777" w:rsidR="00120717" w:rsidRPr="00EE1448" w:rsidRDefault="00120717" w:rsidP="00075C8B">
            <w:pPr>
              <w:ind w:right="57"/>
              <w:jc w:val="right"/>
              <w:rPr>
                <w:rFonts w:cs="Calibri"/>
                <w:color w:val="000000"/>
                <w:sz w:val="15"/>
                <w:szCs w:val="15"/>
              </w:rPr>
            </w:pPr>
            <w:r w:rsidRPr="00EE1448">
              <w:rPr>
                <w:rFonts w:cs="Calibri"/>
                <w:color w:val="000000"/>
                <w:sz w:val="15"/>
                <w:szCs w:val="15"/>
              </w:rPr>
              <w:t>38.1</w:t>
            </w:r>
          </w:p>
        </w:tc>
        <w:tc>
          <w:tcPr>
            <w:tcW w:w="400" w:type="pct"/>
            <w:noWrap/>
            <w:hideMark/>
          </w:tcPr>
          <w:p w14:paraId="4E5410DE" w14:textId="77777777" w:rsidR="00120717" w:rsidRPr="00EE1448" w:rsidRDefault="00120717" w:rsidP="00075C8B">
            <w:pPr>
              <w:ind w:right="57"/>
              <w:jc w:val="right"/>
              <w:rPr>
                <w:rFonts w:cs="Calibri"/>
                <w:color w:val="000000"/>
                <w:sz w:val="15"/>
                <w:szCs w:val="15"/>
              </w:rPr>
            </w:pPr>
            <w:r w:rsidRPr="00EE1448">
              <w:rPr>
                <w:rFonts w:cs="Calibri"/>
                <w:color w:val="000000"/>
                <w:sz w:val="15"/>
                <w:szCs w:val="15"/>
              </w:rPr>
              <w:t>39.8</w:t>
            </w:r>
          </w:p>
        </w:tc>
        <w:tc>
          <w:tcPr>
            <w:tcW w:w="400" w:type="pct"/>
            <w:noWrap/>
            <w:hideMark/>
          </w:tcPr>
          <w:p w14:paraId="0A17FEE6" w14:textId="77777777" w:rsidR="00120717" w:rsidRPr="00EE1448" w:rsidRDefault="00120717" w:rsidP="00075C8B">
            <w:pPr>
              <w:ind w:right="57"/>
              <w:jc w:val="right"/>
              <w:rPr>
                <w:rFonts w:cs="Calibri"/>
                <w:color w:val="000000"/>
                <w:sz w:val="15"/>
                <w:szCs w:val="15"/>
              </w:rPr>
            </w:pPr>
            <w:r w:rsidRPr="00EE1448">
              <w:rPr>
                <w:rFonts w:cs="Calibri"/>
                <w:color w:val="000000"/>
                <w:sz w:val="15"/>
                <w:szCs w:val="15"/>
              </w:rPr>
              <w:t>39.5</w:t>
            </w:r>
          </w:p>
        </w:tc>
        <w:tc>
          <w:tcPr>
            <w:tcW w:w="400" w:type="pct"/>
            <w:noWrap/>
            <w:hideMark/>
          </w:tcPr>
          <w:p w14:paraId="559A86C2" w14:textId="77777777" w:rsidR="00120717" w:rsidRPr="00EE1448" w:rsidRDefault="00120717" w:rsidP="00075C8B">
            <w:pPr>
              <w:ind w:right="57"/>
              <w:jc w:val="right"/>
              <w:rPr>
                <w:rFonts w:cs="Calibri"/>
                <w:color w:val="000000"/>
                <w:sz w:val="15"/>
                <w:szCs w:val="15"/>
              </w:rPr>
            </w:pPr>
            <w:r w:rsidRPr="00EE1448">
              <w:rPr>
                <w:rFonts w:cs="Calibri"/>
                <w:color w:val="000000"/>
                <w:sz w:val="15"/>
                <w:szCs w:val="15"/>
              </w:rPr>
              <w:t>38.9</w:t>
            </w:r>
          </w:p>
        </w:tc>
        <w:tc>
          <w:tcPr>
            <w:tcW w:w="400" w:type="pct"/>
          </w:tcPr>
          <w:p w14:paraId="2430AC13" w14:textId="77777777" w:rsidR="00120717" w:rsidRPr="00EE1448" w:rsidRDefault="00120717" w:rsidP="00075C8B">
            <w:pPr>
              <w:ind w:right="57"/>
              <w:jc w:val="right"/>
              <w:rPr>
                <w:rFonts w:cs="Calibri"/>
                <w:sz w:val="15"/>
                <w:szCs w:val="15"/>
              </w:rPr>
            </w:pPr>
            <w:r w:rsidRPr="00EE1448">
              <w:rPr>
                <w:rFonts w:cs="Calibri"/>
                <w:sz w:val="15"/>
                <w:szCs w:val="15"/>
              </w:rPr>
              <w:t>44.8</w:t>
            </w:r>
          </w:p>
        </w:tc>
      </w:tr>
      <w:tr w:rsidR="00120717" w:rsidRPr="00EE1448" w14:paraId="67A60418"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708A8B8E" w14:textId="77777777" w:rsidR="00120717" w:rsidRPr="00EE1448" w:rsidRDefault="00120717" w:rsidP="00075C8B">
            <w:pPr>
              <w:jc w:val="left"/>
              <w:rPr>
                <w:sz w:val="15"/>
                <w:szCs w:val="15"/>
              </w:rPr>
            </w:pPr>
          </w:p>
        </w:tc>
        <w:tc>
          <w:tcPr>
            <w:tcW w:w="2802" w:type="pct"/>
            <w:gridSpan w:val="7"/>
            <w:hideMark/>
          </w:tcPr>
          <w:p w14:paraId="0E18C764" w14:textId="77777777" w:rsidR="00120717" w:rsidRPr="00EE1448" w:rsidRDefault="00120717" w:rsidP="00075C8B">
            <w:pPr>
              <w:jc w:val="center"/>
              <w:rPr>
                <w:rFonts w:cs="Calibri"/>
                <w:b/>
                <w:bCs/>
                <w:sz w:val="15"/>
                <w:szCs w:val="15"/>
              </w:rPr>
            </w:pPr>
            <w:r w:rsidRPr="00EE1448">
              <w:rPr>
                <w:rFonts w:cs="Calibri"/>
                <w:b/>
                <w:bCs/>
                <w:color w:val="000000"/>
                <w:sz w:val="15"/>
                <w:szCs w:val="15"/>
              </w:rPr>
              <w:t>(% of total exports)</w:t>
            </w:r>
          </w:p>
        </w:tc>
      </w:tr>
      <w:tr w:rsidR="00120717" w:rsidRPr="00EE1448" w14:paraId="6D81153C" w14:textId="77777777" w:rsidTr="00EE1448">
        <w:tc>
          <w:tcPr>
            <w:tcW w:w="2198" w:type="pct"/>
            <w:noWrap/>
            <w:hideMark/>
          </w:tcPr>
          <w:p w14:paraId="66F7F278" w14:textId="77777777" w:rsidR="00120717" w:rsidRPr="00EE1448" w:rsidRDefault="00120717" w:rsidP="00936480">
            <w:pPr>
              <w:jc w:val="left"/>
              <w:rPr>
                <w:rFonts w:cs="Calibri"/>
                <w:color w:val="000000"/>
                <w:sz w:val="15"/>
                <w:szCs w:val="15"/>
              </w:rPr>
            </w:pPr>
            <w:r w:rsidRPr="00EE1448">
              <w:rPr>
                <w:rFonts w:cs="Calibri"/>
                <w:color w:val="000000"/>
                <w:sz w:val="15"/>
                <w:szCs w:val="15"/>
              </w:rPr>
              <w:t>01 Live animals and products</w:t>
            </w:r>
          </w:p>
        </w:tc>
        <w:tc>
          <w:tcPr>
            <w:tcW w:w="400" w:type="pct"/>
            <w:noWrap/>
            <w:hideMark/>
          </w:tcPr>
          <w:p w14:paraId="511DD90F"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42.6</w:t>
            </w:r>
          </w:p>
        </w:tc>
        <w:tc>
          <w:tcPr>
            <w:tcW w:w="400" w:type="pct"/>
            <w:noWrap/>
            <w:hideMark/>
          </w:tcPr>
          <w:p w14:paraId="011CEAC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40.7</w:t>
            </w:r>
          </w:p>
        </w:tc>
        <w:tc>
          <w:tcPr>
            <w:tcW w:w="400" w:type="pct"/>
            <w:noWrap/>
            <w:hideMark/>
          </w:tcPr>
          <w:p w14:paraId="4D6744A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43.6</w:t>
            </w:r>
          </w:p>
        </w:tc>
        <w:tc>
          <w:tcPr>
            <w:tcW w:w="400" w:type="pct"/>
            <w:noWrap/>
            <w:hideMark/>
          </w:tcPr>
          <w:p w14:paraId="0DC0D61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42.7</w:t>
            </w:r>
          </w:p>
        </w:tc>
        <w:tc>
          <w:tcPr>
            <w:tcW w:w="400" w:type="pct"/>
            <w:noWrap/>
            <w:hideMark/>
          </w:tcPr>
          <w:p w14:paraId="39E304F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44.9</w:t>
            </w:r>
          </w:p>
        </w:tc>
        <w:tc>
          <w:tcPr>
            <w:tcW w:w="400" w:type="pct"/>
            <w:noWrap/>
            <w:hideMark/>
          </w:tcPr>
          <w:p w14:paraId="5542E0F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45.3</w:t>
            </w:r>
          </w:p>
        </w:tc>
        <w:tc>
          <w:tcPr>
            <w:tcW w:w="400" w:type="pct"/>
          </w:tcPr>
          <w:p w14:paraId="01BDE82F" w14:textId="77777777" w:rsidR="00120717" w:rsidRPr="00EE1448" w:rsidRDefault="00120717" w:rsidP="00FC31BF">
            <w:pPr>
              <w:ind w:right="57"/>
              <w:jc w:val="right"/>
              <w:rPr>
                <w:rFonts w:cs="Calibri"/>
                <w:sz w:val="15"/>
                <w:szCs w:val="15"/>
              </w:rPr>
            </w:pPr>
            <w:r w:rsidRPr="00EE1448">
              <w:rPr>
                <w:rFonts w:cs="Calibri"/>
                <w:sz w:val="15"/>
                <w:szCs w:val="15"/>
              </w:rPr>
              <w:t>45.9</w:t>
            </w:r>
          </w:p>
        </w:tc>
      </w:tr>
      <w:tr w:rsidR="00120717" w:rsidRPr="00EE1448" w14:paraId="50C54407"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0C18878D"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02 Meat and edible meat offal</w:t>
            </w:r>
          </w:p>
        </w:tc>
        <w:tc>
          <w:tcPr>
            <w:tcW w:w="400" w:type="pct"/>
            <w:noWrap/>
            <w:hideMark/>
          </w:tcPr>
          <w:p w14:paraId="2414F43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13.9</w:t>
            </w:r>
          </w:p>
        </w:tc>
        <w:tc>
          <w:tcPr>
            <w:tcW w:w="400" w:type="pct"/>
            <w:noWrap/>
            <w:hideMark/>
          </w:tcPr>
          <w:p w14:paraId="52EA444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12.2</w:t>
            </w:r>
          </w:p>
        </w:tc>
        <w:tc>
          <w:tcPr>
            <w:tcW w:w="400" w:type="pct"/>
            <w:noWrap/>
            <w:hideMark/>
          </w:tcPr>
          <w:p w14:paraId="0049AD7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12.3</w:t>
            </w:r>
          </w:p>
        </w:tc>
        <w:tc>
          <w:tcPr>
            <w:tcW w:w="400" w:type="pct"/>
            <w:noWrap/>
            <w:hideMark/>
          </w:tcPr>
          <w:p w14:paraId="259049A8"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6.9</w:t>
            </w:r>
          </w:p>
        </w:tc>
        <w:tc>
          <w:tcPr>
            <w:tcW w:w="400" w:type="pct"/>
            <w:noWrap/>
            <w:hideMark/>
          </w:tcPr>
          <w:p w14:paraId="2B6677F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13.4</w:t>
            </w:r>
          </w:p>
        </w:tc>
        <w:tc>
          <w:tcPr>
            <w:tcW w:w="400" w:type="pct"/>
            <w:noWrap/>
            <w:hideMark/>
          </w:tcPr>
          <w:p w14:paraId="15142C7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13.5</w:t>
            </w:r>
          </w:p>
        </w:tc>
        <w:tc>
          <w:tcPr>
            <w:tcW w:w="400" w:type="pct"/>
          </w:tcPr>
          <w:p w14:paraId="41FAE238" w14:textId="77777777" w:rsidR="00120717" w:rsidRPr="00EE1448" w:rsidRDefault="00120717" w:rsidP="00FC31BF">
            <w:pPr>
              <w:ind w:right="57"/>
              <w:jc w:val="right"/>
              <w:rPr>
                <w:rFonts w:cs="Calibri"/>
                <w:sz w:val="15"/>
                <w:szCs w:val="15"/>
              </w:rPr>
            </w:pPr>
            <w:r w:rsidRPr="00EE1448">
              <w:rPr>
                <w:rFonts w:cs="Calibri"/>
                <w:sz w:val="15"/>
                <w:szCs w:val="15"/>
              </w:rPr>
              <w:t>13.7</w:t>
            </w:r>
          </w:p>
        </w:tc>
      </w:tr>
      <w:tr w:rsidR="00120717" w:rsidRPr="00EE1448" w14:paraId="7BE5AC40" w14:textId="77777777" w:rsidTr="00EE1448">
        <w:tc>
          <w:tcPr>
            <w:tcW w:w="2198" w:type="pct"/>
            <w:noWrap/>
            <w:hideMark/>
          </w:tcPr>
          <w:p w14:paraId="3ACF9789" w14:textId="77777777" w:rsidR="00120717" w:rsidRPr="00EE1448" w:rsidRDefault="00120717" w:rsidP="00936480">
            <w:pPr>
              <w:tabs>
                <w:tab w:val="left" w:pos="284"/>
              </w:tabs>
              <w:ind w:left="454"/>
              <w:jc w:val="left"/>
              <w:rPr>
                <w:rFonts w:cs="Calibri"/>
                <w:color w:val="000000"/>
                <w:sz w:val="15"/>
                <w:szCs w:val="15"/>
              </w:rPr>
            </w:pPr>
            <w:r w:rsidRPr="00EE1448">
              <w:rPr>
                <w:rFonts w:cs="Calibri"/>
                <w:color w:val="000000"/>
                <w:sz w:val="15"/>
                <w:szCs w:val="15"/>
              </w:rPr>
              <w:t>0202 Meat of bovine animals; frozen</w:t>
            </w:r>
          </w:p>
        </w:tc>
        <w:tc>
          <w:tcPr>
            <w:tcW w:w="400" w:type="pct"/>
            <w:noWrap/>
            <w:hideMark/>
          </w:tcPr>
          <w:p w14:paraId="48F5383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6.0</w:t>
            </w:r>
          </w:p>
        </w:tc>
        <w:tc>
          <w:tcPr>
            <w:tcW w:w="400" w:type="pct"/>
            <w:noWrap/>
            <w:hideMark/>
          </w:tcPr>
          <w:p w14:paraId="027965F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5.0</w:t>
            </w:r>
          </w:p>
        </w:tc>
        <w:tc>
          <w:tcPr>
            <w:tcW w:w="400" w:type="pct"/>
            <w:noWrap/>
            <w:hideMark/>
          </w:tcPr>
          <w:p w14:paraId="0649E7D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4.7</w:t>
            </w:r>
          </w:p>
        </w:tc>
        <w:tc>
          <w:tcPr>
            <w:tcW w:w="400" w:type="pct"/>
            <w:noWrap/>
            <w:hideMark/>
          </w:tcPr>
          <w:p w14:paraId="5C4ECEAF"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4.7</w:t>
            </w:r>
          </w:p>
        </w:tc>
        <w:tc>
          <w:tcPr>
            <w:tcW w:w="400" w:type="pct"/>
            <w:noWrap/>
            <w:hideMark/>
          </w:tcPr>
          <w:p w14:paraId="565C024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5.2</w:t>
            </w:r>
          </w:p>
        </w:tc>
        <w:tc>
          <w:tcPr>
            <w:tcW w:w="400" w:type="pct"/>
            <w:noWrap/>
            <w:hideMark/>
          </w:tcPr>
          <w:p w14:paraId="22D0523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5.4</w:t>
            </w:r>
          </w:p>
        </w:tc>
        <w:tc>
          <w:tcPr>
            <w:tcW w:w="400" w:type="pct"/>
          </w:tcPr>
          <w:p w14:paraId="2CEF859D" w14:textId="77777777" w:rsidR="00120717" w:rsidRPr="00EE1448" w:rsidRDefault="00120717" w:rsidP="00FC31BF">
            <w:pPr>
              <w:ind w:right="57"/>
              <w:jc w:val="right"/>
              <w:rPr>
                <w:rFonts w:cs="Calibri"/>
                <w:sz w:val="15"/>
                <w:szCs w:val="15"/>
              </w:rPr>
            </w:pPr>
            <w:r w:rsidRPr="00EE1448">
              <w:rPr>
                <w:rFonts w:cs="Calibri"/>
                <w:sz w:val="15"/>
                <w:szCs w:val="15"/>
              </w:rPr>
              <w:t>5.5</w:t>
            </w:r>
          </w:p>
        </w:tc>
      </w:tr>
      <w:tr w:rsidR="00120717" w:rsidRPr="00EE1448" w14:paraId="55FA7A21"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350E19BF" w14:textId="77777777" w:rsidR="00120717" w:rsidRPr="00EE1448" w:rsidRDefault="00120717" w:rsidP="00936480">
            <w:pPr>
              <w:tabs>
                <w:tab w:val="left" w:pos="284"/>
              </w:tabs>
              <w:ind w:left="454"/>
              <w:jc w:val="left"/>
              <w:rPr>
                <w:rFonts w:cs="Calibri"/>
                <w:color w:val="000000"/>
                <w:sz w:val="15"/>
                <w:szCs w:val="15"/>
              </w:rPr>
            </w:pPr>
            <w:r w:rsidRPr="00EE1448">
              <w:rPr>
                <w:rFonts w:cs="Calibri"/>
                <w:color w:val="000000"/>
                <w:sz w:val="15"/>
                <w:szCs w:val="15"/>
              </w:rPr>
              <w:t>0204 Meat of sheep or goats; fresh, chilled, or frozen</w:t>
            </w:r>
          </w:p>
        </w:tc>
        <w:tc>
          <w:tcPr>
            <w:tcW w:w="400" w:type="pct"/>
            <w:noWrap/>
            <w:hideMark/>
          </w:tcPr>
          <w:p w14:paraId="78FE900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6.3</w:t>
            </w:r>
          </w:p>
        </w:tc>
        <w:tc>
          <w:tcPr>
            <w:tcW w:w="400" w:type="pct"/>
            <w:noWrap/>
            <w:hideMark/>
          </w:tcPr>
          <w:p w14:paraId="58E815A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5.5</w:t>
            </w:r>
          </w:p>
        </w:tc>
        <w:tc>
          <w:tcPr>
            <w:tcW w:w="400" w:type="pct"/>
            <w:noWrap/>
            <w:hideMark/>
          </w:tcPr>
          <w:p w14:paraId="5A92F7F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6.1</w:t>
            </w:r>
          </w:p>
        </w:tc>
        <w:tc>
          <w:tcPr>
            <w:tcW w:w="400" w:type="pct"/>
            <w:noWrap/>
            <w:hideMark/>
          </w:tcPr>
          <w:p w14:paraId="533E975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6.6</w:t>
            </w:r>
          </w:p>
        </w:tc>
        <w:tc>
          <w:tcPr>
            <w:tcW w:w="400" w:type="pct"/>
            <w:noWrap/>
            <w:hideMark/>
          </w:tcPr>
          <w:p w14:paraId="2340C6B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6.5</w:t>
            </w:r>
          </w:p>
        </w:tc>
        <w:tc>
          <w:tcPr>
            <w:tcW w:w="400" w:type="pct"/>
            <w:noWrap/>
            <w:hideMark/>
          </w:tcPr>
          <w:p w14:paraId="07131ED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6.5</w:t>
            </w:r>
          </w:p>
        </w:tc>
        <w:tc>
          <w:tcPr>
            <w:tcW w:w="400" w:type="pct"/>
          </w:tcPr>
          <w:p w14:paraId="0393BE5C" w14:textId="77777777" w:rsidR="00120717" w:rsidRPr="00EE1448" w:rsidRDefault="00120717" w:rsidP="00FC31BF">
            <w:pPr>
              <w:ind w:right="57"/>
              <w:jc w:val="right"/>
              <w:rPr>
                <w:rFonts w:cs="Calibri"/>
                <w:sz w:val="15"/>
                <w:szCs w:val="15"/>
              </w:rPr>
            </w:pPr>
            <w:r w:rsidRPr="00EE1448">
              <w:rPr>
                <w:rFonts w:cs="Calibri"/>
                <w:sz w:val="15"/>
                <w:szCs w:val="15"/>
              </w:rPr>
              <w:t>6.5</w:t>
            </w:r>
          </w:p>
        </w:tc>
      </w:tr>
      <w:tr w:rsidR="00120717" w:rsidRPr="00EE1448" w14:paraId="0962AB90" w14:textId="77777777" w:rsidTr="00EE1448">
        <w:tc>
          <w:tcPr>
            <w:tcW w:w="2198" w:type="pct"/>
            <w:noWrap/>
            <w:hideMark/>
          </w:tcPr>
          <w:p w14:paraId="052C325D"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03 Fish, crustaceans, molluscs, and other aquatic invertebrates</w:t>
            </w:r>
          </w:p>
        </w:tc>
        <w:tc>
          <w:tcPr>
            <w:tcW w:w="400" w:type="pct"/>
            <w:noWrap/>
            <w:hideMark/>
          </w:tcPr>
          <w:p w14:paraId="0B94BC4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3.0</w:t>
            </w:r>
          </w:p>
        </w:tc>
        <w:tc>
          <w:tcPr>
            <w:tcW w:w="400" w:type="pct"/>
            <w:noWrap/>
            <w:hideMark/>
          </w:tcPr>
          <w:p w14:paraId="6406D25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3.3</w:t>
            </w:r>
          </w:p>
        </w:tc>
        <w:tc>
          <w:tcPr>
            <w:tcW w:w="400" w:type="pct"/>
            <w:noWrap/>
            <w:hideMark/>
          </w:tcPr>
          <w:p w14:paraId="74C1484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3.0</w:t>
            </w:r>
          </w:p>
        </w:tc>
        <w:tc>
          <w:tcPr>
            <w:tcW w:w="400" w:type="pct"/>
            <w:noWrap/>
            <w:hideMark/>
          </w:tcPr>
          <w:p w14:paraId="35FF77E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0.4</w:t>
            </w:r>
          </w:p>
        </w:tc>
        <w:tc>
          <w:tcPr>
            <w:tcW w:w="400" w:type="pct"/>
            <w:noWrap/>
            <w:hideMark/>
          </w:tcPr>
          <w:p w14:paraId="24A6DEB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3.1</w:t>
            </w:r>
          </w:p>
        </w:tc>
        <w:tc>
          <w:tcPr>
            <w:tcW w:w="400" w:type="pct"/>
            <w:noWrap/>
            <w:hideMark/>
          </w:tcPr>
          <w:p w14:paraId="30BABC2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2.7</w:t>
            </w:r>
          </w:p>
        </w:tc>
        <w:tc>
          <w:tcPr>
            <w:tcW w:w="400" w:type="pct"/>
          </w:tcPr>
          <w:p w14:paraId="06D08A9F" w14:textId="77777777" w:rsidR="00120717" w:rsidRPr="00EE1448" w:rsidRDefault="00120717" w:rsidP="00FC31BF">
            <w:pPr>
              <w:ind w:right="57"/>
              <w:jc w:val="right"/>
              <w:rPr>
                <w:rFonts w:cs="Calibri"/>
                <w:sz w:val="15"/>
                <w:szCs w:val="15"/>
              </w:rPr>
            </w:pPr>
            <w:r w:rsidRPr="00EE1448">
              <w:rPr>
                <w:rFonts w:cs="Calibri"/>
                <w:sz w:val="15"/>
                <w:szCs w:val="15"/>
              </w:rPr>
              <w:t>2.7</w:t>
            </w:r>
          </w:p>
        </w:tc>
      </w:tr>
      <w:tr w:rsidR="00120717" w:rsidRPr="00EE1448" w14:paraId="77C3F232"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295C76D3"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04 Dairy produce, birds' eggs, natural honey</w:t>
            </w:r>
          </w:p>
        </w:tc>
        <w:tc>
          <w:tcPr>
            <w:tcW w:w="400" w:type="pct"/>
            <w:noWrap/>
            <w:hideMark/>
          </w:tcPr>
          <w:p w14:paraId="5B47496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24.1</w:t>
            </w:r>
          </w:p>
        </w:tc>
        <w:tc>
          <w:tcPr>
            <w:tcW w:w="400" w:type="pct"/>
            <w:noWrap/>
            <w:hideMark/>
          </w:tcPr>
          <w:p w14:paraId="58D6E81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23.7</w:t>
            </w:r>
          </w:p>
        </w:tc>
        <w:tc>
          <w:tcPr>
            <w:tcW w:w="400" w:type="pct"/>
            <w:noWrap/>
            <w:hideMark/>
          </w:tcPr>
          <w:p w14:paraId="479218F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26.8</w:t>
            </w:r>
          </w:p>
        </w:tc>
        <w:tc>
          <w:tcPr>
            <w:tcW w:w="400" w:type="pct"/>
            <w:noWrap/>
            <w:hideMark/>
          </w:tcPr>
          <w:p w14:paraId="4AD3889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11.5</w:t>
            </w:r>
          </w:p>
        </w:tc>
        <w:tc>
          <w:tcPr>
            <w:tcW w:w="400" w:type="pct"/>
            <w:noWrap/>
            <w:hideMark/>
          </w:tcPr>
          <w:p w14:paraId="302B63F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26.9</w:t>
            </w:r>
          </w:p>
        </w:tc>
        <w:tc>
          <w:tcPr>
            <w:tcW w:w="400" w:type="pct"/>
            <w:noWrap/>
            <w:hideMark/>
          </w:tcPr>
          <w:p w14:paraId="0BA7D308"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27.3</w:t>
            </w:r>
          </w:p>
        </w:tc>
        <w:tc>
          <w:tcPr>
            <w:tcW w:w="400" w:type="pct"/>
          </w:tcPr>
          <w:p w14:paraId="40577F85" w14:textId="77777777" w:rsidR="00120717" w:rsidRPr="00EE1448" w:rsidRDefault="00120717" w:rsidP="00FC31BF">
            <w:pPr>
              <w:ind w:right="57"/>
              <w:jc w:val="right"/>
              <w:rPr>
                <w:rFonts w:cs="Calibri"/>
                <w:sz w:val="15"/>
                <w:szCs w:val="15"/>
              </w:rPr>
            </w:pPr>
            <w:r w:rsidRPr="00EE1448">
              <w:rPr>
                <w:rFonts w:cs="Calibri"/>
                <w:sz w:val="15"/>
                <w:szCs w:val="15"/>
              </w:rPr>
              <w:t>27.8</w:t>
            </w:r>
          </w:p>
        </w:tc>
      </w:tr>
      <w:tr w:rsidR="00120717" w:rsidRPr="00EE1448" w14:paraId="07D4FBE6" w14:textId="77777777" w:rsidTr="00EE1448">
        <w:tc>
          <w:tcPr>
            <w:tcW w:w="2198" w:type="pct"/>
            <w:noWrap/>
            <w:hideMark/>
          </w:tcPr>
          <w:p w14:paraId="332F630C" w14:textId="77777777" w:rsidR="00120717" w:rsidRPr="00EE1448" w:rsidRDefault="00120717" w:rsidP="00936480">
            <w:pPr>
              <w:tabs>
                <w:tab w:val="left" w:pos="284"/>
              </w:tabs>
              <w:ind w:left="454"/>
              <w:jc w:val="left"/>
              <w:rPr>
                <w:rFonts w:cs="Calibri"/>
                <w:color w:val="000000"/>
                <w:sz w:val="15"/>
                <w:szCs w:val="15"/>
              </w:rPr>
            </w:pPr>
            <w:r w:rsidRPr="00EE1448">
              <w:rPr>
                <w:rFonts w:cs="Calibri"/>
                <w:color w:val="000000"/>
                <w:sz w:val="15"/>
                <w:szCs w:val="15"/>
              </w:rPr>
              <w:t>0402 Milk and cream; concentrated or containing added sugar or other sweetening matter</w:t>
            </w:r>
          </w:p>
        </w:tc>
        <w:tc>
          <w:tcPr>
            <w:tcW w:w="400" w:type="pct"/>
            <w:noWrap/>
            <w:hideMark/>
          </w:tcPr>
          <w:p w14:paraId="3BF7990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13.0</w:t>
            </w:r>
          </w:p>
        </w:tc>
        <w:tc>
          <w:tcPr>
            <w:tcW w:w="400" w:type="pct"/>
            <w:noWrap/>
            <w:hideMark/>
          </w:tcPr>
          <w:p w14:paraId="24B5867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12.0</w:t>
            </w:r>
          </w:p>
        </w:tc>
        <w:tc>
          <w:tcPr>
            <w:tcW w:w="400" w:type="pct"/>
            <w:noWrap/>
            <w:hideMark/>
          </w:tcPr>
          <w:p w14:paraId="62F3770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13.5</w:t>
            </w:r>
          </w:p>
        </w:tc>
        <w:tc>
          <w:tcPr>
            <w:tcW w:w="400" w:type="pct"/>
            <w:noWrap/>
            <w:hideMark/>
          </w:tcPr>
          <w:p w14:paraId="312A9A3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12.5</w:t>
            </w:r>
          </w:p>
        </w:tc>
        <w:tc>
          <w:tcPr>
            <w:tcW w:w="400" w:type="pct"/>
            <w:noWrap/>
            <w:hideMark/>
          </w:tcPr>
          <w:p w14:paraId="4A6C0DA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14.3</w:t>
            </w:r>
          </w:p>
        </w:tc>
        <w:tc>
          <w:tcPr>
            <w:tcW w:w="400" w:type="pct"/>
            <w:noWrap/>
            <w:hideMark/>
          </w:tcPr>
          <w:p w14:paraId="2E554E7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15.0</w:t>
            </w:r>
          </w:p>
        </w:tc>
        <w:tc>
          <w:tcPr>
            <w:tcW w:w="400" w:type="pct"/>
          </w:tcPr>
          <w:p w14:paraId="19AFC994" w14:textId="77777777" w:rsidR="00120717" w:rsidRPr="00EE1448" w:rsidRDefault="00120717" w:rsidP="00FC31BF">
            <w:pPr>
              <w:ind w:right="57"/>
              <w:jc w:val="right"/>
              <w:rPr>
                <w:rFonts w:cs="Calibri"/>
                <w:sz w:val="15"/>
                <w:szCs w:val="15"/>
              </w:rPr>
            </w:pPr>
            <w:r w:rsidRPr="00EE1448">
              <w:rPr>
                <w:rFonts w:cs="Calibri"/>
                <w:sz w:val="15"/>
                <w:szCs w:val="15"/>
              </w:rPr>
              <w:t>15.7</w:t>
            </w:r>
          </w:p>
        </w:tc>
      </w:tr>
      <w:tr w:rsidR="00120717" w:rsidRPr="00EE1448" w14:paraId="22A03A47"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10D064D3" w14:textId="77777777" w:rsidR="00120717" w:rsidRPr="00EE1448" w:rsidRDefault="00120717" w:rsidP="00936480">
            <w:pPr>
              <w:tabs>
                <w:tab w:val="left" w:pos="284"/>
              </w:tabs>
              <w:ind w:left="454"/>
              <w:jc w:val="left"/>
              <w:rPr>
                <w:rFonts w:cs="Calibri"/>
                <w:color w:val="000000"/>
                <w:sz w:val="15"/>
                <w:szCs w:val="15"/>
              </w:rPr>
            </w:pPr>
            <w:r w:rsidRPr="00EE1448">
              <w:rPr>
                <w:rFonts w:cs="Calibri"/>
                <w:color w:val="000000"/>
                <w:sz w:val="15"/>
                <w:szCs w:val="15"/>
              </w:rPr>
              <w:t>0405 Butter and other fats and oils derived from milk; dairy spreads</w:t>
            </w:r>
          </w:p>
        </w:tc>
        <w:tc>
          <w:tcPr>
            <w:tcW w:w="400" w:type="pct"/>
            <w:noWrap/>
            <w:hideMark/>
          </w:tcPr>
          <w:p w14:paraId="25B8A3F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4.8</w:t>
            </w:r>
          </w:p>
        </w:tc>
        <w:tc>
          <w:tcPr>
            <w:tcW w:w="400" w:type="pct"/>
            <w:noWrap/>
            <w:hideMark/>
          </w:tcPr>
          <w:p w14:paraId="3776B56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5.1</w:t>
            </w:r>
          </w:p>
        </w:tc>
        <w:tc>
          <w:tcPr>
            <w:tcW w:w="400" w:type="pct"/>
            <w:noWrap/>
            <w:hideMark/>
          </w:tcPr>
          <w:p w14:paraId="601A5AF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6.2</w:t>
            </w:r>
          </w:p>
        </w:tc>
        <w:tc>
          <w:tcPr>
            <w:tcW w:w="400" w:type="pct"/>
            <w:noWrap/>
            <w:hideMark/>
          </w:tcPr>
          <w:p w14:paraId="6E202C5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6.6</w:t>
            </w:r>
          </w:p>
        </w:tc>
        <w:tc>
          <w:tcPr>
            <w:tcW w:w="400" w:type="pct"/>
            <w:noWrap/>
            <w:hideMark/>
          </w:tcPr>
          <w:p w14:paraId="6352D0F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5.8</w:t>
            </w:r>
          </w:p>
        </w:tc>
        <w:tc>
          <w:tcPr>
            <w:tcW w:w="400" w:type="pct"/>
            <w:noWrap/>
            <w:hideMark/>
          </w:tcPr>
          <w:p w14:paraId="7B26696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4.9</w:t>
            </w:r>
          </w:p>
        </w:tc>
        <w:tc>
          <w:tcPr>
            <w:tcW w:w="400" w:type="pct"/>
          </w:tcPr>
          <w:p w14:paraId="0BA70CBC" w14:textId="77777777" w:rsidR="00120717" w:rsidRPr="00EE1448" w:rsidRDefault="00120717" w:rsidP="00FC31BF">
            <w:pPr>
              <w:ind w:right="57"/>
              <w:jc w:val="right"/>
              <w:rPr>
                <w:rFonts w:cs="Calibri"/>
                <w:sz w:val="15"/>
                <w:szCs w:val="15"/>
              </w:rPr>
            </w:pPr>
            <w:r w:rsidRPr="00EE1448">
              <w:rPr>
                <w:rFonts w:cs="Calibri"/>
                <w:sz w:val="15"/>
                <w:szCs w:val="15"/>
              </w:rPr>
              <w:t>4.6</w:t>
            </w:r>
          </w:p>
        </w:tc>
      </w:tr>
      <w:tr w:rsidR="00120717" w:rsidRPr="00EE1448" w14:paraId="63C6BADF" w14:textId="77777777" w:rsidTr="00EE1448">
        <w:tc>
          <w:tcPr>
            <w:tcW w:w="2198" w:type="pct"/>
            <w:noWrap/>
            <w:hideMark/>
          </w:tcPr>
          <w:p w14:paraId="77E86F2F" w14:textId="77777777" w:rsidR="00120717" w:rsidRPr="00EE1448" w:rsidRDefault="00120717" w:rsidP="00936480">
            <w:pPr>
              <w:tabs>
                <w:tab w:val="left" w:pos="284"/>
              </w:tabs>
              <w:ind w:left="454"/>
              <w:jc w:val="left"/>
              <w:rPr>
                <w:rFonts w:cs="Calibri"/>
                <w:color w:val="000000"/>
                <w:sz w:val="15"/>
                <w:szCs w:val="15"/>
              </w:rPr>
            </w:pPr>
            <w:r w:rsidRPr="00EE1448">
              <w:rPr>
                <w:rFonts w:cs="Calibri"/>
                <w:color w:val="000000"/>
                <w:sz w:val="15"/>
                <w:szCs w:val="15"/>
              </w:rPr>
              <w:t>0406 Cheese and curd</w:t>
            </w:r>
          </w:p>
        </w:tc>
        <w:tc>
          <w:tcPr>
            <w:tcW w:w="400" w:type="pct"/>
            <w:noWrap/>
            <w:hideMark/>
          </w:tcPr>
          <w:p w14:paraId="2AFE638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3.4</w:t>
            </w:r>
          </w:p>
        </w:tc>
        <w:tc>
          <w:tcPr>
            <w:tcW w:w="400" w:type="pct"/>
            <w:noWrap/>
            <w:hideMark/>
          </w:tcPr>
          <w:p w14:paraId="7C3CD27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3.6</w:t>
            </w:r>
          </w:p>
        </w:tc>
        <w:tc>
          <w:tcPr>
            <w:tcW w:w="400" w:type="pct"/>
            <w:noWrap/>
            <w:hideMark/>
          </w:tcPr>
          <w:p w14:paraId="4463D1D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3.6</w:t>
            </w:r>
          </w:p>
        </w:tc>
        <w:tc>
          <w:tcPr>
            <w:tcW w:w="400" w:type="pct"/>
            <w:noWrap/>
            <w:hideMark/>
          </w:tcPr>
          <w:p w14:paraId="4475E31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3.3</w:t>
            </w:r>
          </w:p>
        </w:tc>
        <w:tc>
          <w:tcPr>
            <w:tcW w:w="400" w:type="pct"/>
            <w:noWrap/>
            <w:hideMark/>
          </w:tcPr>
          <w:p w14:paraId="79950BB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3.4</w:t>
            </w:r>
          </w:p>
        </w:tc>
        <w:tc>
          <w:tcPr>
            <w:tcW w:w="400" w:type="pct"/>
            <w:noWrap/>
            <w:hideMark/>
          </w:tcPr>
          <w:p w14:paraId="65EE838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3.4</w:t>
            </w:r>
          </w:p>
        </w:tc>
        <w:tc>
          <w:tcPr>
            <w:tcW w:w="400" w:type="pct"/>
          </w:tcPr>
          <w:p w14:paraId="0A39BAFA" w14:textId="77777777" w:rsidR="00120717" w:rsidRPr="00EE1448" w:rsidRDefault="00120717" w:rsidP="00FC31BF">
            <w:pPr>
              <w:ind w:right="57"/>
              <w:jc w:val="right"/>
              <w:rPr>
                <w:rFonts w:cs="Calibri"/>
                <w:sz w:val="15"/>
                <w:szCs w:val="15"/>
              </w:rPr>
            </w:pPr>
            <w:r w:rsidRPr="00EE1448">
              <w:rPr>
                <w:rFonts w:cs="Calibri"/>
                <w:sz w:val="15"/>
                <w:szCs w:val="15"/>
              </w:rPr>
              <w:t>3.3</w:t>
            </w:r>
          </w:p>
        </w:tc>
      </w:tr>
      <w:tr w:rsidR="00120717" w:rsidRPr="00EE1448" w14:paraId="78E938C0"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59FBE3BD" w14:textId="77777777" w:rsidR="00120717" w:rsidRPr="00EE1448" w:rsidRDefault="00120717" w:rsidP="00936480">
            <w:pPr>
              <w:jc w:val="left"/>
              <w:rPr>
                <w:rFonts w:cs="Calibri"/>
                <w:color w:val="000000"/>
                <w:sz w:val="15"/>
                <w:szCs w:val="15"/>
              </w:rPr>
            </w:pPr>
            <w:r w:rsidRPr="00EE1448">
              <w:rPr>
                <w:rFonts w:cs="Calibri"/>
                <w:color w:val="000000"/>
                <w:sz w:val="15"/>
                <w:szCs w:val="15"/>
              </w:rPr>
              <w:t>02 Vegetable products</w:t>
            </w:r>
          </w:p>
        </w:tc>
        <w:tc>
          <w:tcPr>
            <w:tcW w:w="400" w:type="pct"/>
            <w:noWrap/>
            <w:hideMark/>
          </w:tcPr>
          <w:p w14:paraId="2F5CA4A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6.2</w:t>
            </w:r>
          </w:p>
        </w:tc>
        <w:tc>
          <w:tcPr>
            <w:tcW w:w="400" w:type="pct"/>
            <w:noWrap/>
            <w:hideMark/>
          </w:tcPr>
          <w:p w14:paraId="1024553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7.2</w:t>
            </w:r>
          </w:p>
        </w:tc>
        <w:tc>
          <w:tcPr>
            <w:tcW w:w="400" w:type="pct"/>
            <w:noWrap/>
            <w:hideMark/>
          </w:tcPr>
          <w:p w14:paraId="5CE6A0B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6.5</w:t>
            </w:r>
          </w:p>
        </w:tc>
        <w:tc>
          <w:tcPr>
            <w:tcW w:w="400" w:type="pct"/>
            <w:noWrap/>
            <w:hideMark/>
          </w:tcPr>
          <w:p w14:paraId="16B1202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6.9</w:t>
            </w:r>
          </w:p>
        </w:tc>
        <w:tc>
          <w:tcPr>
            <w:tcW w:w="400" w:type="pct"/>
            <w:noWrap/>
            <w:hideMark/>
          </w:tcPr>
          <w:p w14:paraId="242AE8B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7.2</w:t>
            </w:r>
          </w:p>
        </w:tc>
        <w:tc>
          <w:tcPr>
            <w:tcW w:w="400" w:type="pct"/>
            <w:noWrap/>
            <w:hideMark/>
          </w:tcPr>
          <w:p w14:paraId="1D2F3E1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8.1</w:t>
            </w:r>
          </w:p>
        </w:tc>
        <w:tc>
          <w:tcPr>
            <w:tcW w:w="400" w:type="pct"/>
          </w:tcPr>
          <w:p w14:paraId="386E4210" w14:textId="77777777" w:rsidR="00120717" w:rsidRPr="00EE1448" w:rsidRDefault="00120717" w:rsidP="00FC31BF">
            <w:pPr>
              <w:ind w:right="57"/>
              <w:jc w:val="right"/>
              <w:rPr>
                <w:rFonts w:cs="Calibri"/>
                <w:sz w:val="15"/>
                <w:szCs w:val="15"/>
              </w:rPr>
            </w:pPr>
            <w:r w:rsidRPr="00EE1448">
              <w:rPr>
                <w:rFonts w:cs="Calibri"/>
                <w:sz w:val="15"/>
                <w:szCs w:val="15"/>
              </w:rPr>
              <w:t>7.6</w:t>
            </w:r>
          </w:p>
        </w:tc>
      </w:tr>
      <w:tr w:rsidR="00120717" w:rsidRPr="00EE1448" w14:paraId="0079675D" w14:textId="77777777" w:rsidTr="00EE1448">
        <w:tc>
          <w:tcPr>
            <w:tcW w:w="2198" w:type="pct"/>
            <w:noWrap/>
            <w:hideMark/>
          </w:tcPr>
          <w:p w14:paraId="26330EE5"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08 Edible fruit and nuts</w:t>
            </w:r>
          </w:p>
        </w:tc>
        <w:tc>
          <w:tcPr>
            <w:tcW w:w="400" w:type="pct"/>
            <w:noWrap/>
            <w:hideMark/>
          </w:tcPr>
          <w:p w14:paraId="0FCF257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4.7</w:t>
            </w:r>
          </w:p>
        </w:tc>
        <w:tc>
          <w:tcPr>
            <w:tcW w:w="400" w:type="pct"/>
            <w:noWrap/>
            <w:hideMark/>
          </w:tcPr>
          <w:p w14:paraId="18DCD12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5.6</w:t>
            </w:r>
          </w:p>
        </w:tc>
        <w:tc>
          <w:tcPr>
            <w:tcW w:w="400" w:type="pct"/>
            <w:noWrap/>
            <w:hideMark/>
          </w:tcPr>
          <w:p w14:paraId="6A514C6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5.0</w:t>
            </w:r>
          </w:p>
        </w:tc>
        <w:tc>
          <w:tcPr>
            <w:tcW w:w="400" w:type="pct"/>
            <w:noWrap/>
            <w:hideMark/>
          </w:tcPr>
          <w:p w14:paraId="4BEC762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5.6</w:t>
            </w:r>
          </w:p>
        </w:tc>
        <w:tc>
          <w:tcPr>
            <w:tcW w:w="400" w:type="pct"/>
            <w:noWrap/>
            <w:hideMark/>
          </w:tcPr>
          <w:p w14:paraId="497D067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5.7</w:t>
            </w:r>
          </w:p>
        </w:tc>
        <w:tc>
          <w:tcPr>
            <w:tcW w:w="400" w:type="pct"/>
            <w:noWrap/>
            <w:hideMark/>
          </w:tcPr>
          <w:p w14:paraId="5C6CDBD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6.6</w:t>
            </w:r>
          </w:p>
        </w:tc>
        <w:tc>
          <w:tcPr>
            <w:tcW w:w="400" w:type="pct"/>
          </w:tcPr>
          <w:p w14:paraId="573AA92F" w14:textId="77777777" w:rsidR="00120717" w:rsidRPr="00EE1448" w:rsidRDefault="00120717" w:rsidP="00FC31BF">
            <w:pPr>
              <w:ind w:right="57"/>
              <w:jc w:val="right"/>
              <w:rPr>
                <w:rFonts w:cs="Calibri"/>
                <w:sz w:val="15"/>
                <w:szCs w:val="15"/>
              </w:rPr>
            </w:pPr>
            <w:r w:rsidRPr="00EE1448">
              <w:rPr>
                <w:rFonts w:cs="Calibri"/>
                <w:sz w:val="15"/>
                <w:szCs w:val="15"/>
              </w:rPr>
              <w:t>6.2</w:t>
            </w:r>
          </w:p>
        </w:tc>
      </w:tr>
      <w:tr w:rsidR="00120717" w:rsidRPr="00EE1448" w14:paraId="3F9C1A7A"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4C7F14DB" w14:textId="77777777" w:rsidR="00120717" w:rsidRPr="00EE1448" w:rsidRDefault="00120717" w:rsidP="00936480">
            <w:pPr>
              <w:jc w:val="left"/>
              <w:rPr>
                <w:rFonts w:cs="Calibri"/>
                <w:color w:val="000000"/>
                <w:sz w:val="15"/>
                <w:szCs w:val="15"/>
              </w:rPr>
            </w:pPr>
            <w:r w:rsidRPr="00EE1448">
              <w:rPr>
                <w:rFonts w:cs="Calibri"/>
                <w:color w:val="000000"/>
                <w:sz w:val="15"/>
                <w:szCs w:val="15"/>
              </w:rPr>
              <w:t>03 Fats and oils</w:t>
            </w:r>
          </w:p>
        </w:tc>
        <w:tc>
          <w:tcPr>
            <w:tcW w:w="400" w:type="pct"/>
            <w:noWrap/>
            <w:hideMark/>
          </w:tcPr>
          <w:p w14:paraId="424FE6A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0.3</w:t>
            </w:r>
          </w:p>
        </w:tc>
        <w:tc>
          <w:tcPr>
            <w:tcW w:w="400" w:type="pct"/>
            <w:noWrap/>
            <w:hideMark/>
          </w:tcPr>
          <w:p w14:paraId="0E4FA85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0.4</w:t>
            </w:r>
          </w:p>
        </w:tc>
        <w:tc>
          <w:tcPr>
            <w:tcW w:w="400" w:type="pct"/>
            <w:noWrap/>
            <w:hideMark/>
          </w:tcPr>
          <w:p w14:paraId="20F938F8"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0.4</w:t>
            </w:r>
          </w:p>
        </w:tc>
        <w:tc>
          <w:tcPr>
            <w:tcW w:w="400" w:type="pct"/>
            <w:noWrap/>
            <w:hideMark/>
          </w:tcPr>
          <w:p w14:paraId="140B3A2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0.4</w:t>
            </w:r>
          </w:p>
        </w:tc>
        <w:tc>
          <w:tcPr>
            <w:tcW w:w="400" w:type="pct"/>
            <w:noWrap/>
            <w:hideMark/>
          </w:tcPr>
          <w:p w14:paraId="0DC24BD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0.3</w:t>
            </w:r>
          </w:p>
        </w:tc>
        <w:tc>
          <w:tcPr>
            <w:tcW w:w="400" w:type="pct"/>
            <w:noWrap/>
            <w:hideMark/>
          </w:tcPr>
          <w:p w14:paraId="71E3A1D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0.3</w:t>
            </w:r>
          </w:p>
        </w:tc>
        <w:tc>
          <w:tcPr>
            <w:tcW w:w="400" w:type="pct"/>
          </w:tcPr>
          <w:p w14:paraId="44C473D2" w14:textId="77777777" w:rsidR="00120717" w:rsidRPr="00EE1448" w:rsidRDefault="00120717" w:rsidP="00FC31BF">
            <w:pPr>
              <w:ind w:right="57"/>
              <w:jc w:val="right"/>
              <w:rPr>
                <w:rFonts w:cs="Calibri"/>
                <w:sz w:val="15"/>
                <w:szCs w:val="15"/>
              </w:rPr>
            </w:pPr>
            <w:r w:rsidRPr="00EE1448">
              <w:rPr>
                <w:rFonts w:cs="Calibri"/>
                <w:sz w:val="15"/>
                <w:szCs w:val="15"/>
              </w:rPr>
              <w:t>0.5</w:t>
            </w:r>
          </w:p>
        </w:tc>
      </w:tr>
      <w:tr w:rsidR="00120717" w:rsidRPr="00EE1448" w14:paraId="2627FC3D" w14:textId="77777777" w:rsidTr="00EE1448">
        <w:tc>
          <w:tcPr>
            <w:tcW w:w="2198" w:type="pct"/>
            <w:noWrap/>
            <w:hideMark/>
          </w:tcPr>
          <w:p w14:paraId="62B09655" w14:textId="77777777" w:rsidR="00120717" w:rsidRPr="00EE1448" w:rsidRDefault="00120717" w:rsidP="00936480">
            <w:pPr>
              <w:jc w:val="left"/>
              <w:rPr>
                <w:rFonts w:cs="Calibri"/>
                <w:color w:val="000000"/>
                <w:sz w:val="15"/>
                <w:szCs w:val="15"/>
              </w:rPr>
            </w:pPr>
            <w:r w:rsidRPr="00EE1448">
              <w:rPr>
                <w:rFonts w:cs="Calibri"/>
                <w:color w:val="000000"/>
                <w:sz w:val="15"/>
                <w:szCs w:val="15"/>
              </w:rPr>
              <w:t>04 Prepared food, beverages, and tobacco</w:t>
            </w:r>
          </w:p>
        </w:tc>
        <w:tc>
          <w:tcPr>
            <w:tcW w:w="400" w:type="pct"/>
            <w:noWrap/>
            <w:hideMark/>
          </w:tcPr>
          <w:p w14:paraId="2B8416D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10.1</w:t>
            </w:r>
          </w:p>
        </w:tc>
        <w:tc>
          <w:tcPr>
            <w:tcW w:w="400" w:type="pct"/>
            <w:noWrap/>
            <w:hideMark/>
          </w:tcPr>
          <w:p w14:paraId="056C24E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11.5</w:t>
            </w:r>
          </w:p>
        </w:tc>
        <w:tc>
          <w:tcPr>
            <w:tcW w:w="400" w:type="pct"/>
            <w:noWrap/>
            <w:hideMark/>
          </w:tcPr>
          <w:p w14:paraId="20D03E4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11.4</w:t>
            </w:r>
          </w:p>
        </w:tc>
        <w:tc>
          <w:tcPr>
            <w:tcW w:w="400" w:type="pct"/>
            <w:noWrap/>
            <w:hideMark/>
          </w:tcPr>
          <w:p w14:paraId="6FF228D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11.5</w:t>
            </w:r>
          </w:p>
        </w:tc>
        <w:tc>
          <w:tcPr>
            <w:tcW w:w="400" w:type="pct"/>
            <w:noWrap/>
            <w:hideMark/>
          </w:tcPr>
          <w:p w14:paraId="3816CF4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12.1</w:t>
            </w:r>
          </w:p>
        </w:tc>
        <w:tc>
          <w:tcPr>
            <w:tcW w:w="400" w:type="pct"/>
            <w:noWrap/>
            <w:hideMark/>
          </w:tcPr>
          <w:p w14:paraId="5E1994C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12.7</w:t>
            </w:r>
          </w:p>
        </w:tc>
        <w:tc>
          <w:tcPr>
            <w:tcW w:w="400" w:type="pct"/>
          </w:tcPr>
          <w:p w14:paraId="166E726A" w14:textId="77777777" w:rsidR="00120717" w:rsidRPr="00EE1448" w:rsidRDefault="00120717" w:rsidP="00FC31BF">
            <w:pPr>
              <w:ind w:right="57"/>
              <w:jc w:val="right"/>
              <w:rPr>
                <w:rFonts w:cs="Calibri"/>
                <w:sz w:val="15"/>
                <w:szCs w:val="15"/>
              </w:rPr>
            </w:pPr>
            <w:r w:rsidRPr="00EE1448">
              <w:rPr>
                <w:rFonts w:cs="Calibri"/>
                <w:sz w:val="15"/>
                <w:szCs w:val="15"/>
              </w:rPr>
              <w:t>11.1</w:t>
            </w:r>
          </w:p>
        </w:tc>
      </w:tr>
      <w:tr w:rsidR="00120717" w:rsidRPr="00EE1448" w14:paraId="2E2ADA79"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67047EAF"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19 Preparations of cereals, flour, starch, or milk; pastrycooks' products</w:t>
            </w:r>
          </w:p>
        </w:tc>
        <w:tc>
          <w:tcPr>
            <w:tcW w:w="400" w:type="pct"/>
            <w:noWrap/>
            <w:hideMark/>
          </w:tcPr>
          <w:p w14:paraId="327CE73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1.8</w:t>
            </w:r>
          </w:p>
        </w:tc>
        <w:tc>
          <w:tcPr>
            <w:tcW w:w="400" w:type="pct"/>
            <w:noWrap/>
            <w:hideMark/>
          </w:tcPr>
          <w:p w14:paraId="7CBE716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2.5</w:t>
            </w:r>
          </w:p>
        </w:tc>
        <w:tc>
          <w:tcPr>
            <w:tcW w:w="400" w:type="pct"/>
            <w:noWrap/>
            <w:hideMark/>
          </w:tcPr>
          <w:p w14:paraId="31109EF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2.8</w:t>
            </w:r>
          </w:p>
        </w:tc>
        <w:tc>
          <w:tcPr>
            <w:tcW w:w="400" w:type="pct"/>
            <w:noWrap/>
            <w:hideMark/>
          </w:tcPr>
          <w:p w14:paraId="65AFF00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3.2</w:t>
            </w:r>
          </w:p>
        </w:tc>
        <w:tc>
          <w:tcPr>
            <w:tcW w:w="400" w:type="pct"/>
            <w:noWrap/>
            <w:hideMark/>
          </w:tcPr>
          <w:p w14:paraId="2999200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3.8</w:t>
            </w:r>
          </w:p>
        </w:tc>
        <w:tc>
          <w:tcPr>
            <w:tcW w:w="400" w:type="pct"/>
            <w:noWrap/>
            <w:hideMark/>
          </w:tcPr>
          <w:p w14:paraId="726D94CF"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4.2</w:t>
            </w:r>
          </w:p>
        </w:tc>
        <w:tc>
          <w:tcPr>
            <w:tcW w:w="400" w:type="pct"/>
          </w:tcPr>
          <w:p w14:paraId="70F2D038" w14:textId="77777777" w:rsidR="00120717" w:rsidRPr="00EE1448" w:rsidRDefault="00120717" w:rsidP="00FC31BF">
            <w:pPr>
              <w:ind w:right="57"/>
              <w:jc w:val="right"/>
              <w:rPr>
                <w:rFonts w:cs="Calibri"/>
                <w:sz w:val="15"/>
                <w:szCs w:val="15"/>
              </w:rPr>
            </w:pPr>
            <w:r w:rsidRPr="00EE1448">
              <w:rPr>
                <w:rFonts w:cs="Calibri"/>
                <w:sz w:val="15"/>
                <w:szCs w:val="15"/>
              </w:rPr>
              <w:t>3.2</w:t>
            </w:r>
          </w:p>
        </w:tc>
      </w:tr>
      <w:tr w:rsidR="00120717" w:rsidRPr="00EE1448" w14:paraId="2AE1CD64" w14:textId="77777777" w:rsidTr="00EE1448">
        <w:tc>
          <w:tcPr>
            <w:tcW w:w="2198" w:type="pct"/>
            <w:noWrap/>
            <w:hideMark/>
          </w:tcPr>
          <w:p w14:paraId="3D0C1D9D"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21 Miscellaneous edible preparations</w:t>
            </w:r>
          </w:p>
        </w:tc>
        <w:tc>
          <w:tcPr>
            <w:tcW w:w="400" w:type="pct"/>
            <w:noWrap/>
            <w:hideMark/>
          </w:tcPr>
          <w:p w14:paraId="14D8D8B8"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2.2</w:t>
            </w:r>
          </w:p>
        </w:tc>
        <w:tc>
          <w:tcPr>
            <w:tcW w:w="400" w:type="pct"/>
            <w:noWrap/>
            <w:hideMark/>
          </w:tcPr>
          <w:p w14:paraId="5DFEC5A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2.5</w:t>
            </w:r>
          </w:p>
        </w:tc>
        <w:tc>
          <w:tcPr>
            <w:tcW w:w="400" w:type="pct"/>
            <w:noWrap/>
            <w:hideMark/>
          </w:tcPr>
          <w:p w14:paraId="11F1D4C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2.3</w:t>
            </w:r>
          </w:p>
        </w:tc>
        <w:tc>
          <w:tcPr>
            <w:tcW w:w="400" w:type="pct"/>
            <w:noWrap/>
            <w:hideMark/>
          </w:tcPr>
          <w:p w14:paraId="057D0E8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2.2</w:t>
            </w:r>
          </w:p>
        </w:tc>
        <w:tc>
          <w:tcPr>
            <w:tcW w:w="400" w:type="pct"/>
            <w:noWrap/>
            <w:hideMark/>
          </w:tcPr>
          <w:p w14:paraId="29A3B71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2.3</w:t>
            </w:r>
          </w:p>
        </w:tc>
        <w:tc>
          <w:tcPr>
            <w:tcW w:w="400" w:type="pct"/>
            <w:noWrap/>
            <w:hideMark/>
          </w:tcPr>
          <w:p w14:paraId="08B31FCF"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2.2</w:t>
            </w:r>
          </w:p>
        </w:tc>
        <w:tc>
          <w:tcPr>
            <w:tcW w:w="400" w:type="pct"/>
          </w:tcPr>
          <w:p w14:paraId="5AD7FBC0" w14:textId="77777777" w:rsidR="00120717" w:rsidRPr="00EE1448" w:rsidRDefault="00120717" w:rsidP="00FC31BF">
            <w:pPr>
              <w:ind w:right="57"/>
              <w:jc w:val="right"/>
              <w:rPr>
                <w:rFonts w:cs="Calibri"/>
                <w:sz w:val="15"/>
                <w:szCs w:val="15"/>
              </w:rPr>
            </w:pPr>
            <w:r w:rsidRPr="00EE1448">
              <w:rPr>
                <w:rFonts w:cs="Calibri"/>
                <w:sz w:val="15"/>
                <w:szCs w:val="15"/>
              </w:rPr>
              <w:t>1.9</w:t>
            </w:r>
          </w:p>
        </w:tc>
      </w:tr>
      <w:tr w:rsidR="00120717" w:rsidRPr="00EE1448" w14:paraId="640A14CC"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33914A99"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22 Beverages, spirits, and vinegar</w:t>
            </w:r>
          </w:p>
        </w:tc>
        <w:tc>
          <w:tcPr>
            <w:tcW w:w="400" w:type="pct"/>
            <w:noWrap/>
            <w:hideMark/>
          </w:tcPr>
          <w:p w14:paraId="67E79E2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3.6</w:t>
            </w:r>
          </w:p>
        </w:tc>
        <w:tc>
          <w:tcPr>
            <w:tcW w:w="400" w:type="pct"/>
            <w:noWrap/>
            <w:hideMark/>
          </w:tcPr>
          <w:p w14:paraId="3BAC394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3.8</w:t>
            </w:r>
          </w:p>
        </w:tc>
        <w:tc>
          <w:tcPr>
            <w:tcW w:w="400" w:type="pct"/>
            <w:noWrap/>
            <w:hideMark/>
          </w:tcPr>
          <w:p w14:paraId="591F431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3.7</w:t>
            </w:r>
          </w:p>
        </w:tc>
        <w:tc>
          <w:tcPr>
            <w:tcW w:w="400" w:type="pct"/>
            <w:noWrap/>
            <w:hideMark/>
          </w:tcPr>
          <w:p w14:paraId="1F5CEC4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3.5</w:t>
            </w:r>
          </w:p>
        </w:tc>
        <w:tc>
          <w:tcPr>
            <w:tcW w:w="400" w:type="pct"/>
            <w:noWrap/>
            <w:hideMark/>
          </w:tcPr>
          <w:p w14:paraId="4AE1E28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3.6</w:t>
            </w:r>
          </w:p>
        </w:tc>
        <w:tc>
          <w:tcPr>
            <w:tcW w:w="400" w:type="pct"/>
            <w:noWrap/>
            <w:hideMark/>
          </w:tcPr>
          <w:p w14:paraId="56BBEA0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3.9</w:t>
            </w:r>
          </w:p>
        </w:tc>
        <w:tc>
          <w:tcPr>
            <w:tcW w:w="400" w:type="pct"/>
          </w:tcPr>
          <w:p w14:paraId="020DBCA1" w14:textId="77777777" w:rsidR="00120717" w:rsidRPr="00EE1448" w:rsidRDefault="00120717" w:rsidP="00FC31BF">
            <w:pPr>
              <w:ind w:right="57"/>
              <w:jc w:val="right"/>
              <w:rPr>
                <w:rFonts w:cs="Calibri"/>
                <w:sz w:val="15"/>
                <w:szCs w:val="15"/>
              </w:rPr>
            </w:pPr>
            <w:r w:rsidRPr="00EE1448">
              <w:rPr>
                <w:rFonts w:cs="Calibri"/>
                <w:sz w:val="15"/>
                <w:szCs w:val="15"/>
              </w:rPr>
              <w:t>3.6</w:t>
            </w:r>
          </w:p>
        </w:tc>
      </w:tr>
      <w:tr w:rsidR="00120717" w:rsidRPr="00EE1448" w14:paraId="01DD94DE" w14:textId="77777777" w:rsidTr="00EE1448">
        <w:tc>
          <w:tcPr>
            <w:tcW w:w="2198" w:type="pct"/>
            <w:noWrap/>
            <w:hideMark/>
          </w:tcPr>
          <w:p w14:paraId="71CCCBAC" w14:textId="77777777" w:rsidR="00120717" w:rsidRPr="00EE1448" w:rsidRDefault="00120717" w:rsidP="00936480">
            <w:pPr>
              <w:jc w:val="left"/>
              <w:rPr>
                <w:rFonts w:cs="Calibri"/>
                <w:color w:val="000000"/>
                <w:sz w:val="15"/>
                <w:szCs w:val="15"/>
              </w:rPr>
            </w:pPr>
            <w:r w:rsidRPr="00EE1448">
              <w:rPr>
                <w:rFonts w:cs="Calibri"/>
                <w:color w:val="000000"/>
                <w:sz w:val="15"/>
                <w:szCs w:val="15"/>
              </w:rPr>
              <w:t>05 Mineral products</w:t>
            </w:r>
          </w:p>
        </w:tc>
        <w:tc>
          <w:tcPr>
            <w:tcW w:w="400" w:type="pct"/>
            <w:noWrap/>
            <w:hideMark/>
          </w:tcPr>
          <w:p w14:paraId="58AE761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2.0</w:t>
            </w:r>
          </w:p>
        </w:tc>
        <w:tc>
          <w:tcPr>
            <w:tcW w:w="400" w:type="pct"/>
            <w:noWrap/>
            <w:hideMark/>
          </w:tcPr>
          <w:p w14:paraId="37F59D9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1.6</w:t>
            </w:r>
          </w:p>
        </w:tc>
        <w:tc>
          <w:tcPr>
            <w:tcW w:w="400" w:type="pct"/>
            <w:noWrap/>
            <w:hideMark/>
          </w:tcPr>
          <w:p w14:paraId="64AB4AA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1.8</w:t>
            </w:r>
          </w:p>
        </w:tc>
        <w:tc>
          <w:tcPr>
            <w:tcW w:w="400" w:type="pct"/>
            <w:noWrap/>
            <w:hideMark/>
          </w:tcPr>
          <w:p w14:paraId="1A5C97C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2.0</w:t>
            </w:r>
          </w:p>
        </w:tc>
        <w:tc>
          <w:tcPr>
            <w:tcW w:w="400" w:type="pct"/>
            <w:noWrap/>
            <w:hideMark/>
          </w:tcPr>
          <w:p w14:paraId="6D3696D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1.6</w:t>
            </w:r>
          </w:p>
        </w:tc>
        <w:tc>
          <w:tcPr>
            <w:tcW w:w="400" w:type="pct"/>
            <w:noWrap/>
            <w:hideMark/>
          </w:tcPr>
          <w:p w14:paraId="624573C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0.9</w:t>
            </w:r>
          </w:p>
        </w:tc>
        <w:tc>
          <w:tcPr>
            <w:tcW w:w="400" w:type="pct"/>
          </w:tcPr>
          <w:p w14:paraId="1D77394A" w14:textId="77777777" w:rsidR="00120717" w:rsidRPr="00EE1448" w:rsidRDefault="00120717" w:rsidP="00FC31BF">
            <w:pPr>
              <w:ind w:right="57"/>
              <w:jc w:val="right"/>
              <w:rPr>
                <w:rFonts w:cs="Calibri"/>
                <w:sz w:val="15"/>
                <w:szCs w:val="15"/>
              </w:rPr>
            </w:pPr>
            <w:r w:rsidRPr="00EE1448">
              <w:rPr>
                <w:rFonts w:cs="Calibri"/>
                <w:sz w:val="15"/>
                <w:szCs w:val="15"/>
              </w:rPr>
              <w:t>1.1</w:t>
            </w:r>
          </w:p>
        </w:tc>
      </w:tr>
      <w:tr w:rsidR="00120717" w:rsidRPr="00EE1448" w14:paraId="6224D075"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2CA4B8FB" w14:textId="77777777" w:rsidR="00120717" w:rsidRPr="00EE1448" w:rsidRDefault="00120717" w:rsidP="00936480">
            <w:pPr>
              <w:jc w:val="left"/>
              <w:rPr>
                <w:rFonts w:cs="Calibri"/>
                <w:color w:val="000000"/>
                <w:sz w:val="15"/>
                <w:szCs w:val="15"/>
              </w:rPr>
            </w:pPr>
            <w:r w:rsidRPr="00EE1448">
              <w:rPr>
                <w:rFonts w:cs="Calibri"/>
                <w:color w:val="000000"/>
                <w:sz w:val="15"/>
                <w:szCs w:val="15"/>
              </w:rPr>
              <w:t>06 Chemicals and products thereof</w:t>
            </w:r>
          </w:p>
        </w:tc>
        <w:tc>
          <w:tcPr>
            <w:tcW w:w="400" w:type="pct"/>
            <w:noWrap/>
            <w:hideMark/>
          </w:tcPr>
          <w:p w14:paraId="46592EB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6.1</w:t>
            </w:r>
          </w:p>
        </w:tc>
        <w:tc>
          <w:tcPr>
            <w:tcW w:w="400" w:type="pct"/>
            <w:noWrap/>
            <w:hideMark/>
          </w:tcPr>
          <w:p w14:paraId="66629998"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4.8</w:t>
            </w:r>
          </w:p>
        </w:tc>
        <w:tc>
          <w:tcPr>
            <w:tcW w:w="400" w:type="pct"/>
            <w:noWrap/>
            <w:hideMark/>
          </w:tcPr>
          <w:p w14:paraId="6FAB380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4.4</w:t>
            </w:r>
          </w:p>
        </w:tc>
        <w:tc>
          <w:tcPr>
            <w:tcW w:w="400" w:type="pct"/>
            <w:noWrap/>
            <w:hideMark/>
          </w:tcPr>
          <w:p w14:paraId="16906BC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3.9</w:t>
            </w:r>
          </w:p>
        </w:tc>
        <w:tc>
          <w:tcPr>
            <w:tcW w:w="400" w:type="pct"/>
            <w:noWrap/>
            <w:hideMark/>
          </w:tcPr>
          <w:p w14:paraId="3D82D2CF"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4.0</w:t>
            </w:r>
          </w:p>
        </w:tc>
        <w:tc>
          <w:tcPr>
            <w:tcW w:w="400" w:type="pct"/>
            <w:noWrap/>
            <w:hideMark/>
          </w:tcPr>
          <w:p w14:paraId="5EDE272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4.4</w:t>
            </w:r>
          </w:p>
        </w:tc>
        <w:tc>
          <w:tcPr>
            <w:tcW w:w="400" w:type="pct"/>
          </w:tcPr>
          <w:p w14:paraId="0B91598B" w14:textId="77777777" w:rsidR="00120717" w:rsidRPr="00EE1448" w:rsidRDefault="00120717" w:rsidP="00FC31BF">
            <w:pPr>
              <w:ind w:right="57"/>
              <w:jc w:val="right"/>
              <w:rPr>
                <w:rFonts w:cs="Calibri"/>
                <w:sz w:val="15"/>
                <w:szCs w:val="15"/>
              </w:rPr>
            </w:pPr>
            <w:r w:rsidRPr="00EE1448">
              <w:rPr>
                <w:rFonts w:cs="Calibri"/>
                <w:sz w:val="15"/>
                <w:szCs w:val="15"/>
              </w:rPr>
              <w:t>4.4</w:t>
            </w:r>
          </w:p>
        </w:tc>
      </w:tr>
      <w:tr w:rsidR="00120717" w:rsidRPr="00EE1448" w14:paraId="1FEF82A6" w14:textId="77777777" w:rsidTr="00EE1448">
        <w:tc>
          <w:tcPr>
            <w:tcW w:w="2198" w:type="pct"/>
            <w:noWrap/>
            <w:hideMark/>
          </w:tcPr>
          <w:p w14:paraId="395E03BA"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35 Albuminoidal substances; modified starches; glues; enzymes</w:t>
            </w:r>
          </w:p>
        </w:tc>
        <w:tc>
          <w:tcPr>
            <w:tcW w:w="400" w:type="pct"/>
            <w:noWrap/>
            <w:hideMark/>
          </w:tcPr>
          <w:p w14:paraId="66C1CDA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3.0</w:t>
            </w:r>
          </w:p>
        </w:tc>
        <w:tc>
          <w:tcPr>
            <w:tcW w:w="400" w:type="pct"/>
            <w:noWrap/>
            <w:hideMark/>
          </w:tcPr>
          <w:p w14:paraId="33FAC29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2.5</w:t>
            </w:r>
          </w:p>
        </w:tc>
        <w:tc>
          <w:tcPr>
            <w:tcW w:w="400" w:type="pct"/>
            <w:noWrap/>
            <w:hideMark/>
          </w:tcPr>
          <w:p w14:paraId="3608665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2.3</w:t>
            </w:r>
          </w:p>
        </w:tc>
        <w:tc>
          <w:tcPr>
            <w:tcW w:w="400" w:type="pct"/>
            <w:noWrap/>
            <w:hideMark/>
          </w:tcPr>
          <w:p w14:paraId="7B4BBE2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1.9</w:t>
            </w:r>
          </w:p>
        </w:tc>
        <w:tc>
          <w:tcPr>
            <w:tcW w:w="400" w:type="pct"/>
            <w:noWrap/>
            <w:hideMark/>
          </w:tcPr>
          <w:p w14:paraId="23CA92C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2.1</w:t>
            </w:r>
          </w:p>
        </w:tc>
        <w:tc>
          <w:tcPr>
            <w:tcW w:w="400" w:type="pct"/>
            <w:noWrap/>
            <w:hideMark/>
          </w:tcPr>
          <w:p w14:paraId="2D6D56D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2.4</w:t>
            </w:r>
          </w:p>
        </w:tc>
        <w:tc>
          <w:tcPr>
            <w:tcW w:w="400" w:type="pct"/>
          </w:tcPr>
          <w:p w14:paraId="56A8AC86" w14:textId="77777777" w:rsidR="00120717" w:rsidRPr="00EE1448" w:rsidRDefault="00120717" w:rsidP="00FC31BF">
            <w:pPr>
              <w:ind w:right="57"/>
              <w:jc w:val="right"/>
              <w:rPr>
                <w:rFonts w:cs="Calibri"/>
                <w:sz w:val="15"/>
                <w:szCs w:val="15"/>
              </w:rPr>
            </w:pPr>
            <w:r w:rsidRPr="00EE1448">
              <w:rPr>
                <w:rFonts w:cs="Calibri"/>
                <w:sz w:val="15"/>
                <w:szCs w:val="15"/>
              </w:rPr>
              <w:t>2.7</w:t>
            </w:r>
          </w:p>
        </w:tc>
      </w:tr>
      <w:tr w:rsidR="00120717" w:rsidRPr="00EE1448" w14:paraId="1B457068"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4273D858" w14:textId="77777777" w:rsidR="00120717" w:rsidRPr="00EE1448" w:rsidRDefault="00120717" w:rsidP="00936480">
            <w:pPr>
              <w:jc w:val="left"/>
              <w:rPr>
                <w:rFonts w:cs="Calibri"/>
                <w:color w:val="000000"/>
                <w:sz w:val="15"/>
                <w:szCs w:val="15"/>
              </w:rPr>
            </w:pPr>
            <w:r w:rsidRPr="00EE1448">
              <w:rPr>
                <w:rFonts w:cs="Calibri"/>
                <w:color w:val="000000"/>
                <w:sz w:val="15"/>
                <w:szCs w:val="15"/>
              </w:rPr>
              <w:t>07 Plastics and rubber</w:t>
            </w:r>
          </w:p>
        </w:tc>
        <w:tc>
          <w:tcPr>
            <w:tcW w:w="400" w:type="pct"/>
            <w:noWrap/>
            <w:hideMark/>
          </w:tcPr>
          <w:p w14:paraId="713F911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1.1</w:t>
            </w:r>
          </w:p>
        </w:tc>
        <w:tc>
          <w:tcPr>
            <w:tcW w:w="400" w:type="pct"/>
            <w:noWrap/>
            <w:hideMark/>
          </w:tcPr>
          <w:p w14:paraId="2EAE197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1.1</w:t>
            </w:r>
          </w:p>
        </w:tc>
        <w:tc>
          <w:tcPr>
            <w:tcW w:w="400" w:type="pct"/>
            <w:noWrap/>
            <w:hideMark/>
          </w:tcPr>
          <w:p w14:paraId="6814AD3F"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1.0</w:t>
            </w:r>
          </w:p>
        </w:tc>
        <w:tc>
          <w:tcPr>
            <w:tcW w:w="400" w:type="pct"/>
            <w:noWrap/>
            <w:hideMark/>
          </w:tcPr>
          <w:p w14:paraId="7C4725BF"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1.0</w:t>
            </w:r>
          </w:p>
        </w:tc>
        <w:tc>
          <w:tcPr>
            <w:tcW w:w="400" w:type="pct"/>
            <w:noWrap/>
            <w:hideMark/>
          </w:tcPr>
          <w:p w14:paraId="508004C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1.0</w:t>
            </w:r>
          </w:p>
        </w:tc>
        <w:tc>
          <w:tcPr>
            <w:tcW w:w="400" w:type="pct"/>
            <w:noWrap/>
            <w:hideMark/>
          </w:tcPr>
          <w:p w14:paraId="5A43170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1.0</w:t>
            </w:r>
          </w:p>
        </w:tc>
        <w:tc>
          <w:tcPr>
            <w:tcW w:w="400" w:type="pct"/>
          </w:tcPr>
          <w:p w14:paraId="5AD79394" w14:textId="77777777" w:rsidR="00120717" w:rsidRPr="00EE1448" w:rsidRDefault="00120717" w:rsidP="00FC31BF">
            <w:pPr>
              <w:ind w:right="57"/>
              <w:jc w:val="right"/>
              <w:rPr>
                <w:rFonts w:cs="Calibri"/>
                <w:sz w:val="15"/>
                <w:szCs w:val="15"/>
              </w:rPr>
            </w:pPr>
            <w:r w:rsidRPr="00EE1448">
              <w:rPr>
                <w:rFonts w:cs="Calibri"/>
                <w:sz w:val="15"/>
                <w:szCs w:val="15"/>
              </w:rPr>
              <w:t>0.9</w:t>
            </w:r>
          </w:p>
        </w:tc>
      </w:tr>
      <w:tr w:rsidR="00120717" w:rsidRPr="00EE1448" w14:paraId="3B7BF3A9" w14:textId="77777777" w:rsidTr="00EE1448">
        <w:tc>
          <w:tcPr>
            <w:tcW w:w="2198" w:type="pct"/>
            <w:noWrap/>
            <w:hideMark/>
          </w:tcPr>
          <w:p w14:paraId="51F5FEE0" w14:textId="77777777" w:rsidR="00120717" w:rsidRPr="00EE1448" w:rsidRDefault="00120717" w:rsidP="00936480">
            <w:pPr>
              <w:jc w:val="left"/>
              <w:rPr>
                <w:rFonts w:cs="Calibri"/>
                <w:color w:val="000000"/>
                <w:sz w:val="15"/>
                <w:szCs w:val="15"/>
              </w:rPr>
            </w:pPr>
            <w:r w:rsidRPr="00EE1448">
              <w:rPr>
                <w:rFonts w:cs="Calibri"/>
                <w:color w:val="000000"/>
                <w:sz w:val="15"/>
                <w:szCs w:val="15"/>
              </w:rPr>
              <w:t xml:space="preserve">08 Raw hides and skins; leather, </w:t>
            </w:r>
            <w:proofErr w:type="spellStart"/>
            <w:r w:rsidRPr="00EE1448">
              <w:rPr>
                <w:rFonts w:cs="Calibri"/>
                <w:color w:val="000000"/>
                <w:sz w:val="15"/>
                <w:szCs w:val="15"/>
              </w:rPr>
              <w:t>furskins</w:t>
            </w:r>
            <w:proofErr w:type="spellEnd"/>
            <w:r w:rsidRPr="00EE1448">
              <w:rPr>
                <w:rFonts w:cs="Calibri"/>
                <w:color w:val="000000"/>
                <w:sz w:val="15"/>
                <w:szCs w:val="15"/>
              </w:rPr>
              <w:t xml:space="preserve"> and articles thereof</w:t>
            </w:r>
          </w:p>
        </w:tc>
        <w:tc>
          <w:tcPr>
            <w:tcW w:w="400" w:type="pct"/>
            <w:noWrap/>
            <w:hideMark/>
          </w:tcPr>
          <w:p w14:paraId="653FC0F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1.2</w:t>
            </w:r>
          </w:p>
        </w:tc>
        <w:tc>
          <w:tcPr>
            <w:tcW w:w="400" w:type="pct"/>
            <w:noWrap/>
            <w:hideMark/>
          </w:tcPr>
          <w:p w14:paraId="59DA017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1.0</w:t>
            </w:r>
          </w:p>
        </w:tc>
        <w:tc>
          <w:tcPr>
            <w:tcW w:w="400" w:type="pct"/>
            <w:noWrap/>
            <w:hideMark/>
          </w:tcPr>
          <w:p w14:paraId="1B78291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0.8</w:t>
            </w:r>
          </w:p>
        </w:tc>
        <w:tc>
          <w:tcPr>
            <w:tcW w:w="400" w:type="pct"/>
            <w:noWrap/>
            <w:hideMark/>
          </w:tcPr>
          <w:p w14:paraId="6BCD744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0.8</w:t>
            </w:r>
          </w:p>
        </w:tc>
        <w:tc>
          <w:tcPr>
            <w:tcW w:w="400" w:type="pct"/>
            <w:noWrap/>
            <w:hideMark/>
          </w:tcPr>
          <w:p w14:paraId="43F1C91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0.6</w:t>
            </w:r>
          </w:p>
        </w:tc>
        <w:tc>
          <w:tcPr>
            <w:tcW w:w="400" w:type="pct"/>
            <w:noWrap/>
            <w:hideMark/>
          </w:tcPr>
          <w:p w14:paraId="2DBC4B5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0.4</w:t>
            </w:r>
          </w:p>
        </w:tc>
        <w:tc>
          <w:tcPr>
            <w:tcW w:w="400" w:type="pct"/>
          </w:tcPr>
          <w:p w14:paraId="2BA386ED" w14:textId="77777777" w:rsidR="00120717" w:rsidRPr="00EE1448" w:rsidRDefault="00120717" w:rsidP="00FC31BF">
            <w:pPr>
              <w:ind w:right="57"/>
              <w:jc w:val="right"/>
              <w:rPr>
                <w:rFonts w:cs="Calibri"/>
                <w:sz w:val="15"/>
                <w:szCs w:val="15"/>
              </w:rPr>
            </w:pPr>
            <w:r w:rsidRPr="00EE1448">
              <w:rPr>
                <w:rFonts w:cs="Calibri"/>
                <w:sz w:val="15"/>
                <w:szCs w:val="15"/>
              </w:rPr>
              <w:t>0.4</w:t>
            </w:r>
          </w:p>
        </w:tc>
      </w:tr>
      <w:tr w:rsidR="00120717" w:rsidRPr="00EE1448" w14:paraId="543128AA"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1D3F71C3" w14:textId="77777777" w:rsidR="00120717" w:rsidRPr="00EE1448" w:rsidRDefault="00120717" w:rsidP="00936480">
            <w:pPr>
              <w:jc w:val="left"/>
              <w:rPr>
                <w:rFonts w:cs="Calibri"/>
                <w:color w:val="000000"/>
                <w:sz w:val="15"/>
                <w:szCs w:val="15"/>
              </w:rPr>
            </w:pPr>
            <w:r w:rsidRPr="00EE1448">
              <w:rPr>
                <w:rFonts w:cs="Calibri"/>
                <w:color w:val="000000"/>
                <w:sz w:val="15"/>
                <w:szCs w:val="15"/>
              </w:rPr>
              <w:t>09 Wood, cork, straw</w:t>
            </w:r>
          </w:p>
        </w:tc>
        <w:tc>
          <w:tcPr>
            <w:tcW w:w="400" w:type="pct"/>
            <w:noWrap/>
            <w:hideMark/>
          </w:tcPr>
          <w:p w14:paraId="25FC17B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7.2</w:t>
            </w:r>
          </w:p>
        </w:tc>
        <w:tc>
          <w:tcPr>
            <w:tcW w:w="400" w:type="pct"/>
            <w:noWrap/>
            <w:hideMark/>
          </w:tcPr>
          <w:p w14:paraId="5327759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8.5</w:t>
            </w:r>
          </w:p>
        </w:tc>
        <w:tc>
          <w:tcPr>
            <w:tcW w:w="400" w:type="pct"/>
            <w:noWrap/>
            <w:hideMark/>
          </w:tcPr>
          <w:p w14:paraId="2BD70A1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8.7</w:t>
            </w:r>
          </w:p>
        </w:tc>
        <w:tc>
          <w:tcPr>
            <w:tcW w:w="400" w:type="pct"/>
            <w:noWrap/>
            <w:hideMark/>
          </w:tcPr>
          <w:p w14:paraId="73AA948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9.1</w:t>
            </w:r>
          </w:p>
        </w:tc>
        <w:tc>
          <w:tcPr>
            <w:tcW w:w="400" w:type="pct"/>
            <w:noWrap/>
            <w:hideMark/>
          </w:tcPr>
          <w:p w14:paraId="721000A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8.4</w:t>
            </w:r>
          </w:p>
        </w:tc>
        <w:tc>
          <w:tcPr>
            <w:tcW w:w="400" w:type="pct"/>
            <w:noWrap/>
            <w:hideMark/>
          </w:tcPr>
          <w:p w14:paraId="6AF55D1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7.5</w:t>
            </w:r>
          </w:p>
        </w:tc>
        <w:tc>
          <w:tcPr>
            <w:tcW w:w="400" w:type="pct"/>
          </w:tcPr>
          <w:p w14:paraId="6200CFCF" w14:textId="77777777" w:rsidR="00120717" w:rsidRPr="00EE1448" w:rsidRDefault="00120717" w:rsidP="00FC31BF">
            <w:pPr>
              <w:ind w:right="57"/>
              <w:jc w:val="right"/>
              <w:rPr>
                <w:rFonts w:cs="Calibri"/>
                <w:sz w:val="15"/>
                <w:szCs w:val="15"/>
              </w:rPr>
            </w:pPr>
            <w:r w:rsidRPr="00EE1448">
              <w:rPr>
                <w:rFonts w:cs="Calibri"/>
                <w:sz w:val="15"/>
                <w:szCs w:val="15"/>
              </w:rPr>
              <w:t>8.8</w:t>
            </w:r>
          </w:p>
        </w:tc>
      </w:tr>
      <w:tr w:rsidR="00120717" w:rsidRPr="00EE1448" w14:paraId="3D180B4A" w14:textId="77777777" w:rsidTr="00EE1448">
        <w:tc>
          <w:tcPr>
            <w:tcW w:w="2198" w:type="pct"/>
            <w:noWrap/>
            <w:hideMark/>
          </w:tcPr>
          <w:p w14:paraId="7CF1F43F"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44 Wood and articles of wood; wood charcoal</w:t>
            </w:r>
          </w:p>
        </w:tc>
        <w:tc>
          <w:tcPr>
            <w:tcW w:w="400" w:type="pct"/>
            <w:noWrap/>
            <w:hideMark/>
          </w:tcPr>
          <w:p w14:paraId="693403B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7.2</w:t>
            </w:r>
          </w:p>
        </w:tc>
        <w:tc>
          <w:tcPr>
            <w:tcW w:w="400" w:type="pct"/>
            <w:noWrap/>
            <w:hideMark/>
          </w:tcPr>
          <w:p w14:paraId="0B7F031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8.5</w:t>
            </w:r>
          </w:p>
        </w:tc>
        <w:tc>
          <w:tcPr>
            <w:tcW w:w="400" w:type="pct"/>
            <w:noWrap/>
            <w:hideMark/>
          </w:tcPr>
          <w:p w14:paraId="22A7002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8.7</w:t>
            </w:r>
          </w:p>
        </w:tc>
        <w:tc>
          <w:tcPr>
            <w:tcW w:w="400" w:type="pct"/>
            <w:noWrap/>
            <w:hideMark/>
          </w:tcPr>
          <w:p w14:paraId="7BBE57E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9.1</w:t>
            </w:r>
          </w:p>
        </w:tc>
        <w:tc>
          <w:tcPr>
            <w:tcW w:w="400" w:type="pct"/>
            <w:noWrap/>
            <w:hideMark/>
          </w:tcPr>
          <w:p w14:paraId="503EEA1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8.4</w:t>
            </w:r>
          </w:p>
        </w:tc>
        <w:tc>
          <w:tcPr>
            <w:tcW w:w="400" w:type="pct"/>
            <w:noWrap/>
            <w:hideMark/>
          </w:tcPr>
          <w:p w14:paraId="18A6946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7.5</w:t>
            </w:r>
          </w:p>
        </w:tc>
        <w:tc>
          <w:tcPr>
            <w:tcW w:w="400" w:type="pct"/>
          </w:tcPr>
          <w:p w14:paraId="4996E690" w14:textId="77777777" w:rsidR="00120717" w:rsidRPr="00EE1448" w:rsidRDefault="00120717" w:rsidP="00FC31BF">
            <w:pPr>
              <w:ind w:right="57"/>
              <w:jc w:val="right"/>
              <w:rPr>
                <w:rFonts w:cs="Calibri"/>
                <w:sz w:val="15"/>
                <w:szCs w:val="15"/>
              </w:rPr>
            </w:pPr>
            <w:r w:rsidRPr="00EE1448">
              <w:rPr>
                <w:rFonts w:cs="Calibri"/>
                <w:sz w:val="15"/>
                <w:szCs w:val="15"/>
              </w:rPr>
              <w:t>8.7</w:t>
            </w:r>
          </w:p>
        </w:tc>
      </w:tr>
      <w:tr w:rsidR="00120717" w:rsidRPr="00EE1448" w14:paraId="1C2E5DA5"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tcPr>
          <w:p w14:paraId="5E75DBB7" w14:textId="77777777" w:rsidR="00120717" w:rsidRPr="00EE1448" w:rsidRDefault="00120717" w:rsidP="00936480">
            <w:pPr>
              <w:tabs>
                <w:tab w:val="left" w:pos="454"/>
              </w:tabs>
              <w:ind w:left="227"/>
              <w:jc w:val="left"/>
              <w:rPr>
                <w:rFonts w:cs="Calibri"/>
                <w:color w:val="000000"/>
                <w:sz w:val="15"/>
                <w:szCs w:val="15"/>
              </w:rPr>
            </w:pPr>
            <w:r w:rsidRPr="00EE1448">
              <w:rPr>
                <w:rFonts w:cs="Calibri"/>
                <w:color w:val="000000"/>
                <w:sz w:val="15"/>
                <w:szCs w:val="15"/>
              </w:rPr>
              <w:tab/>
              <w:t>4403 Wood in the rough</w:t>
            </w:r>
          </w:p>
        </w:tc>
        <w:tc>
          <w:tcPr>
            <w:tcW w:w="400" w:type="pct"/>
            <w:noWrap/>
            <w:vAlign w:val="bottom"/>
          </w:tcPr>
          <w:p w14:paraId="6A7AE068"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4.1</w:t>
            </w:r>
          </w:p>
        </w:tc>
        <w:tc>
          <w:tcPr>
            <w:tcW w:w="400" w:type="pct"/>
            <w:noWrap/>
            <w:vAlign w:val="bottom"/>
          </w:tcPr>
          <w:p w14:paraId="06FFE95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5.3</w:t>
            </w:r>
          </w:p>
        </w:tc>
        <w:tc>
          <w:tcPr>
            <w:tcW w:w="400" w:type="pct"/>
            <w:noWrap/>
            <w:vAlign w:val="bottom"/>
          </w:tcPr>
          <w:p w14:paraId="22A6CC1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5.7</w:t>
            </w:r>
          </w:p>
        </w:tc>
        <w:tc>
          <w:tcPr>
            <w:tcW w:w="400" w:type="pct"/>
            <w:noWrap/>
            <w:vAlign w:val="bottom"/>
          </w:tcPr>
          <w:p w14:paraId="73EFD43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6.2</w:t>
            </w:r>
          </w:p>
        </w:tc>
        <w:tc>
          <w:tcPr>
            <w:tcW w:w="400" w:type="pct"/>
            <w:noWrap/>
            <w:vAlign w:val="bottom"/>
          </w:tcPr>
          <w:p w14:paraId="52ACF74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5.8</w:t>
            </w:r>
          </w:p>
        </w:tc>
        <w:tc>
          <w:tcPr>
            <w:tcW w:w="400" w:type="pct"/>
            <w:noWrap/>
            <w:vAlign w:val="bottom"/>
          </w:tcPr>
          <w:p w14:paraId="5096582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5.1</w:t>
            </w:r>
          </w:p>
        </w:tc>
        <w:tc>
          <w:tcPr>
            <w:tcW w:w="400" w:type="pct"/>
          </w:tcPr>
          <w:p w14:paraId="32C073FC" w14:textId="77777777" w:rsidR="00120717" w:rsidRPr="00EE1448" w:rsidRDefault="00120717" w:rsidP="00FC31BF">
            <w:pPr>
              <w:ind w:right="57"/>
              <w:jc w:val="right"/>
              <w:rPr>
                <w:rFonts w:cs="Calibri"/>
                <w:sz w:val="15"/>
                <w:szCs w:val="15"/>
              </w:rPr>
            </w:pPr>
            <w:r w:rsidRPr="00EE1448">
              <w:rPr>
                <w:rFonts w:cs="Calibri"/>
                <w:sz w:val="15"/>
                <w:szCs w:val="15"/>
              </w:rPr>
              <w:t>6.3</w:t>
            </w:r>
          </w:p>
        </w:tc>
      </w:tr>
      <w:tr w:rsidR="00120717" w:rsidRPr="00EE1448" w14:paraId="74E1A81E" w14:textId="77777777" w:rsidTr="00EE1448">
        <w:tc>
          <w:tcPr>
            <w:tcW w:w="2198" w:type="pct"/>
            <w:noWrap/>
            <w:hideMark/>
          </w:tcPr>
          <w:p w14:paraId="39CB4747" w14:textId="77777777" w:rsidR="00120717" w:rsidRPr="00EE1448" w:rsidRDefault="00120717" w:rsidP="00936480">
            <w:pPr>
              <w:jc w:val="left"/>
              <w:rPr>
                <w:rFonts w:cs="Calibri"/>
                <w:color w:val="000000"/>
                <w:sz w:val="15"/>
                <w:szCs w:val="15"/>
              </w:rPr>
            </w:pPr>
            <w:r w:rsidRPr="00EE1448">
              <w:rPr>
                <w:rFonts w:cs="Calibri"/>
                <w:color w:val="000000"/>
                <w:sz w:val="15"/>
                <w:szCs w:val="15"/>
              </w:rPr>
              <w:t>10 Pulp of wood; paper and paperboard</w:t>
            </w:r>
          </w:p>
        </w:tc>
        <w:tc>
          <w:tcPr>
            <w:tcW w:w="400" w:type="pct"/>
            <w:noWrap/>
            <w:hideMark/>
          </w:tcPr>
          <w:p w14:paraId="467A3B7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2.6</w:t>
            </w:r>
          </w:p>
        </w:tc>
        <w:tc>
          <w:tcPr>
            <w:tcW w:w="400" w:type="pct"/>
            <w:noWrap/>
            <w:hideMark/>
          </w:tcPr>
          <w:p w14:paraId="5A47574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2.5</w:t>
            </w:r>
          </w:p>
        </w:tc>
        <w:tc>
          <w:tcPr>
            <w:tcW w:w="400" w:type="pct"/>
            <w:noWrap/>
            <w:hideMark/>
          </w:tcPr>
          <w:p w14:paraId="7DEC614F"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2.5</w:t>
            </w:r>
          </w:p>
        </w:tc>
        <w:tc>
          <w:tcPr>
            <w:tcW w:w="400" w:type="pct"/>
            <w:noWrap/>
            <w:hideMark/>
          </w:tcPr>
          <w:p w14:paraId="705E131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2.5</w:t>
            </w:r>
          </w:p>
        </w:tc>
        <w:tc>
          <w:tcPr>
            <w:tcW w:w="400" w:type="pct"/>
            <w:noWrap/>
            <w:hideMark/>
          </w:tcPr>
          <w:p w14:paraId="640EB80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2.1</w:t>
            </w:r>
          </w:p>
        </w:tc>
        <w:tc>
          <w:tcPr>
            <w:tcW w:w="400" w:type="pct"/>
            <w:noWrap/>
            <w:hideMark/>
          </w:tcPr>
          <w:p w14:paraId="23B62B8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1.9</w:t>
            </w:r>
          </w:p>
        </w:tc>
        <w:tc>
          <w:tcPr>
            <w:tcW w:w="400" w:type="pct"/>
          </w:tcPr>
          <w:p w14:paraId="1EB084C1" w14:textId="77777777" w:rsidR="00120717" w:rsidRPr="00EE1448" w:rsidRDefault="00120717" w:rsidP="00FC31BF">
            <w:pPr>
              <w:ind w:right="57"/>
              <w:jc w:val="right"/>
              <w:rPr>
                <w:rFonts w:cs="Calibri"/>
                <w:sz w:val="15"/>
                <w:szCs w:val="15"/>
              </w:rPr>
            </w:pPr>
            <w:r w:rsidRPr="00EE1448">
              <w:rPr>
                <w:rFonts w:cs="Calibri"/>
                <w:sz w:val="15"/>
                <w:szCs w:val="15"/>
              </w:rPr>
              <w:t>2.0</w:t>
            </w:r>
          </w:p>
        </w:tc>
      </w:tr>
      <w:tr w:rsidR="00120717" w:rsidRPr="00EE1448" w14:paraId="38E2E7AB"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0FFB7618" w14:textId="77777777" w:rsidR="00120717" w:rsidRPr="00EE1448" w:rsidRDefault="00120717" w:rsidP="00936480">
            <w:pPr>
              <w:jc w:val="left"/>
              <w:rPr>
                <w:rFonts w:cs="Calibri"/>
                <w:color w:val="000000"/>
                <w:sz w:val="15"/>
                <w:szCs w:val="15"/>
              </w:rPr>
            </w:pPr>
            <w:r w:rsidRPr="00EE1448">
              <w:rPr>
                <w:rFonts w:cs="Calibri"/>
                <w:color w:val="000000"/>
                <w:sz w:val="15"/>
                <w:szCs w:val="15"/>
              </w:rPr>
              <w:t>11 Textiles and textile articles</w:t>
            </w:r>
          </w:p>
        </w:tc>
        <w:tc>
          <w:tcPr>
            <w:tcW w:w="400" w:type="pct"/>
            <w:noWrap/>
            <w:hideMark/>
          </w:tcPr>
          <w:p w14:paraId="3CEE3F7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2.9</w:t>
            </w:r>
          </w:p>
        </w:tc>
        <w:tc>
          <w:tcPr>
            <w:tcW w:w="400" w:type="pct"/>
            <w:noWrap/>
            <w:hideMark/>
          </w:tcPr>
          <w:p w14:paraId="1B05ED1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2.6</w:t>
            </w:r>
          </w:p>
        </w:tc>
        <w:tc>
          <w:tcPr>
            <w:tcW w:w="400" w:type="pct"/>
            <w:noWrap/>
            <w:hideMark/>
          </w:tcPr>
          <w:p w14:paraId="4D66111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1.9</w:t>
            </w:r>
          </w:p>
        </w:tc>
        <w:tc>
          <w:tcPr>
            <w:tcW w:w="400" w:type="pct"/>
            <w:noWrap/>
            <w:hideMark/>
          </w:tcPr>
          <w:p w14:paraId="5FAA182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1.9</w:t>
            </w:r>
          </w:p>
        </w:tc>
        <w:tc>
          <w:tcPr>
            <w:tcW w:w="400" w:type="pct"/>
            <w:noWrap/>
            <w:hideMark/>
          </w:tcPr>
          <w:p w14:paraId="1B6DCC5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1.7</w:t>
            </w:r>
          </w:p>
        </w:tc>
        <w:tc>
          <w:tcPr>
            <w:tcW w:w="400" w:type="pct"/>
            <w:noWrap/>
            <w:hideMark/>
          </w:tcPr>
          <w:p w14:paraId="5E43F6B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1.4</w:t>
            </w:r>
          </w:p>
        </w:tc>
        <w:tc>
          <w:tcPr>
            <w:tcW w:w="400" w:type="pct"/>
          </w:tcPr>
          <w:p w14:paraId="705CF2FE" w14:textId="77777777" w:rsidR="00120717" w:rsidRPr="00EE1448" w:rsidRDefault="00120717" w:rsidP="00FC31BF">
            <w:pPr>
              <w:ind w:right="57"/>
              <w:jc w:val="right"/>
              <w:rPr>
                <w:rFonts w:cs="Calibri"/>
                <w:sz w:val="15"/>
                <w:szCs w:val="15"/>
              </w:rPr>
            </w:pPr>
            <w:r w:rsidRPr="00EE1448">
              <w:rPr>
                <w:rFonts w:cs="Calibri"/>
                <w:sz w:val="15"/>
                <w:szCs w:val="15"/>
              </w:rPr>
              <w:t>1.5</w:t>
            </w:r>
          </w:p>
        </w:tc>
      </w:tr>
      <w:tr w:rsidR="00120717" w:rsidRPr="00EE1448" w14:paraId="5011173A" w14:textId="77777777" w:rsidTr="00EE1448">
        <w:tc>
          <w:tcPr>
            <w:tcW w:w="2198" w:type="pct"/>
            <w:noWrap/>
            <w:hideMark/>
          </w:tcPr>
          <w:p w14:paraId="73DE6C73" w14:textId="77777777" w:rsidR="00120717" w:rsidRPr="00EE1448" w:rsidRDefault="00120717" w:rsidP="00936480">
            <w:pPr>
              <w:jc w:val="left"/>
              <w:rPr>
                <w:rFonts w:cs="Calibri"/>
                <w:color w:val="000000"/>
                <w:sz w:val="15"/>
                <w:szCs w:val="15"/>
              </w:rPr>
            </w:pPr>
            <w:r w:rsidRPr="00EE1448">
              <w:rPr>
                <w:rFonts w:cs="Calibri"/>
                <w:color w:val="000000"/>
                <w:sz w:val="15"/>
                <w:szCs w:val="15"/>
              </w:rPr>
              <w:t>12 Footwear, headgear, etc.</w:t>
            </w:r>
          </w:p>
        </w:tc>
        <w:tc>
          <w:tcPr>
            <w:tcW w:w="400" w:type="pct"/>
            <w:noWrap/>
            <w:hideMark/>
          </w:tcPr>
          <w:p w14:paraId="36F3761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noWrap/>
            <w:hideMark/>
          </w:tcPr>
          <w:p w14:paraId="3506CD3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noWrap/>
            <w:hideMark/>
          </w:tcPr>
          <w:p w14:paraId="60FC786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noWrap/>
            <w:hideMark/>
          </w:tcPr>
          <w:p w14:paraId="50A4AA3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noWrap/>
            <w:hideMark/>
          </w:tcPr>
          <w:p w14:paraId="5822D7C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noWrap/>
            <w:hideMark/>
          </w:tcPr>
          <w:p w14:paraId="4BBD827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tcPr>
          <w:p w14:paraId="404271B6" w14:textId="77777777" w:rsidR="00120717" w:rsidRPr="00EE1448" w:rsidRDefault="00120717" w:rsidP="00FC31BF">
            <w:pPr>
              <w:ind w:right="57"/>
              <w:jc w:val="right"/>
              <w:rPr>
                <w:rFonts w:cs="Calibri"/>
                <w:sz w:val="15"/>
                <w:szCs w:val="15"/>
              </w:rPr>
            </w:pPr>
            <w:r w:rsidRPr="00EE1448">
              <w:rPr>
                <w:rFonts w:cs="Calibri"/>
                <w:sz w:val="15"/>
                <w:szCs w:val="15"/>
              </w:rPr>
              <w:t>0.1</w:t>
            </w:r>
          </w:p>
        </w:tc>
      </w:tr>
      <w:tr w:rsidR="00120717" w:rsidRPr="00EE1448" w14:paraId="0D7C1E70"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3AB4EA2E" w14:textId="77777777" w:rsidR="00120717" w:rsidRPr="00EE1448" w:rsidRDefault="00120717" w:rsidP="00936480">
            <w:pPr>
              <w:jc w:val="left"/>
              <w:rPr>
                <w:rFonts w:cs="Calibri"/>
                <w:color w:val="000000"/>
                <w:sz w:val="15"/>
                <w:szCs w:val="15"/>
              </w:rPr>
            </w:pPr>
            <w:r w:rsidRPr="00EE1448">
              <w:rPr>
                <w:rFonts w:cs="Calibri"/>
                <w:color w:val="000000"/>
                <w:sz w:val="15"/>
                <w:szCs w:val="15"/>
              </w:rPr>
              <w:t>13 Articles of stone, plaster, cement</w:t>
            </w:r>
          </w:p>
        </w:tc>
        <w:tc>
          <w:tcPr>
            <w:tcW w:w="400" w:type="pct"/>
            <w:noWrap/>
            <w:hideMark/>
          </w:tcPr>
          <w:p w14:paraId="4988C5F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0.2</w:t>
            </w:r>
          </w:p>
        </w:tc>
        <w:tc>
          <w:tcPr>
            <w:tcW w:w="400" w:type="pct"/>
            <w:noWrap/>
            <w:hideMark/>
          </w:tcPr>
          <w:p w14:paraId="1F1EA99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0.2</w:t>
            </w:r>
          </w:p>
        </w:tc>
        <w:tc>
          <w:tcPr>
            <w:tcW w:w="400" w:type="pct"/>
            <w:noWrap/>
            <w:hideMark/>
          </w:tcPr>
          <w:p w14:paraId="765C9CB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0.2</w:t>
            </w:r>
          </w:p>
        </w:tc>
        <w:tc>
          <w:tcPr>
            <w:tcW w:w="400" w:type="pct"/>
            <w:noWrap/>
            <w:hideMark/>
          </w:tcPr>
          <w:p w14:paraId="59F4B4F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0.2</w:t>
            </w:r>
          </w:p>
        </w:tc>
        <w:tc>
          <w:tcPr>
            <w:tcW w:w="400" w:type="pct"/>
            <w:noWrap/>
            <w:hideMark/>
          </w:tcPr>
          <w:p w14:paraId="1BCECF6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0.2</w:t>
            </w:r>
          </w:p>
        </w:tc>
        <w:tc>
          <w:tcPr>
            <w:tcW w:w="400" w:type="pct"/>
            <w:noWrap/>
            <w:hideMark/>
          </w:tcPr>
          <w:p w14:paraId="67F694C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tcPr>
          <w:p w14:paraId="79B77122" w14:textId="77777777" w:rsidR="00120717" w:rsidRPr="00EE1448" w:rsidRDefault="00120717" w:rsidP="00FC31BF">
            <w:pPr>
              <w:ind w:right="57"/>
              <w:jc w:val="right"/>
              <w:rPr>
                <w:rFonts w:cs="Calibri"/>
                <w:sz w:val="15"/>
                <w:szCs w:val="15"/>
              </w:rPr>
            </w:pPr>
            <w:r w:rsidRPr="00EE1448">
              <w:rPr>
                <w:rFonts w:cs="Calibri"/>
                <w:sz w:val="15"/>
                <w:szCs w:val="15"/>
              </w:rPr>
              <w:t>0.2</w:t>
            </w:r>
          </w:p>
        </w:tc>
      </w:tr>
      <w:tr w:rsidR="00120717" w:rsidRPr="00EE1448" w14:paraId="5642B46E" w14:textId="77777777" w:rsidTr="00EE1448">
        <w:tc>
          <w:tcPr>
            <w:tcW w:w="2198" w:type="pct"/>
            <w:noWrap/>
            <w:hideMark/>
          </w:tcPr>
          <w:p w14:paraId="6DA8768B" w14:textId="77777777" w:rsidR="00120717" w:rsidRPr="00EE1448" w:rsidRDefault="00120717" w:rsidP="00936480">
            <w:pPr>
              <w:jc w:val="left"/>
              <w:rPr>
                <w:rFonts w:cs="Calibri"/>
                <w:color w:val="000000"/>
                <w:sz w:val="15"/>
                <w:szCs w:val="15"/>
              </w:rPr>
            </w:pPr>
            <w:r w:rsidRPr="00EE1448">
              <w:rPr>
                <w:rFonts w:cs="Calibri"/>
                <w:color w:val="000000"/>
                <w:sz w:val="15"/>
                <w:szCs w:val="15"/>
              </w:rPr>
              <w:t>14 Precious stones and metals</w:t>
            </w:r>
          </w:p>
        </w:tc>
        <w:tc>
          <w:tcPr>
            <w:tcW w:w="400" w:type="pct"/>
            <w:noWrap/>
            <w:hideMark/>
          </w:tcPr>
          <w:p w14:paraId="72D893C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1.6</w:t>
            </w:r>
          </w:p>
        </w:tc>
        <w:tc>
          <w:tcPr>
            <w:tcW w:w="400" w:type="pct"/>
            <w:noWrap/>
            <w:hideMark/>
          </w:tcPr>
          <w:p w14:paraId="79A9244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1.4</w:t>
            </w:r>
          </w:p>
        </w:tc>
        <w:tc>
          <w:tcPr>
            <w:tcW w:w="400" w:type="pct"/>
            <w:noWrap/>
            <w:hideMark/>
          </w:tcPr>
          <w:p w14:paraId="68E0ED6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1.3</w:t>
            </w:r>
          </w:p>
        </w:tc>
        <w:tc>
          <w:tcPr>
            <w:tcW w:w="400" w:type="pct"/>
            <w:noWrap/>
            <w:hideMark/>
          </w:tcPr>
          <w:p w14:paraId="17FFE11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1.3</w:t>
            </w:r>
          </w:p>
        </w:tc>
        <w:tc>
          <w:tcPr>
            <w:tcW w:w="400" w:type="pct"/>
            <w:noWrap/>
            <w:hideMark/>
          </w:tcPr>
          <w:p w14:paraId="4E6AAE9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1.2</w:t>
            </w:r>
          </w:p>
        </w:tc>
        <w:tc>
          <w:tcPr>
            <w:tcW w:w="400" w:type="pct"/>
            <w:noWrap/>
            <w:hideMark/>
          </w:tcPr>
          <w:p w14:paraId="6DB95130"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1.0</w:t>
            </w:r>
          </w:p>
        </w:tc>
        <w:tc>
          <w:tcPr>
            <w:tcW w:w="400" w:type="pct"/>
          </w:tcPr>
          <w:p w14:paraId="796C9951" w14:textId="77777777" w:rsidR="00120717" w:rsidRPr="00EE1448" w:rsidRDefault="00120717" w:rsidP="00FC31BF">
            <w:pPr>
              <w:ind w:right="57"/>
              <w:jc w:val="right"/>
              <w:rPr>
                <w:rFonts w:cs="Calibri"/>
                <w:sz w:val="15"/>
                <w:szCs w:val="15"/>
              </w:rPr>
            </w:pPr>
            <w:r w:rsidRPr="00EE1448">
              <w:rPr>
                <w:rFonts w:cs="Calibri"/>
                <w:sz w:val="15"/>
                <w:szCs w:val="15"/>
              </w:rPr>
              <w:t>0.9</w:t>
            </w:r>
          </w:p>
        </w:tc>
      </w:tr>
      <w:tr w:rsidR="00120717" w:rsidRPr="00EE1448" w14:paraId="6E918EAA"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5810D17A" w14:textId="77777777" w:rsidR="00120717" w:rsidRPr="00EE1448" w:rsidRDefault="00120717" w:rsidP="00936480">
            <w:pPr>
              <w:jc w:val="left"/>
              <w:rPr>
                <w:rFonts w:cs="Calibri"/>
                <w:color w:val="000000"/>
                <w:sz w:val="15"/>
                <w:szCs w:val="15"/>
              </w:rPr>
            </w:pPr>
            <w:r w:rsidRPr="00EE1448">
              <w:rPr>
                <w:rFonts w:cs="Calibri"/>
                <w:color w:val="000000"/>
                <w:sz w:val="15"/>
                <w:szCs w:val="15"/>
              </w:rPr>
              <w:t>15 Base metals and articles thereof</w:t>
            </w:r>
          </w:p>
        </w:tc>
        <w:tc>
          <w:tcPr>
            <w:tcW w:w="400" w:type="pct"/>
            <w:noWrap/>
            <w:hideMark/>
          </w:tcPr>
          <w:p w14:paraId="18411648"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3.9</w:t>
            </w:r>
          </w:p>
        </w:tc>
        <w:tc>
          <w:tcPr>
            <w:tcW w:w="400" w:type="pct"/>
            <w:noWrap/>
            <w:hideMark/>
          </w:tcPr>
          <w:p w14:paraId="14007D4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3.6</w:t>
            </w:r>
          </w:p>
        </w:tc>
        <w:tc>
          <w:tcPr>
            <w:tcW w:w="400" w:type="pct"/>
            <w:noWrap/>
            <w:hideMark/>
          </w:tcPr>
          <w:p w14:paraId="71D304A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3.7</w:t>
            </w:r>
          </w:p>
        </w:tc>
        <w:tc>
          <w:tcPr>
            <w:tcW w:w="400" w:type="pct"/>
            <w:noWrap/>
            <w:hideMark/>
          </w:tcPr>
          <w:p w14:paraId="476752A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4.0</w:t>
            </w:r>
          </w:p>
        </w:tc>
        <w:tc>
          <w:tcPr>
            <w:tcW w:w="400" w:type="pct"/>
            <w:noWrap/>
            <w:hideMark/>
          </w:tcPr>
          <w:p w14:paraId="61DB1A4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3.6</w:t>
            </w:r>
          </w:p>
        </w:tc>
        <w:tc>
          <w:tcPr>
            <w:tcW w:w="400" w:type="pct"/>
            <w:noWrap/>
            <w:hideMark/>
          </w:tcPr>
          <w:p w14:paraId="2D8CCDF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3.2</w:t>
            </w:r>
          </w:p>
        </w:tc>
        <w:tc>
          <w:tcPr>
            <w:tcW w:w="400" w:type="pct"/>
          </w:tcPr>
          <w:p w14:paraId="0DC58BD1" w14:textId="77777777" w:rsidR="00120717" w:rsidRPr="00EE1448" w:rsidRDefault="00120717" w:rsidP="00FC31BF">
            <w:pPr>
              <w:ind w:right="57"/>
              <w:jc w:val="right"/>
              <w:rPr>
                <w:rFonts w:cs="Calibri"/>
                <w:sz w:val="15"/>
                <w:szCs w:val="15"/>
              </w:rPr>
            </w:pPr>
            <w:r w:rsidRPr="00EE1448">
              <w:rPr>
                <w:rFonts w:cs="Calibri"/>
                <w:sz w:val="15"/>
                <w:szCs w:val="15"/>
              </w:rPr>
              <w:t>3.8</w:t>
            </w:r>
          </w:p>
        </w:tc>
      </w:tr>
      <w:tr w:rsidR="00120717" w:rsidRPr="00EE1448" w14:paraId="686F86DB" w14:textId="77777777" w:rsidTr="00EE1448">
        <w:tc>
          <w:tcPr>
            <w:tcW w:w="2198" w:type="pct"/>
            <w:noWrap/>
            <w:hideMark/>
          </w:tcPr>
          <w:p w14:paraId="611B035F"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76 Aluminium and articles thereof</w:t>
            </w:r>
          </w:p>
        </w:tc>
        <w:tc>
          <w:tcPr>
            <w:tcW w:w="400" w:type="pct"/>
            <w:noWrap/>
            <w:hideMark/>
          </w:tcPr>
          <w:p w14:paraId="645D37D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2.1</w:t>
            </w:r>
          </w:p>
        </w:tc>
        <w:tc>
          <w:tcPr>
            <w:tcW w:w="400" w:type="pct"/>
            <w:noWrap/>
            <w:hideMark/>
          </w:tcPr>
          <w:p w14:paraId="6734154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2.0</w:t>
            </w:r>
          </w:p>
        </w:tc>
        <w:tc>
          <w:tcPr>
            <w:tcW w:w="400" w:type="pct"/>
            <w:noWrap/>
            <w:hideMark/>
          </w:tcPr>
          <w:p w14:paraId="5420833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2.1</w:t>
            </w:r>
          </w:p>
        </w:tc>
        <w:tc>
          <w:tcPr>
            <w:tcW w:w="400" w:type="pct"/>
            <w:noWrap/>
            <w:hideMark/>
          </w:tcPr>
          <w:p w14:paraId="7E574AB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2.2</w:t>
            </w:r>
          </w:p>
        </w:tc>
        <w:tc>
          <w:tcPr>
            <w:tcW w:w="400" w:type="pct"/>
            <w:noWrap/>
            <w:hideMark/>
          </w:tcPr>
          <w:p w14:paraId="75DB52D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2.0</w:t>
            </w:r>
          </w:p>
        </w:tc>
        <w:tc>
          <w:tcPr>
            <w:tcW w:w="400" w:type="pct"/>
            <w:noWrap/>
            <w:hideMark/>
          </w:tcPr>
          <w:p w14:paraId="7A05A04C"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1.7</w:t>
            </w:r>
          </w:p>
        </w:tc>
        <w:tc>
          <w:tcPr>
            <w:tcW w:w="400" w:type="pct"/>
          </w:tcPr>
          <w:p w14:paraId="44E38B9B" w14:textId="77777777" w:rsidR="00120717" w:rsidRPr="00EE1448" w:rsidRDefault="00120717" w:rsidP="00FC31BF">
            <w:pPr>
              <w:ind w:right="57"/>
              <w:jc w:val="right"/>
              <w:rPr>
                <w:rFonts w:cs="Calibri"/>
                <w:sz w:val="15"/>
                <w:szCs w:val="15"/>
              </w:rPr>
            </w:pPr>
            <w:r w:rsidRPr="00EE1448">
              <w:rPr>
                <w:rFonts w:cs="Calibri"/>
                <w:sz w:val="15"/>
                <w:szCs w:val="15"/>
              </w:rPr>
              <w:t>2.2</w:t>
            </w:r>
          </w:p>
        </w:tc>
      </w:tr>
      <w:tr w:rsidR="00120717" w:rsidRPr="00EE1448" w14:paraId="1EEB97A2"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19957FB0" w14:textId="77777777" w:rsidR="00120717" w:rsidRPr="00EE1448" w:rsidRDefault="00120717" w:rsidP="00936480">
            <w:pPr>
              <w:jc w:val="left"/>
              <w:rPr>
                <w:rFonts w:cs="Calibri"/>
                <w:color w:val="000000"/>
                <w:sz w:val="15"/>
                <w:szCs w:val="15"/>
              </w:rPr>
            </w:pPr>
            <w:r w:rsidRPr="00EE1448">
              <w:rPr>
                <w:rFonts w:cs="Calibri"/>
                <w:color w:val="000000"/>
                <w:sz w:val="15"/>
                <w:szCs w:val="15"/>
              </w:rPr>
              <w:t>16 Machinery, electrical equipment</w:t>
            </w:r>
          </w:p>
        </w:tc>
        <w:tc>
          <w:tcPr>
            <w:tcW w:w="400" w:type="pct"/>
            <w:noWrap/>
            <w:hideMark/>
          </w:tcPr>
          <w:p w14:paraId="17504DA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5.7</w:t>
            </w:r>
          </w:p>
        </w:tc>
        <w:tc>
          <w:tcPr>
            <w:tcW w:w="400" w:type="pct"/>
            <w:noWrap/>
            <w:hideMark/>
          </w:tcPr>
          <w:p w14:paraId="7EBF6A1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5.4</w:t>
            </w:r>
          </w:p>
        </w:tc>
        <w:tc>
          <w:tcPr>
            <w:tcW w:w="400" w:type="pct"/>
            <w:noWrap/>
            <w:hideMark/>
          </w:tcPr>
          <w:p w14:paraId="1055C23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5.0</w:t>
            </w:r>
          </w:p>
        </w:tc>
        <w:tc>
          <w:tcPr>
            <w:tcW w:w="400" w:type="pct"/>
            <w:noWrap/>
            <w:hideMark/>
          </w:tcPr>
          <w:p w14:paraId="45083A9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5.2</w:t>
            </w:r>
          </w:p>
        </w:tc>
        <w:tc>
          <w:tcPr>
            <w:tcW w:w="400" w:type="pct"/>
            <w:noWrap/>
            <w:hideMark/>
          </w:tcPr>
          <w:p w14:paraId="67BD0D7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4.9</w:t>
            </w:r>
          </w:p>
        </w:tc>
        <w:tc>
          <w:tcPr>
            <w:tcW w:w="400" w:type="pct"/>
            <w:noWrap/>
            <w:hideMark/>
          </w:tcPr>
          <w:p w14:paraId="5ABB9C0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4.5</w:t>
            </w:r>
          </w:p>
        </w:tc>
        <w:tc>
          <w:tcPr>
            <w:tcW w:w="400" w:type="pct"/>
          </w:tcPr>
          <w:p w14:paraId="6A5D78AE" w14:textId="77777777" w:rsidR="00120717" w:rsidRPr="00EE1448" w:rsidRDefault="00120717" w:rsidP="00FC31BF">
            <w:pPr>
              <w:ind w:right="57"/>
              <w:jc w:val="right"/>
              <w:rPr>
                <w:rFonts w:cs="Calibri"/>
                <w:sz w:val="15"/>
                <w:szCs w:val="15"/>
              </w:rPr>
            </w:pPr>
            <w:r w:rsidRPr="00EE1448">
              <w:rPr>
                <w:rFonts w:cs="Calibri"/>
                <w:sz w:val="15"/>
                <w:szCs w:val="15"/>
              </w:rPr>
              <w:t>4.9</w:t>
            </w:r>
          </w:p>
        </w:tc>
      </w:tr>
      <w:tr w:rsidR="00120717" w:rsidRPr="00EE1448" w14:paraId="47F3BA55" w14:textId="77777777" w:rsidTr="00EE1448">
        <w:tc>
          <w:tcPr>
            <w:tcW w:w="2198" w:type="pct"/>
            <w:noWrap/>
            <w:hideMark/>
          </w:tcPr>
          <w:p w14:paraId="4F24F552"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84 Machinery and mechanical appliances, parts thereof</w:t>
            </w:r>
          </w:p>
        </w:tc>
        <w:tc>
          <w:tcPr>
            <w:tcW w:w="400" w:type="pct"/>
            <w:noWrap/>
            <w:hideMark/>
          </w:tcPr>
          <w:p w14:paraId="57E431F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3.5</w:t>
            </w:r>
          </w:p>
        </w:tc>
        <w:tc>
          <w:tcPr>
            <w:tcW w:w="400" w:type="pct"/>
            <w:noWrap/>
            <w:hideMark/>
          </w:tcPr>
          <w:p w14:paraId="685DAF2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3.3</w:t>
            </w:r>
          </w:p>
        </w:tc>
        <w:tc>
          <w:tcPr>
            <w:tcW w:w="400" w:type="pct"/>
            <w:noWrap/>
            <w:hideMark/>
          </w:tcPr>
          <w:p w14:paraId="6D14CCD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3.1</w:t>
            </w:r>
          </w:p>
        </w:tc>
        <w:tc>
          <w:tcPr>
            <w:tcW w:w="400" w:type="pct"/>
            <w:noWrap/>
            <w:hideMark/>
          </w:tcPr>
          <w:p w14:paraId="52027ED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3.2</w:t>
            </w:r>
          </w:p>
        </w:tc>
        <w:tc>
          <w:tcPr>
            <w:tcW w:w="400" w:type="pct"/>
            <w:noWrap/>
            <w:hideMark/>
          </w:tcPr>
          <w:p w14:paraId="44C8BCF8"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3.1</w:t>
            </w:r>
          </w:p>
        </w:tc>
        <w:tc>
          <w:tcPr>
            <w:tcW w:w="400" w:type="pct"/>
            <w:noWrap/>
            <w:hideMark/>
          </w:tcPr>
          <w:p w14:paraId="64065F2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2.8</w:t>
            </w:r>
          </w:p>
        </w:tc>
        <w:tc>
          <w:tcPr>
            <w:tcW w:w="400" w:type="pct"/>
          </w:tcPr>
          <w:p w14:paraId="637CDB3E" w14:textId="77777777" w:rsidR="00120717" w:rsidRPr="00EE1448" w:rsidRDefault="00120717" w:rsidP="00FC31BF">
            <w:pPr>
              <w:ind w:right="57"/>
              <w:jc w:val="right"/>
              <w:rPr>
                <w:rFonts w:cs="Calibri"/>
                <w:sz w:val="15"/>
                <w:szCs w:val="15"/>
              </w:rPr>
            </w:pPr>
            <w:r w:rsidRPr="00EE1448">
              <w:rPr>
                <w:rFonts w:cs="Calibri"/>
                <w:sz w:val="15"/>
                <w:szCs w:val="15"/>
              </w:rPr>
              <w:t>3.1</w:t>
            </w:r>
          </w:p>
        </w:tc>
      </w:tr>
      <w:tr w:rsidR="00120717" w:rsidRPr="00EE1448" w14:paraId="37C42C84"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6C401C6D"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85 Electrical machineries and parts thereof</w:t>
            </w:r>
          </w:p>
        </w:tc>
        <w:tc>
          <w:tcPr>
            <w:tcW w:w="400" w:type="pct"/>
            <w:noWrap/>
            <w:hideMark/>
          </w:tcPr>
          <w:p w14:paraId="728F81B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2.2</w:t>
            </w:r>
          </w:p>
        </w:tc>
        <w:tc>
          <w:tcPr>
            <w:tcW w:w="400" w:type="pct"/>
            <w:noWrap/>
            <w:hideMark/>
          </w:tcPr>
          <w:p w14:paraId="0670876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2.1</w:t>
            </w:r>
          </w:p>
        </w:tc>
        <w:tc>
          <w:tcPr>
            <w:tcW w:w="400" w:type="pct"/>
            <w:noWrap/>
            <w:hideMark/>
          </w:tcPr>
          <w:p w14:paraId="260825C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1.9</w:t>
            </w:r>
          </w:p>
        </w:tc>
        <w:tc>
          <w:tcPr>
            <w:tcW w:w="400" w:type="pct"/>
            <w:noWrap/>
            <w:hideMark/>
          </w:tcPr>
          <w:p w14:paraId="219D500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2.0</w:t>
            </w:r>
          </w:p>
        </w:tc>
        <w:tc>
          <w:tcPr>
            <w:tcW w:w="400" w:type="pct"/>
            <w:noWrap/>
            <w:hideMark/>
          </w:tcPr>
          <w:p w14:paraId="2B14F4F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1.8</w:t>
            </w:r>
          </w:p>
        </w:tc>
        <w:tc>
          <w:tcPr>
            <w:tcW w:w="400" w:type="pct"/>
            <w:noWrap/>
            <w:hideMark/>
          </w:tcPr>
          <w:p w14:paraId="5E0767D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1.7</w:t>
            </w:r>
          </w:p>
        </w:tc>
        <w:tc>
          <w:tcPr>
            <w:tcW w:w="400" w:type="pct"/>
          </w:tcPr>
          <w:p w14:paraId="5D26E24B" w14:textId="77777777" w:rsidR="00120717" w:rsidRPr="00EE1448" w:rsidRDefault="00120717" w:rsidP="00FC31BF">
            <w:pPr>
              <w:ind w:right="57"/>
              <w:jc w:val="right"/>
              <w:rPr>
                <w:rFonts w:cs="Calibri"/>
                <w:sz w:val="15"/>
                <w:szCs w:val="15"/>
              </w:rPr>
            </w:pPr>
            <w:r w:rsidRPr="00EE1448">
              <w:rPr>
                <w:rFonts w:cs="Calibri"/>
                <w:sz w:val="15"/>
                <w:szCs w:val="15"/>
              </w:rPr>
              <w:t>1.8</w:t>
            </w:r>
          </w:p>
        </w:tc>
      </w:tr>
      <w:tr w:rsidR="00120717" w:rsidRPr="00EE1448" w14:paraId="2D21A36B" w14:textId="77777777" w:rsidTr="00EE1448">
        <w:tc>
          <w:tcPr>
            <w:tcW w:w="2198" w:type="pct"/>
            <w:noWrap/>
            <w:hideMark/>
          </w:tcPr>
          <w:p w14:paraId="7BEC928D" w14:textId="77777777" w:rsidR="00120717" w:rsidRPr="00EE1448" w:rsidRDefault="00120717" w:rsidP="00936480">
            <w:pPr>
              <w:jc w:val="left"/>
              <w:rPr>
                <w:rFonts w:cs="Calibri"/>
                <w:color w:val="000000"/>
                <w:sz w:val="15"/>
                <w:szCs w:val="15"/>
              </w:rPr>
            </w:pPr>
            <w:r w:rsidRPr="00EE1448">
              <w:rPr>
                <w:rFonts w:cs="Calibri"/>
                <w:color w:val="000000"/>
                <w:sz w:val="15"/>
                <w:szCs w:val="15"/>
              </w:rPr>
              <w:t>17 Transport equipment</w:t>
            </w:r>
          </w:p>
        </w:tc>
        <w:tc>
          <w:tcPr>
            <w:tcW w:w="400" w:type="pct"/>
            <w:noWrap/>
            <w:hideMark/>
          </w:tcPr>
          <w:p w14:paraId="3DBF19D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1.5</w:t>
            </w:r>
          </w:p>
        </w:tc>
        <w:tc>
          <w:tcPr>
            <w:tcW w:w="400" w:type="pct"/>
            <w:noWrap/>
            <w:hideMark/>
          </w:tcPr>
          <w:p w14:paraId="674E44A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1.8</w:t>
            </w:r>
          </w:p>
        </w:tc>
        <w:tc>
          <w:tcPr>
            <w:tcW w:w="400" w:type="pct"/>
            <w:noWrap/>
            <w:hideMark/>
          </w:tcPr>
          <w:p w14:paraId="40ACEA2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1.2</w:t>
            </w:r>
          </w:p>
        </w:tc>
        <w:tc>
          <w:tcPr>
            <w:tcW w:w="400" w:type="pct"/>
            <w:noWrap/>
            <w:hideMark/>
          </w:tcPr>
          <w:p w14:paraId="449F9D1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1.0</w:t>
            </w:r>
          </w:p>
        </w:tc>
        <w:tc>
          <w:tcPr>
            <w:tcW w:w="400" w:type="pct"/>
            <w:noWrap/>
            <w:hideMark/>
          </w:tcPr>
          <w:p w14:paraId="3A59E9F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1.1</w:t>
            </w:r>
          </w:p>
        </w:tc>
        <w:tc>
          <w:tcPr>
            <w:tcW w:w="400" w:type="pct"/>
            <w:noWrap/>
            <w:hideMark/>
          </w:tcPr>
          <w:p w14:paraId="2671C9E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1.8</w:t>
            </w:r>
          </w:p>
        </w:tc>
        <w:tc>
          <w:tcPr>
            <w:tcW w:w="400" w:type="pct"/>
          </w:tcPr>
          <w:p w14:paraId="765B7197" w14:textId="77777777" w:rsidR="00120717" w:rsidRPr="00EE1448" w:rsidRDefault="00120717" w:rsidP="00FC31BF">
            <w:pPr>
              <w:ind w:right="57"/>
              <w:jc w:val="right"/>
              <w:rPr>
                <w:rFonts w:cs="Calibri"/>
                <w:sz w:val="15"/>
                <w:szCs w:val="15"/>
              </w:rPr>
            </w:pPr>
            <w:r w:rsidRPr="00EE1448">
              <w:rPr>
                <w:rFonts w:cs="Calibri"/>
                <w:sz w:val="15"/>
                <w:szCs w:val="15"/>
              </w:rPr>
              <w:t>1.1</w:t>
            </w:r>
          </w:p>
        </w:tc>
      </w:tr>
      <w:tr w:rsidR="00120717" w:rsidRPr="00EE1448" w14:paraId="483FB44A"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7E87198F" w14:textId="77777777" w:rsidR="00120717" w:rsidRPr="00EE1448" w:rsidRDefault="00120717" w:rsidP="00936480">
            <w:pPr>
              <w:jc w:val="left"/>
              <w:rPr>
                <w:rFonts w:cs="Calibri"/>
                <w:color w:val="000000"/>
                <w:sz w:val="15"/>
                <w:szCs w:val="15"/>
              </w:rPr>
            </w:pPr>
            <w:r w:rsidRPr="00EE1448">
              <w:rPr>
                <w:rFonts w:cs="Calibri"/>
                <w:color w:val="000000"/>
                <w:sz w:val="15"/>
                <w:szCs w:val="15"/>
              </w:rPr>
              <w:t>18 Precision equipment</w:t>
            </w:r>
          </w:p>
        </w:tc>
        <w:tc>
          <w:tcPr>
            <w:tcW w:w="400" w:type="pct"/>
            <w:noWrap/>
            <w:hideMark/>
          </w:tcPr>
          <w:p w14:paraId="1FEC6D0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1.7</w:t>
            </w:r>
          </w:p>
        </w:tc>
        <w:tc>
          <w:tcPr>
            <w:tcW w:w="400" w:type="pct"/>
            <w:noWrap/>
            <w:hideMark/>
          </w:tcPr>
          <w:p w14:paraId="4C2046F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1.7</w:t>
            </w:r>
          </w:p>
        </w:tc>
        <w:tc>
          <w:tcPr>
            <w:tcW w:w="400" w:type="pct"/>
            <w:noWrap/>
            <w:hideMark/>
          </w:tcPr>
          <w:p w14:paraId="0D504BC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1.7</w:t>
            </w:r>
          </w:p>
        </w:tc>
        <w:tc>
          <w:tcPr>
            <w:tcW w:w="400" w:type="pct"/>
            <w:noWrap/>
            <w:hideMark/>
          </w:tcPr>
          <w:p w14:paraId="5C76D78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1.6</w:t>
            </w:r>
          </w:p>
        </w:tc>
        <w:tc>
          <w:tcPr>
            <w:tcW w:w="400" w:type="pct"/>
            <w:noWrap/>
            <w:hideMark/>
          </w:tcPr>
          <w:p w14:paraId="5637E4AF"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1.7</w:t>
            </w:r>
          </w:p>
        </w:tc>
        <w:tc>
          <w:tcPr>
            <w:tcW w:w="400" w:type="pct"/>
            <w:noWrap/>
            <w:hideMark/>
          </w:tcPr>
          <w:p w14:paraId="394CEAB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2.6</w:t>
            </w:r>
          </w:p>
        </w:tc>
        <w:tc>
          <w:tcPr>
            <w:tcW w:w="400" w:type="pct"/>
          </w:tcPr>
          <w:p w14:paraId="56D5197D" w14:textId="77777777" w:rsidR="00120717" w:rsidRPr="00EE1448" w:rsidRDefault="00120717" w:rsidP="00FC31BF">
            <w:pPr>
              <w:ind w:right="57"/>
              <w:jc w:val="right"/>
              <w:rPr>
                <w:rFonts w:cs="Calibri"/>
                <w:sz w:val="15"/>
                <w:szCs w:val="15"/>
              </w:rPr>
            </w:pPr>
            <w:r w:rsidRPr="00EE1448">
              <w:rPr>
                <w:rFonts w:cs="Calibri"/>
                <w:sz w:val="15"/>
                <w:szCs w:val="15"/>
              </w:rPr>
              <w:t>2.2</w:t>
            </w:r>
          </w:p>
        </w:tc>
      </w:tr>
      <w:tr w:rsidR="00120717" w:rsidRPr="00EE1448" w14:paraId="48177DA1" w14:textId="77777777" w:rsidTr="00EE1448">
        <w:tc>
          <w:tcPr>
            <w:tcW w:w="2198" w:type="pct"/>
            <w:noWrap/>
            <w:hideMark/>
          </w:tcPr>
          <w:p w14:paraId="4EF45997" w14:textId="77777777" w:rsidR="00120717" w:rsidRPr="00EE1448" w:rsidRDefault="00120717" w:rsidP="00936480">
            <w:pPr>
              <w:ind w:left="227"/>
              <w:jc w:val="left"/>
              <w:rPr>
                <w:rFonts w:cs="Calibri"/>
                <w:color w:val="000000"/>
                <w:sz w:val="15"/>
                <w:szCs w:val="15"/>
              </w:rPr>
            </w:pPr>
            <w:r w:rsidRPr="00EE1448">
              <w:rPr>
                <w:rFonts w:cs="Calibri"/>
                <w:color w:val="000000"/>
                <w:sz w:val="15"/>
                <w:szCs w:val="15"/>
              </w:rPr>
              <w:t>90 Optical, photographic, measuring, medical instruments (..)</w:t>
            </w:r>
          </w:p>
        </w:tc>
        <w:tc>
          <w:tcPr>
            <w:tcW w:w="400" w:type="pct"/>
            <w:noWrap/>
            <w:hideMark/>
          </w:tcPr>
          <w:p w14:paraId="0F1DE67A"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1.7</w:t>
            </w:r>
          </w:p>
        </w:tc>
        <w:tc>
          <w:tcPr>
            <w:tcW w:w="400" w:type="pct"/>
            <w:noWrap/>
            <w:hideMark/>
          </w:tcPr>
          <w:p w14:paraId="091F8A0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1.7</w:t>
            </w:r>
          </w:p>
        </w:tc>
        <w:tc>
          <w:tcPr>
            <w:tcW w:w="400" w:type="pct"/>
            <w:noWrap/>
            <w:hideMark/>
          </w:tcPr>
          <w:p w14:paraId="19FEC86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1.6</w:t>
            </w:r>
          </w:p>
        </w:tc>
        <w:tc>
          <w:tcPr>
            <w:tcW w:w="400" w:type="pct"/>
            <w:noWrap/>
            <w:hideMark/>
          </w:tcPr>
          <w:p w14:paraId="5E5A97B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1.6</w:t>
            </w:r>
          </w:p>
        </w:tc>
        <w:tc>
          <w:tcPr>
            <w:tcW w:w="400" w:type="pct"/>
            <w:noWrap/>
            <w:hideMark/>
          </w:tcPr>
          <w:p w14:paraId="547B3D3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1.7</w:t>
            </w:r>
          </w:p>
        </w:tc>
        <w:tc>
          <w:tcPr>
            <w:tcW w:w="400" w:type="pct"/>
            <w:noWrap/>
            <w:hideMark/>
          </w:tcPr>
          <w:p w14:paraId="16E7685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2.6</w:t>
            </w:r>
          </w:p>
        </w:tc>
        <w:tc>
          <w:tcPr>
            <w:tcW w:w="400" w:type="pct"/>
          </w:tcPr>
          <w:p w14:paraId="469B1F95" w14:textId="77777777" w:rsidR="00120717" w:rsidRPr="00EE1448" w:rsidRDefault="00120717" w:rsidP="00FC31BF">
            <w:pPr>
              <w:ind w:right="57"/>
              <w:jc w:val="right"/>
              <w:rPr>
                <w:rFonts w:cs="Calibri"/>
                <w:sz w:val="15"/>
                <w:szCs w:val="15"/>
              </w:rPr>
            </w:pPr>
            <w:r w:rsidRPr="00EE1448">
              <w:rPr>
                <w:rFonts w:cs="Calibri"/>
                <w:sz w:val="15"/>
                <w:szCs w:val="15"/>
              </w:rPr>
              <w:t>2.2</w:t>
            </w:r>
          </w:p>
        </w:tc>
      </w:tr>
      <w:tr w:rsidR="00120717" w:rsidRPr="00EE1448" w14:paraId="4565BA1D"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483B75E9" w14:textId="77777777" w:rsidR="00120717" w:rsidRPr="00EE1448" w:rsidRDefault="00120717" w:rsidP="00936480">
            <w:pPr>
              <w:jc w:val="left"/>
              <w:rPr>
                <w:rFonts w:cs="Calibri"/>
                <w:color w:val="000000"/>
                <w:sz w:val="15"/>
                <w:szCs w:val="15"/>
              </w:rPr>
            </w:pPr>
            <w:r w:rsidRPr="00EE1448">
              <w:rPr>
                <w:rFonts w:cs="Calibri"/>
                <w:color w:val="000000"/>
                <w:sz w:val="15"/>
                <w:szCs w:val="15"/>
              </w:rPr>
              <w:t>19 Arms and ammunition</w:t>
            </w:r>
          </w:p>
        </w:tc>
        <w:tc>
          <w:tcPr>
            <w:tcW w:w="400" w:type="pct"/>
            <w:noWrap/>
            <w:hideMark/>
          </w:tcPr>
          <w:p w14:paraId="2C273F1E"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0.0</w:t>
            </w:r>
          </w:p>
        </w:tc>
        <w:tc>
          <w:tcPr>
            <w:tcW w:w="400" w:type="pct"/>
            <w:noWrap/>
            <w:hideMark/>
          </w:tcPr>
          <w:p w14:paraId="78AD22B5"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0.0</w:t>
            </w:r>
          </w:p>
        </w:tc>
        <w:tc>
          <w:tcPr>
            <w:tcW w:w="400" w:type="pct"/>
            <w:noWrap/>
            <w:hideMark/>
          </w:tcPr>
          <w:p w14:paraId="25197E8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0.0</w:t>
            </w:r>
          </w:p>
        </w:tc>
        <w:tc>
          <w:tcPr>
            <w:tcW w:w="400" w:type="pct"/>
            <w:noWrap/>
            <w:hideMark/>
          </w:tcPr>
          <w:p w14:paraId="5E17D5C9"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0.0</w:t>
            </w:r>
          </w:p>
        </w:tc>
        <w:tc>
          <w:tcPr>
            <w:tcW w:w="400" w:type="pct"/>
            <w:noWrap/>
            <w:hideMark/>
          </w:tcPr>
          <w:p w14:paraId="53716A9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0.0</w:t>
            </w:r>
          </w:p>
        </w:tc>
        <w:tc>
          <w:tcPr>
            <w:tcW w:w="400" w:type="pct"/>
            <w:noWrap/>
            <w:hideMark/>
          </w:tcPr>
          <w:p w14:paraId="411221C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0.0</w:t>
            </w:r>
          </w:p>
        </w:tc>
        <w:tc>
          <w:tcPr>
            <w:tcW w:w="400" w:type="pct"/>
          </w:tcPr>
          <w:p w14:paraId="6FA5C439" w14:textId="77777777" w:rsidR="00120717" w:rsidRPr="00EE1448" w:rsidRDefault="00120717" w:rsidP="00FC31BF">
            <w:pPr>
              <w:ind w:right="57"/>
              <w:jc w:val="right"/>
              <w:rPr>
                <w:rFonts w:cs="Calibri"/>
                <w:sz w:val="15"/>
                <w:szCs w:val="15"/>
              </w:rPr>
            </w:pPr>
            <w:r w:rsidRPr="00EE1448">
              <w:rPr>
                <w:rFonts w:cs="Calibri"/>
                <w:sz w:val="15"/>
                <w:szCs w:val="15"/>
              </w:rPr>
              <w:t>0.0</w:t>
            </w:r>
          </w:p>
        </w:tc>
      </w:tr>
      <w:tr w:rsidR="00120717" w:rsidRPr="00EE1448" w14:paraId="5F568BC3" w14:textId="77777777" w:rsidTr="00EE1448">
        <w:tc>
          <w:tcPr>
            <w:tcW w:w="2198" w:type="pct"/>
            <w:noWrap/>
            <w:hideMark/>
          </w:tcPr>
          <w:p w14:paraId="6AA1CAAA" w14:textId="77777777" w:rsidR="00120717" w:rsidRPr="00EE1448" w:rsidRDefault="00120717" w:rsidP="00936480">
            <w:pPr>
              <w:jc w:val="left"/>
              <w:rPr>
                <w:rFonts w:cs="Calibri"/>
                <w:color w:val="000000"/>
                <w:sz w:val="15"/>
                <w:szCs w:val="15"/>
              </w:rPr>
            </w:pPr>
            <w:r w:rsidRPr="00EE1448">
              <w:rPr>
                <w:rFonts w:cs="Calibri"/>
                <w:color w:val="000000"/>
                <w:sz w:val="15"/>
                <w:szCs w:val="15"/>
              </w:rPr>
              <w:t>20 Miscellaneous manufactured articles</w:t>
            </w:r>
          </w:p>
        </w:tc>
        <w:tc>
          <w:tcPr>
            <w:tcW w:w="400" w:type="pct"/>
            <w:noWrap/>
            <w:hideMark/>
          </w:tcPr>
          <w:p w14:paraId="5BE8DDAF"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0.4</w:t>
            </w:r>
          </w:p>
        </w:tc>
        <w:tc>
          <w:tcPr>
            <w:tcW w:w="400" w:type="pct"/>
            <w:noWrap/>
            <w:hideMark/>
          </w:tcPr>
          <w:p w14:paraId="0F8D5B11"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0.5</w:t>
            </w:r>
          </w:p>
        </w:tc>
        <w:tc>
          <w:tcPr>
            <w:tcW w:w="400" w:type="pct"/>
            <w:noWrap/>
            <w:hideMark/>
          </w:tcPr>
          <w:p w14:paraId="3CEB628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0.4</w:t>
            </w:r>
          </w:p>
        </w:tc>
        <w:tc>
          <w:tcPr>
            <w:tcW w:w="400" w:type="pct"/>
            <w:noWrap/>
            <w:hideMark/>
          </w:tcPr>
          <w:p w14:paraId="2D2EEC1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0.4</w:t>
            </w:r>
          </w:p>
        </w:tc>
        <w:tc>
          <w:tcPr>
            <w:tcW w:w="400" w:type="pct"/>
            <w:noWrap/>
            <w:hideMark/>
          </w:tcPr>
          <w:p w14:paraId="7C23360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0.4</w:t>
            </w:r>
          </w:p>
        </w:tc>
        <w:tc>
          <w:tcPr>
            <w:tcW w:w="400" w:type="pct"/>
            <w:noWrap/>
            <w:hideMark/>
          </w:tcPr>
          <w:p w14:paraId="6DDC4298"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0.3</w:t>
            </w:r>
          </w:p>
        </w:tc>
        <w:tc>
          <w:tcPr>
            <w:tcW w:w="400" w:type="pct"/>
          </w:tcPr>
          <w:p w14:paraId="35F3A6E6" w14:textId="77777777" w:rsidR="00120717" w:rsidRPr="00EE1448" w:rsidRDefault="00120717" w:rsidP="00FC31BF">
            <w:pPr>
              <w:ind w:right="57"/>
              <w:jc w:val="right"/>
              <w:rPr>
                <w:rFonts w:cs="Calibri"/>
                <w:sz w:val="15"/>
                <w:szCs w:val="15"/>
              </w:rPr>
            </w:pPr>
            <w:r w:rsidRPr="00EE1448">
              <w:rPr>
                <w:rFonts w:cs="Calibri"/>
                <w:sz w:val="15"/>
                <w:szCs w:val="15"/>
              </w:rPr>
              <w:t>0.3</w:t>
            </w:r>
          </w:p>
        </w:tc>
      </w:tr>
      <w:tr w:rsidR="00120717" w:rsidRPr="00EE1448" w14:paraId="5931DC82" w14:textId="77777777" w:rsidTr="00EE1448">
        <w:trPr>
          <w:cnfStyle w:val="000000010000" w:firstRow="0" w:lastRow="0" w:firstColumn="0" w:lastColumn="0" w:oddVBand="0" w:evenVBand="0" w:oddHBand="0" w:evenHBand="1" w:firstRowFirstColumn="0" w:firstRowLastColumn="0" w:lastRowFirstColumn="0" w:lastRowLastColumn="0"/>
        </w:trPr>
        <w:tc>
          <w:tcPr>
            <w:tcW w:w="2198" w:type="pct"/>
            <w:noWrap/>
            <w:hideMark/>
          </w:tcPr>
          <w:p w14:paraId="163C9940" w14:textId="77777777" w:rsidR="00120717" w:rsidRPr="00EE1448" w:rsidRDefault="00120717" w:rsidP="00936480">
            <w:pPr>
              <w:jc w:val="left"/>
              <w:rPr>
                <w:rFonts w:cs="Calibri"/>
                <w:color w:val="000000"/>
                <w:sz w:val="15"/>
                <w:szCs w:val="15"/>
              </w:rPr>
            </w:pPr>
            <w:r w:rsidRPr="00EE1448">
              <w:rPr>
                <w:rFonts w:cs="Calibri"/>
                <w:color w:val="000000"/>
                <w:sz w:val="15"/>
                <w:szCs w:val="15"/>
              </w:rPr>
              <w:t>21 Works of art, etc.</w:t>
            </w:r>
          </w:p>
        </w:tc>
        <w:tc>
          <w:tcPr>
            <w:tcW w:w="400" w:type="pct"/>
            <w:noWrap/>
            <w:hideMark/>
          </w:tcPr>
          <w:p w14:paraId="2DCFE4D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noWrap/>
            <w:hideMark/>
          </w:tcPr>
          <w:p w14:paraId="1B8A2B73"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noWrap/>
            <w:hideMark/>
          </w:tcPr>
          <w:p w14:paraId="1EB1A87B"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noWrap/>
            <w:hideMark/>
          </w:tcPr>
          <w:p w14:paraId="2099380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noWrap/>
            <w:hideMark/>
          </w:tcPr>
          <w:p w14:paraId="310700A4"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noWrap/>
            <w:hideMark/>
          </w:tcPr>
          <w:p w14:paraId="74B071D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0.1</w:t>
            </w:r>
          </w:p>
        </w:tc>
        <w:tc>
          <w:tcPr>
            <w:tcW w:w="400" w:type="pct"/>
          </w:tcPr>
          <w:p w14:paraId="300C0BEA" w14:textId="77777777" w:rsidR="00120717" w:rsidRPr="00EE1448" w:rsidRDefault="00120717" w:rsidP="00FC31BF">
            <w:pPr>
              <w:ind w:right="57"/>
              <w:jc w:val="right"/>
              <w:rPr>
                <w:rFonts w:cs="Calibri"/>
                <w:sz w:val="15"/>
                <w:szCs w:val="15"/>
              </w:rPr>
            </w:pPr>
            <w:r w:rsidRPr="00EE1448">
              <w:rPr>
                <w:rFonts w:cs="Calibri"/>
                <w:sz w:val="15"/>
                <w:szCs w:val="15"/>
              </w:rPr>
              <w:t>0.1</w:t>
            </w:r>
          </w:p>
        </w:tc>
      </w:tr>
      <w:tr w:rsidR="00120717" w:rsidRPr="00EE1448" w14:paraId="2F952F03" w14:textId="77777777" w:rsidTr="00EE1448">
        <w:tc>
          <w:tcPr>
            <w:tcW w:w="2198" w:type="pct"/>
            <w:noWrap/>
            <w:hideMark/>
          </w:tcPr>
          <w:p w14:paraId="68E55286" w14:textId="77777777" w:rsidR="00120717" w:rsidRPr="00EE1448" w:rsidRDefault="00120717" w:rsidP="00936480">
            <w:pPr>
              <w:jc w:val="left"/>
              <w:rPr>
                <w:rFonts w:cs="Calibri"/>
                <w:color w:val="000000"/>
                <w:sz w:val="15"/>
                <w:szCs w:val="15"/>
              </w:rPr>
            </w:pPr>
            <w:r w:rsidRPr="00EE1448">
              <w:rPr>
                <w:rFonts w:cs="Calibri"/>
                <w:color w:val="000000"/>
                <w:sz w:val="15"/>
                <w:szCs w:val="15"/>
              </w:rPr>
              <w:t>Other</w:t>
            </w:r>
          </w:p>
        </w:tc>
        <w:tc>
          <w:tcPr>
            <w:tcW w:w="400" w:type="pct"/>
            <w:noWrap/>
            <w:hideMark/>
          </w:tcPr>
          <w:p w14:paraId="409BBCB7"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2.4</w:t>
            </w:r>
          </w:p>
        </w:tc>
        <w:tc>
          <w:tcPr>
            <w:tcW w:w="400" w:type="pct"/>
            <w:noWrap/>
            <w:hideMark/>
          </w:tcPr>
          <w:p w14:paraId="31A390BF"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3.2</w:t>
            </w:r>
          </w:p>
        </w:tc>
        <w:tc>
          <w:tcPr>
            <w:tcW w:w="400" w:type="pct"/>
            <w:noWrap/>
            <w:hideMark/>
          </w:tcPr>
          <w:p w14:paraId="6AF4C82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3.3</w:t>
            </w:r>
          </w:p>
        </w:tc>
        <w:tc>
          <w:tcPr>
            <w:tcW w:w="400" w:type="pct"/>
            <w:noWrap/>
            <w:hideMark/>
          </w:tcPr>
          <w:p w14:paraId="4BB0498D"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3.4</w:t>
            </w:r>
          </w:p>
        </w:tc>
        <w:tc>
          <w:tcPr>
            <w:tcW w:w="400" w:type="pct"/>
            <w:noWrap/>
            <w:hideMark/>
          </w:tcPr>
          <w:p w14:paraId="450292F2"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3.1</w:t>
            </w:r>
          </w:p>
        </w:tc>
        <w:tc>
          <w:tcPr>
            <w:tcW w:w="400" w:type="pct"/>
            <w:noWrap/>
            <w:hideMark/>
          </w:tcPr>
          <w:p w14:paraId="0ECC16E6" w14:textId="77777777" w:rsidR="00120717" w:rsidRPr="00EE1448" w:rsidRDefault="00120717" w:rsidP="00936480">
            <w:pPr>
              <w:ind w:right="57"/>
              <w:jc w:val="right"/>
              <w:rPr>
                <w:rFonts w:cs="Calibri"/>
                <w:color w:val="000000"/>
                <w:sz w:val="15"/>
                <w:szCs w:val="15"/>
              </w:rPr>
            </w:pPr>
            <w:r w:rsidRPr="00EE1448">
              <w:rPr>
                <w:rFonts w:cs="Calibri"/>
                <w:color w:val="000000"/>
                <w:sz w:val="15"/>
                <w:szCs w:val="15"/>
              </w:rPr>
              <w:t>2.4</w:t>
            </w:r>
          </w:p>
        </w:tc>
        <w:tc>
          <w:tcPr>
            <w:tcW w:w="400" w:type="pct"/>
          </w:tcPr>
          <w:p w14:paraId="469725E2" w14:textId="77777777" w:rsidR="00120717" w:rsidRPr="00EE1448" w:rsidRDefault="00120717" w:rsidP="00FC31BF">
            <w:pPr>
              <w:ind w:right="57"/>
              <w:jc w:val="right"/>
              <w:rPr>
                <w:rFonts w:cs="Calibri"/>
                <w:sz w:val="15"/>
                <w:szCs w:val="15"/>
              </w:rPr>
            </w:pPr>
            <w:r w:rsidRPr="00EE1448">
              <w:rPr>
                <w:rFonts w:cs="Calibri"/>
                <w:sz w:val="15"/>
                <w:szCs w:val="15"/>
              </w:rPr>
              <w:t>2.2</w:t>
            </w:r>
          </w:p>
        </w:tc>
      </w:tr>
    </w:tbl>
    <w:p w14:paraId="09394CC0" w14:textId="77777777" w:rsidR="00120717" w:rsidRPr="00B93EE1" w:rsidRDefault="00120717" w:rsidP="006B1D61">
      <w:pPr>
        <w:pStyle w:val="NoteText"/>
        <w:spacing w:before="120"/>
        <w:rPr>
          <w:lang w:eastAsia="en-GB"/>
        </w:rPr>
      </w:pPr>
      <w:r w:rsidRPr="00B93EE1">
        <w:rPr>
          <w:lang w:eastAsia="en-GB"/>
        </w:rPr>
        <w:t>Source:</w:t>
      </w:r>
      <w:r w:rsidRPr="00B93EE1">
        <w:rPr>
          <w:lang w:eastAsia="en-GB"/>
        </w:rPr>
        <w:tab/>
        <w:t>WTO Secretariat calculations, based on UN Comtrade database.</w:t>
      </w:r>
    </w:p>
    <w:p w14:paraId="7642203D" w14:textId="77777777" w:rsidR="00120717" w:rsidRPr="00B93EE1" w:rsidRDefault="00120717" w:rsidP="00F64A35">
      <w:pPr>
        <w:pStyle w:val="NoteText"/>
        <w:rPr>
          <w:lang w:eastAsia="en-GB"/>
        </w:rPr>
      </w:pPr>
    </w:p>
    <w:p w14:paraId="61DBB0BB" w14:textId="77777777" w:rsidR="00120717" w:rsidRPr="00B93EE1" w:rsidRDefault="00120717" w:rsidP="00E7313E">
      <w:pPr>
        <w:jc w:val="left"/>
        <w:rPr>
          <w:sz w:val="16"/>
          <w:lang w:eastAsia="en-GB"/>
        </w:rPr>
      </w:pPr>
      <w:r w:rsidRPr="00B93EE1">
        <w:rPr>
          <w:lang w:eastAsia="en-GB"/>
        </w:rPr>
        <w:br w:type="page"/>
      </w:r>
    </w:p>
    <w:p w14:paraId="4417D76A" w14:textId="49BA2AE4" w:rsidR="00120717" w:rsidRPr="00B93EE1" w:rsidRDefault="009327F6" w:rsidP="009327F6">
      <w:pPr>
        <w:pStyle w:val="Caption"/>
      </w:pPr>
      <w:bookmarkStart w:id="259" w:name="_Toc97803823"/>
      <w:r>
        <w:lastRenderedPageBreak/>
        <w:t>Table A1.</w:t>
      </w:r>
      <w:r w:rsidR="0012793B">
        <w:fldChar w:fldCharType="begin"/>
      </w:r>
      <w:r w:rsidR="0012793B">
        <w:instrText xml:space="preserve"> SEQ Table_A1. \* ARABIC </w:instrText>
      </w:r>
      <w:r w:rsidR="0012793B">
        <w:fldChar w:fldCharType="separate"/>
      </w:r>
      <w:r w:rsidR="00DE713E">
        <w:rPr>
          <w:noProof/>
        </w:rPr>
        <w:t>2</w:t>
      </w:r>
      <w:r w:rsidR="0012793B">
        <w:rPr>
          <w:noProof/>
        </w:rPr>
        <w:fldChar w:fldCharType="end"/>
      </w:r>
      <w:r w:rsidR="00120717" w:rsidRPr="00B93EE1">
        <w:t xml:space="preserve"> Merchandise exports by destination, 2015-21</w:t>
      </w:r>
      <w:bookmarkEnd w:id="259"/>
    </w:p>
    <w:tbl>
      <w:tblPr>
        <w:tblStyle w:val="WTOTable1"/>
        <w:tblW w:w="5000" w:type="pct"/>
        <w:tblLook w:val="04A0" w:firstRow="1" w:lastRow="0" w:firstColumn="1" w:lastColumn="0" w:noHBand="0" w:noVBand="1"/>
      </w:tblPr>
      <w:tblGrid>
        <w:gridCol w:w="3396"/>
        <w:gridCol w:w="805"/>
        <w:gridCol w:w="804"/>
        <w:gridCol w:w="804"/>
        <w:gridCol w:w="804"/>
        <w:gridCol w:w="804"/>
        <w:gridCol w:w="804"/>
        <w:gridCol w:w="795"/>
      </w:tblGrid>
      <w:tr w:rsidR="00120717" w:rsidRPr="00EE1448" w14:paraId="32B79097" w14:textId="77777777" w:rsidTr="004E187B">
        <w:trPr>
          <w:cnfStyle w:val="100000000000" w:firstRow="1" w:lastRow="0" w:firstColumn="0" w:lastColumn="0" w:oddVBand="0" w:evenVBand="0" w:oddHBand="0" w:evenHBand="0" w:firstRowFirstColumn="0" w:firstRowLastColumn="0" w:lastRowFirstColumn="0" w:lastRowLastColumn="0"/>
          <w:trHeight w:val="71"/>
        </w:trPr>
        <w:tc>
          <w:tcPr>
            <w:tcW w:w="1883" w:type="pct"/>
            <w:noWrap/>
            <w:hideMark/>
          </w:tcPr>
          <w:p w14:paraId="61AFE369" w14:textId="77777777" w:rsidR="00120717" w:rsidRPr="00EE1448" w:rsidRDefault="00120717">
            <w:pPr>
              <w:jc w:val="left"/>
              <w:rPr>
                <w:color w:val="000000"/>
                <w:sz w:val="16"/>
                <w:szCs w:val="16"/>
              </w:rPr>
            </w:pPr>
            <w:r w:rsidRPr="00EE1448">
              <w:rPr>
                <w:color w:val="000000"/>
                <w:sz w:val="16"/>
                <w:szCs w:val="16"/>
              </w:rPr>
              <w:t> </w:t>
            </w:r>
          </w:p>
        </w:tc>
        <w:tc>
          <w:tcPr>
            <w:tcW w:w="446" w:type="pct"/>
            <w:noWrap/>
            <w:hideMark/>
          </w:tcPr>
          <w:p w14:paraId="33B40E2F" w14:textId="77777777" w:rsidR="00120717" w:rsidRPr="00EE1448" w:rsidRDefault="00120717" w:rsidP="00DA262F">
            <w:pPr>
              <w:ind w:right="113"/>
              <w:jc w:val="right"/>
              <w:rPr>
                <w:color w:val="FFFFFF" w:themeColor="background1"/>
                <w:sz w:val="16"/>
                <w:szCs w:val="16"/>
              </w:rPr>
            </w:pPr>
            <w:r w:rsidRPr="00EE1448">
              <w:rPr>
                <w:color w:val="FFFFFF" w:themeColor="background1"/>
                <w:sz w:val="16"/>
                <w:szCs w:val="16"/>
              </w:rPr>
              <w:t>2015</w:t>
            </w:r>
          </w:p>
        </w:tc>
        <w:tc>
          <w:tcPr>
            <w:tcW w:w="446" w:type="pct"/>
            <w:noWrap/>
            <w:hideMark/>
          </w:tcPr>
          <w:p w14:paraId="1D90EF27" w14:textId="77777777" w:rsidR="00120717" w:rsidRPr="00EE1448" w:rsidRDefault="00120717" w:rsidP="00DA262F">
            <w:pPr>
              <w:ind w:right="113"/>
              <w:jc w:val="right"/>
              <w:rPr>
                <w:color w:val="FFFFFF" w:themeColor="background1"/>
                <w:sz w:val="16"/>
                <w:szCs w:val="16"/>
              </w:rPr>
            </w:pPr>
            <w:r w:rsidRPr="00EE1448">
              <w:rPr>
                <w:color w:val="FFFFFF" w:themeColor="background1"/>
                <w:sz w:val="16"/>
                <w:szCs w:val="16"/>
              </w:rPr>
              <w:t>2016</w:t>
            </w:r>
          </w:p>
        </w:tc>
        <w:tc>
          <w:tcPr>
            <w:tcW w:w="446" w:type="pct"/>
            <w:noWrap/>
            <w:hideMark/>
          </w:tcPr>
          <w:p w14:paraId="5C3368FB" w14:textId="77777777" w:rsidR="00120717" w:rsidRPr="00EE1448" w:rsidRDefault="00120717" w:rsidP="00DA262F">
            <w:pPr>
              <w:ind w:right="113"/>
              <w:jc w:val="right"/>
              <w:rPr>
                <w:color w:val="FFFFFF" w:themeColor="background1"/>
                <w:sz w:val="16"/>
                <w:szCs w:val="16"/>
              </w:rPr>
            </w:pPr>
            <w:r w:rsidRPr="00EE1448">
              <w:rPr>
                <w:color w:val="FFFFFF" w:themeColor="background1"/>
                <w:sz w:val="16"/>
                <w:szCs w:val="16"/>
              </w:rPr>
              <w:t>2017</w:t>
            </w:r>
          </w:p>
        </w:tc>
        <w:tc>
          <w:tcPr>
            <w:tcW w:w="446" w:type="pct"/>
            <w:noWrap/>
            <w:hideMark/>
          </w:tcPr>
          <w:p w14:paraId="3B4F5FC4" w14:textId="77777777" w:rsidR="00120717" w:rsidRPr="00EE1448" w:rsidRDefault="00120717" w:rsidP="00DA262F">
            <w:pPr>
              <w:ind w:right="113"/>
              <w:jc w:val="right"/>
              <w:rPr>
                <w:color w:val="FFFFFF" w:themeColor="background1"/>
                <w:sz w:val="16"/>
                <w:szCs w:val="16"/>
              </w:rPr>
            </w:pPr>
            <w:r w:rsidRPr="00EE1448">
              <w:rPr>
                <w:color w:val="FFFFFF" w:themeColor="background1"/>
                <w:sz w:val="16"/>
                <w:szCs w:val="16"/>
              </w:rPr>
              <w:t>2018</w:t>
            </w:r>
          </w:p>
        </w:tc>
        <w:tc>
          <w:tcPr>
            <w:tcW w:w="446" w:type="pct"/>
            <w:noWrap/>
            <w:hideMark/>
          </w:tcPr>
          <w:p w14:paraId="6F19C255" w14:textId="77777777" w:rsidR="00120717" w:rsidRPr="00EE1448" w:rsidRDefault="00120717" w:rsidP="00DA262F">
            <w:pPr>
              <w:ind w:right="113"/>
              <w:jc w:val="right"/>
              <w:rPr>
                <w:color w:val="FFFFFF" w:themeColor="background1"/>
                <w:sz w:val="16"/>
                <w:szCs w:val="16"/>
              </w:rPr>
            </w:pPr>
            <w:r w:rsidRPr="00EE1448">
              <w:rPr>
                <w:color w:val="FFFFFF" w:themeColor="background1"/>
                <w:sz w:val="16"/>
                <w:szCs w:val="16"/>
              </w:rPr>
              <w:t>2019</w:t>
            </w:r>
          </w:p>
        </w:tc>
        <w:tc>
          <w:tcPr>
            <w:tcW w:w="446" w:type="pct"/>
            <w:noWrap/>
            <w:hideMark/>
          </w:tcPr>
          <w:p w14:paraId="4A4138CE" w14:textId="77777777" w:rsidR="00120717" w:rsidRPr="00EE1448" w:rsidRDefault="00120717" w:rsidP="00DA262F">
            <w:pPr>
              <w:ind w:right="113"/>
              <w:jc w:val="right"/>
              <w:rPr>
                <w:color w:val="FFFFFF" w:themeColor="background1"/>
                <w:sz w:val="16"/>
                <w:szCs w:val="16"/>
              </w:rPr>
            </w:pPr>
            <w:r w:rsidRPr="00EE1448">
              <w:rPr>
                <w:color w:val="FFFFFF" w:themeColor="background1"/>
                <w:sz w:val="16"/>
                <w:szCs w:val="16"/>
              </w:rPr>
              <w:t>2020</w:t>
            </w:r>
          </w:p>
        </w:tc>
        <w:tc>
          <w:tcPr>
            <w:tcW w:w="441" w:type="pct"/>
            <w:noWrap/>
            <w:hideMark/>
          </w:tcPr>
          <w:p w14:paraId="432D0F7A" w14:textId="77777777" w:rsidR="00120717" w:rsidRPr="00EE1448" w:rsidRDefault="00120717" w:rsidP="00DA262F">
            <w:pPr>
              <w:ind w:right="113"/>
              <w:jc w:val="right"/>
              <w:rPr>
                <w:color w:val="FFFFFF" w:themeColor="background1"/>
                <w:sz w:val="16"/>
                <w:szCs w:val="16"/>
              </w:rPr>
            </w:pPr>
            <w:r w:rsidRPr="00EE1448">
              <w:rPr>
                <w:color w:val="FFFFFF" w:themeColor="background1"/>
                <w:sz w:val="16"/>
                <w:szCs w:val="16"/>
              </w:rPr>
              <w:t>2021</w:t>
            </w:r>
          </w:p>
        </w:tc>
      </w:tr>
      <w:tr w:rsidR="00120717" w:rsidRPr="00EE1448" w14:paraId="45968027" w14:textId="77777777" w:rsidTr="004E187B">
        <w:trPr>
          <w:trHeight w:val="182"/>
        </w:trPr>
        <w:tc>
          <w:tcPr>
            <w:tcW w:w="1883" w:type="pct"/>
            <w:noWrap/>
            <w:hideMark/>
          </w:tcPr>
          <w:p w14:paraId="4732BF75" w14:textId="77777777" w:rsidR="00120717" w:rsidRPr="00EE1448" w:rsidRDefault="00120717">
            <w:pPr>
              <w:jc w:val="left"/>
              <w:rPr>
                <w:sz w:val="16"/>
                <w:szCs w:val="16"/>
              </w:rPr>
            </w:pPr>
            <w:r w:rsidRPr="00EE1448">
              <w:rPr>
                <w:sz w:val="16"/>
                <w:szCs w:val="16"/>
              </w:rPr>
              <w:t>Total exports (USD billion)</w:t>
            </w:r>
          </w:p>
        </w:tc>
        <w:tc>
          <w:tcPr>
            <w:tcW w:w="446" w:type="pct"/>
            <w:noWrap/>
            <w:hideMark/>
          </w:tcPr>
          <w:p w14:paraId="00E7B3BD" w14:textId="77777777" w:rsidR="00120717" w:rsidRPr="00EE1448" w:rsidRDefault="00120717" w:rsidP="00DA262F">
            <w:pPr>
              <w:ind w:right="113"/>
              <w:jc w:val="right"/>
              <w:rPr>
                <w:color w:val="000000"/>
                <w:sz w:val="16"/>
                <w:szCs w:val="16"/>
              </w:rPr>
            </w:pPr>
            <w:r w:rsidRPr="00EE1448">
              <w:rPr>
                <w:color w:val="000000"/>
                <w:sz w:val="16"/>
                <w:szCs w:val="16"/>
              </w:rPr>
              <w:t>34.4</w:t>
            </w:r>
          </w:p>
        </w:tc>
        <w:tc>
          <w:tcPr>
            <w:tcW w:w="446" w:type="pct"/>
            <w:noWrap/>
            <w:hideMark/>
          </w:tcPr>
          <w:p w14:paraId="53E71108" w14:textId="77777777" w:rsidR="00120717" w:rsidRPr="00EE1448" w:rsidRDefault="00120717" w:rsidP="00DA262F">
            <w:pPr>
              <w:ind w:right="113"/>
              <w:jc w:val="right"/>
              <w:rPr>
                <w:color w:val="000000"/>
                <w:sz w:val="16"/>
                <w:szCs w:val="16"/>
              </w:rPr>
            </w:pPr>
            <w:r w:rsidRPr="00EE1448">
              <w:rPr>
                <w:color w:val="000000"/>
                <w:sz w:val="16"/>
                <w:szCs w:val="16"/>
              </w:rPr>
              <w:t>33.7</w:t>
            </w:r>
          </w:p>
        </w:tc>
        <w:tc>
          <w:tcPr>
            <w:tcW w:w="446" w:type="pct"/>
            <w:noWrap/>
            <w:hideMark/>
          </w:tcPr>
          <w:p w14:paraId="628542A9" w14:textId="77777777" w:rsidR="00120717" w:rsidRPr="00EE1448" w:rsidRDefault="00120717" w:rsidP="00DA262F">
            <w:pPr>
              <w:ind w:right="113"/>
              <w:jc w:val="right"/>
              <w:rPr>
                <w:color w:val="000000"/>
                <w:sz w:val="16"/>
                <w:szCs w:val="16"/>
              </w:rPr>
            </w:pPr>
            <w:r w:rsidRPr="00EE1448">
              <w:rPr>
                <w:color w:val="000000"/>
                <w:sz w:val="16"/>
                <w:szCs w:val="16"/>
              </w:rPr>
              <w:t>38.1</w:t>
            </w:r>
          </w:p>
        </w:tc>
        <w:tc>
          <w:tcPr>
            <w:tcW w:w="446" w:type="pct"/>
            <w:noWrap/>
            <w:hideMark/>
          </w:tcPr>
          <w:p w14:paraId="2D5B4222" w14:textId="77777777" w:rsidR="00120717" w:rsidRPr="00EE1448" w:rsidRDefault="00120717" w:rsidP="00DA262F">
            <w:pPr>
              <w:ind w:right="113"/>
              <w:jc w:val="right"/>
              <w:rPr>
                <w:color w:val="000000"/>
                <w:sz w:val="16"/>
                <w:szCs w:val="16"/>
              </w:rPr>
            </w:pPr>
            <w:r w:rsidRPr="00EE1448">
              <w:rPr>
                <w:color w:val="000000"/>
                <w:sz w:val="16"/>
                <w:szCs w:val="16"/>
              </w:rPr>
              <w:t>39.8</w:t>
            </w:r>
          </w:p>
        </w:tc>
        <w:tc>
          <w:tcPr>
            <w:tcW w:w="446" w:type="pct"/>
            <w:noWrap/>
            <w:hideMark/>
          </w:tcPr>
          <w:p w14:paraId="2104EC0B" w14:textId="77777777" w:rsidR="00120717" w:rsidRPr="00EE1448" w:rsidRDefault="00120717" w:rsidP="00DA262F">
            <w:pPr>
              <w:ind w:right="113"/>
              <w:jc w:val="right"/>
              <w:rPr>
                <w:color w:val="000000"/>
                <w:sz w:val="16"/>
                <w:szCs w:val="16"/>
              </w:rPr>
            </w:pPr>
            <w:r w:rsidRPr="00EE1448">
              <w:rPr>
                <w:color w:val="000000"/>
                <w:sz w:val="16"/>
                <w:szCs w:val="16"/>
              </w:rPr>
              <w:t>39.5</w:t>
            </w:r>
          </w:p>
        </w:tc>
        <w:tc>
          <w:tcPr>
            <w:tcW w:w="446" w:type="pct"/>
            <w:noWrap/>
            <w:hideMark/>
          </w:tcPr>
          <w:p w14:paraId="54E025BB" w14:textId="77777777" w:rsidR="00120717" w:rsidRPr="00EE1448" w:rsidRDefault="00120717" w:rsidP="00DA262F">
            <w:pPr>
              <w:ind w:right="113"/>
              <w:jc w:val="right"/>
              <w:rPr>
                <w:color w:val="000000"/>
                <w:sz w:val="16"/>
                <w:szCs w:val="16"/>
              </w:rPr>
            </w:pPr>
            <w:r w:rsidRPr="00EE1448">
              <w:rPr>
                <w:color w:val="000000"/>
                <w:sz w:val="16"/>
                <w:szCs w:val="16"/>
              </w:rPr>
              <w:t>38.9</w:t>
            </w:r>
          </w:p>
        </w:tc>
        <w:tc>
          <w:tcPr>
            <w:tcW w:w="441" w:type="pct"/>
            <w:noWrap/>
            <w:hideMark/>
          </w:tcPr>
          <w:p w14:paraId="36145891" w14:textId="77777777" w:rsidR="00120717" w:rsidRPr="00EE1448" w:rsidRDefault="00120717" w:rsidP="00DA262F">
            <w:pPr>
              <w:ind w:right="113"/>
              <w:jc w:val="right"/>
              <w:rPr>
                <w:color w:val="000000"/>
                <w:sz w:val="16"/>
                <w:szCs w:val="16"/>
              </w:rPr>
            </w:pPr>
            <w:r w:rsidRPr="00EE1448">
              <w:rPr>
                <w:color w:val="000000"/>
                <w:sz w:val="16"/>
                <w:szCs w:val="16"/>
              </w:rPr>
              <w:t>44.8</w:t>
            </w:r>
          </w:p>
        </w:tc>
      </w:tr>
      <w:tr w:rsidR="00120717" w:rsidRPr="00EE1448" w14:paraId="308168B9" w14:textId="77777777" w:rsidTr="004E187B">
        <w:trPr>
          <w:cnfStyle w:val="000000010000" w:firstRow="0" w:lastRow="0" w:firstColumn="0" w:lastColumn="0" w:oddVBand="0" w:evenVBand="0" w:oddHBand="0" w:evenHBand="1" w:firstRowFirstColumn="0" w:firstRowLastColumn="0" w:lastRowFirstColumn="0" w:lastRowLastColumn="0"/>
          <w:trHeight w:val="143"/>
        </w:trPr>
        <w:tc>
          <w:tcPr>
            <w:tcW w:w="1883" w:type="pct"/>
            <w:noWrap/>
            <w:hideMark/>
          </w:tcPr>
          <w:p w14:paraId="39BF2AF7" w14:textId="77777777" w:rsidR="00120717" w:rsidRPr="00EE1448" w:rsidRDefault="00120717">
            <w:pPr>
              <w:jc w:val="center"/>
              <w:rPr>
                <w:sz w:val="16"/>
                <w:szCs w:val="16"/>
              </w:rPr>
            </w:pPr>
          </w:p>
        </w:tc>
        <w:tc>
          <w:tcPr>
            <w:tcW w:w="3117" w:type="pct"/>
            <w:gridSpan w:val="7"/>
            <w:noWrap/>
            <w:hideMark/>
          </w:tcPr>
          <w:p w14:paraId="75E0148D" w14:textId="77777777" w:rsidR="00120717" w:rsidRPr="00EE1448" w:rsidRDefault="00120717">
            <w:pPr>
              <w:jc w:val="center"/>
              <w:rPr>
                <w:b/>
                <w:bCs/>
                <w:sz w:val="16"/>
                <w:szCs w:val="16"/>
              </w:rPr>
            </w:pPr>
            <w:r w:rsidRPr="00EE1448">
              <w:rPr>
                <w:b/>
                <w:bCs/>
                <w:sz w:val="16"/>
                <w:szCs w:val="16"/>
              </w:rPr>
              <w:t>(% of total exports)</w:t>
            </w:r>
          </w:p>
        </w:tc>
      </w:tr>
      <w:tr w:rsidR="00120717" w:rsidRPr="00EE1448" w14:paraId="1C421DED" w14:textId="77777777" w:rsidTr="004E187B">
        <w:trPr>
          <w:trHeight w:val="89"/>
        </w:trPr>
        <w:tc>
          <w:tcPr>
            <w:tcW w:w="1883" w:type="pct"/>
            <w:noWrap/>
            <w:hideMark/>
          </w:tcPr>
          <w:p w14:paraId="6F9B52A7" w14:textId="77777777" w:rsidR="00120717" w:rsidRPr="00EE1448" w:rsidRDefault="00120717">
            <w:pPr>
              <w:jc w:val="left"/>
              <w:rPr>
                <w:sz w:val="16"/>
                <w:szCs w:val="16"/>
              </w:rPr>
            </w:pPr>
            <w:r w:rsidRPr="00EE1448">
              <w:rPr>
                <w:sz w:val="16"/>
                <w:szCs w:val="16"/>
              </w:rPr>
              <w:t>Americas</w:t>
            </w:r>
          </w:p>
        </w:tc>
        <w:tc>
          <w:tcPr>
            <w:tcW w:w="446" w:type="pct"/>
            <w:noWrap/>
            <w:hideMark/>
          </w:tcPr>
          <w:p w14:paraId="34BEBB84" w14:textId="77777777" w:rsidR="00120717" w:rsidRPr="00EE1448" w:rsidRDefault="00120717" w:rsidP="00DA262F">
            <w:pPr>
              <w:ind w:right="113"/>
              <w:jc w:val="right"/>
              <w:rPr>
                <w:color w:val="000000"/>
                <w:sz w:val="16"/>
                <w:szCs w:val="16"/>
              </w:rPr>
            </w:pPr>
            <w:r w:rsidRPr="00EE1448">
              <w:rPr>
                <w:color w:val="000000"/>
                <w:sz w:val="16"/>
                <w:szCs w:val="16"/>
              </w:rPr>
              <w:t>16.2</w:t>
            </w:r>
          </w:p>
        </w:tc>
        <w:tc>
          <w:tcPr>
            <w:tcW w:w="446" w:type="pct"/>
            <w:noWrap/>
            <w:hideMark/>
          </w:tcPr>
          <w:p w14:paraId="142C91B2" w14:textId="77777777" w:rsidR="00120717" w:rsidRPr="00EE1448" w:rsidRDefault="00120717" w:rsidP="00DA262F">
            <w:pPr>
              <w:ind w:right="113"/>
              <w:jc w:val="right"/>
              <w:rPr>
                <w:color w:val="000000"/>
                <w:sz w:val="16"/>
                <w:szCs w:val="16"/>
              </w:rPr>
            </w:pPr>
            <w:r w:rsidRPr="00EE1448">
              <w:rPr>
                <w:color w:val="000000"/>
                <w:sz w:val="16"/>
                <w:szCs w:val="16"/>
              </w:rPr>
              <w:t>14.7</w:t>
            </w:r>
          </w:p>
        </w:tc>
        <w:tc>
          <w:tcPr>
            <w:tcW w:w="446" w:type="pct"/>
            <w:noWrap/>
            <w:hideMark/>
          </w:tcPr>
          <w:p w14:paraId="0CDE0BDF" w14:textId="77777777" w:rsidR="00120717" w:rsidRPr="00EE1448" w:rsidRDefault="00120717" w:rsidP="00DA262F">
            <w:pPr>
              <w:ind w:right="113"/>
              <w:jc w:val="right"/>
              <w:rPr>
                <w:color w:val="000000"/>
                <w:sz w:val="16"/>
                <w:szCs w:val="16"/>
              </w:rPr>
            </w:pPr>
            <w:r w:rsidRPr="00EE1448">
              <w:rPr>
                <w:color w:val="000000"/>
                <w:sz w:val="16"/>
                <w:szCs w:val="16"/>
              </w:rPr>
              <w:t>13.4</w:t>
            </w:r>
          </w:p>
        </w:tc>
        <w:tc>
          <w:tcPr>
            <w:tcW w:w="446" w:type="pct"/>
            <w:noWrap/>
            <w:hideMark/>
          </w:tcPr>
          <w:p w14:paraId="3D7A11F3" w14:textId="77777777" w:rsidR="00120717" w:rsidRPr="00EE1448" w:rsidRDefault="00120717" w:rsidP="00DA262F">
            <w:pPr>
              <w:ind w:right="113"/>
              <w:jc w:val="right"/>
              <w:rPr>
                <w:color w:val="000000"/>
                <w:sz w:val="16"/>
                <w:szCs w:val="16"/>
              </w:rPr>
            </w:pPr>
            <w:r w:rsidRPr="00EE1448">
              <w:rPr>
                <w:color w:val="000000"/>
                <w:sz w:val="16"/>
                <w:szCs w:val="16"/>
              </w:rPr>
              <w:t>13.1</w:t>
            </w:r>
          </w:p>
        </w:tc>
        <w:tc>
          <w:tcPr>
            <w:tcW w:w="446" w:type="pct"/>
            <w:noWrap/>
            <w:hideMark/>
          </w:tcPr>
          <w:p w14:paraId="0F0F6A00" w14:textId="77777777" w:rsidR="00120717" w:rsidRPr="00EE1448" w:rsidRDefault="00120717" w:rsidP="00DA262F">
            <w:pPr>
              <w:ind w:right="113"/>
              <w:jc w:val="right"/>
              <w:rPr>
                <w:color w:val="000000"/>
                <w:sz w:val="16"/>
                <w:szCs w:val="16"/>
              </w:rPr>
            </w:pPr>
            <w:r w:rsidRPr="00EE1448">
              <w:rPr>
                <w:color w:val="000000"/>
                <w:sz w:val="16"/>
                <w:szCs w:val="16"/>
              </w:rPr>
              <w:t>12.7</w:t>
            </w:r>
          </w:p>
        </w:tc>
        <w:tc>
          <w:tcPr>
            <w:tcW w:w="446" w:type="pct"/>
            <w:noWrap/>
            <w:hideMark/>
          </w:tcPr>
          <w:p w14:paraId="5D6249DB" w14:textId="77777777" w:rsidR="00120717" w:rsidRPr="00EE1448" w:rsidRDefault="00120717" w:rsidP="00DA262F">
            <w:pPr>
              <w:ind w:right="113"/>
              <w:jc w:val="right"/>
              <w:rPr>
                <w:color w:val="000000"/>
                <w:sz w:val="16"/>
                <w:szCs w:val="16"/>
              </w:rPr>
            </w:pPr>
            <w:r w:rsidRPr="00EE1448">
              <w:rPr>
                <w:color w:val="000000"/>
                <w:sz w:val="16"/>
                <w:szCs w:val="16"/>
              </w:rPr>
              <w:t>14.4</w:t>
            </w:r>
          </w:p>
        </w:tc>
        <w:tc>
          <w:tcPr>
            <w:tcW w:w="441" w:type="pct"/>
            <w:noWrap/>
            <w:hideMark/>
          </w:tcPr>
          <w:p w14:paraId="1EB837D1" w14:textId="77777777" w:rsidR="00120717" w:rsidRPr="00EE1448" w:rsidRDefault="00120717" w:rsidP="00DA262F">
            <w:pPr>
              <w:ind w:right="113"/>
              <w:jc w:val="right"/>
              <w:rPr>
                <w:color w:val="000000"/>
                <w:sz w:val="16"/>
                <w:szCs w:val="16"/>
              </w:rPr>
            </w:pPr>
            <w:r w:rsidRPr="00EE1448">
              <w:rPr>
                <w:color w:val="000000"/>
                <w:sz w:val="16"/>
                <w:szCs w:val="16"/>
              </w:rPr>
              <w:t>13.7</w:t>
            </w:r>
          </w:p>
        </w:tc>
      </w:tr>
      <w:tr w:rsidR="00120717" w:rsidRPr="00EE1448" w14:paraId="1B8B6248" w14:textId="77777777" w:rsidTr="004E187B">
        <w:trPr>
          <w:cnfStyle w:val="000000010000" w:firstRow="0" w:lastRow="0" w:firstColumn="0" w:lastColumn="0" w:oddVBand="0" w:evenVBand="0" w:oddHBand="0" w:evenHBand="1" w:firstRowFirstColumn="0" w:firstRowLastColumn="0" w:lastRowFirstColumn="0" w:lastRowLastColumn="0"/>
          <w:trHeight w:val="62"/>
        </w:trPr>
        <w:tc>
          <w:tcPr>
            <w:tcW w:w="1883" w:type="pct"/>
            <w:noWrap/>
            <w:hideMark/>
          </w:tcPr>
          <w:p w14:paraId="2F82CE23" w14:textId="77777777" w:rsidR="00120717" w:rsidRPr="00EE1448" w:rsidRDefault="00120717" w:rsidP="00DA262F">
            <w:pPr>
              <w:ind w:left="174"/>
              <w:jc w:val="left"/>
              <w:rPr>
                <w:sz w:val="16"/>
                <w:szCs w:val="16"/>
              </w:rPr>
            </w:pPr>
            <w:r w:rsidRPr="00EE1448">
              <w:rPr>
                <w:sz w:val="16"/>
                <w:szCs w:val="16"/>
              </w:rPr>
              <w:t>United States</w:t>
            </w:r>
          </w:p>
        </w:tc>
        <w:tc>
          <w:tcPr>
            <w:tcW w:w="446" w:type="pct"/>
            <w:noWrap/>
            <w:hideMark/>
          </w:tcPr>
          <w:p w14:paraId="482AE1AB" w14:textId="77777777" w:rsidR="00120717" w:rsidRPr="00EE1448" w:rsidRDefault="00120717" w:rsidP="00DA262F">
            <w:pPr>
              <w:ind w:right="113"/>
              <w:jc w:val="right"/>
              <w:rPr>
                <w:color w:val="000000"/>
                <w:sz w:val="16"/>
                <w:szCs w:val="16"/>
              </w:rPr>
            </w:pPr>
            <w:r w:rsidRPr="00EE1448">
              <w:rPr>
                <w:color w:val="000000"/>
                <w:sz w:val="16"/>
                <w:szCs w:val="16"/>
              </w:rPr>
              <w:t>11.8</w:t>
            </w:r>
          </w:p>
        </w:tc>
        <w:tc>
          <w:tcPr>
            <w:tcW w:w="446" w:type="pct"/>
            <w:noWrap/>
            <w:hideMark/>
          </w:tcPr>
          <w:p w14:paraId="30202581" w14:textId="77777777" w:rsidR="00120717" w:rsidRPr="00EE1448" w:rsidRDefault="00120717" w:rsidP="00DA262F">
            <w:pPr>
              <w:ind w:right="113"/>
              <w:jc w:val="right"/>
              <w:rPr>
                <w:color w:val="000000"/>
                <w:sz w:val="16"/>
                <w:szCs w:val="16"/>
              </w:rPr>
            </w:pPr>
            <w:r w:rsidRPr="00EE1448">
              <w:rPr>
                <w:color w:val="000000"/>
                <w:sz w:val="16"/>
                <w:szCs w:val="16"/>
              </w:rPr>
              <w:t>10.9</w:t>
            </w:r>
          </w:p>
        </w:tc>
        <w:tc>
          <w:tcPr>
            <w:tcW w:w="446" w:type="pct"/>
            <w:noWrap/>
            <w:hideMark/>
          </w:tcPr>
          <w:p w14:paraId="5C4B8B2C" w14:textId="77777777" w:rsidR="00120717" w:rsidRPr="00EE1448" w:rsidRDefault="00120717" w:rsidP="00DA262F">
            <w:pPr>
              <w:ind w:right="113"/>
              <w:jc w:val="right"/>
              <w:rPr>
                <w:color w:val="000000"/>
                <w:sz w:val="16"/>
                <w:szCs w:val="16"/>
              </w:rPr>
            </w:pPr>
            <w:r w:rsidRPr="00EE1448">
              <w:rPr>
                <w:color w:val="000000"/>
                <w:sz w:val="16"/>
                <w:szCs w:val="16"/>
              </w:rPr>
              <w:t>9.9</w:t>
            </w:r>
          </w:p>
        </w:tc>
        <w:tc>
          <w:tcPr>
            <w:tcW w:w="446" w:type="pct"/>
            <w:noWrap/>
            <w:hideMark/>
          </w:tcPr>
          <w:p w14:paraId="5926F17F" w14:textId="77777777" w:rsidR="00120717" w:rsidRPr="00EE1448" w:rsidRDefault="00120717" w:rsidP="00DA262F">
            <w:pPr>
              <w:ind w:right="113"/>
              <w:jc w:val="right"/>
              <w:rPr>
                <w:color w:val="000000"/>
                <w:sz w:val="16"/>
                <w:szCs w:val="16"/>
              </w:rPr>
            </w:pPr>
            <w:r w:rsidRPr="00EE1448">
              <w:rPr>
                <w:color w:val="000000"/>
                <w:sz w:val="16"/>
                <w:szCs w:val="16"/>
              </w:rPr>
              <w:t>9.6</w:t>
            </w:r>
          </w:p>
        </w:tc>
        <w:tc>
          <w:tcPr>
            <w:tcW w:w="446" w:type="pct"/>
            <w:noWrap/>
            <w:hideMark/>
          </w:tcPr>
          <w:p w14:paraId="460B7F29" w14:textId="77777777" w:rsidR="00120717" w:rsidRPr="00EE1448" w:rsidRDefault="00120717" w:rsidP="00DA262F">
            <w:pPr>
              <w:ind w:right="113"/>
              <w:jc w:val="right"/>
              <w:rPr>
                <w:color w:val="000000"/>
                <w:sz w:val="16"/>
                <w:szCs w:val="16"/>
              </w:rPr>
            </w:pPr>
            <w:r w:rsidRPr="00EE1448">
              <w:rPr>
                <w:color w:val="000000"/>
                <w:sz w:val="16"/>
                <w:szCs w:val="16"/>
              </w:rPr>
              <w:t>9.4</w:t>
            </w:r>
          </w:p>
        </w:tc>
        <w:tc>
          <w:tcPr>
            <w:tcW w:w="446" w:type="pct"/>
            <w:noWrap/>
            <w:hideMark/>
          </w:tcPr>
          <w:p w14:paraId="421A228F" w14:textId="77777777" w:rsidR="00120717" w:rsidRPr="00EE1448" w:rsidRDefault="00120717" w:rsidP="00DA262F">
            <w:pPr>
              <w:ind w:right="113"/>
              <w:jc w:val="right"/>
              <w:rPr>
                <w:color w:val="000000"/>
                <w:sz w:val="16"/>
                <w:szCs w:val="16"/>
              </w:rPr>
            </w:pPr>
            <w:r w:rsidRPr="00EE1448">
              <w:rPr>
                <w:color w:val="000000"/>
                <w:sz w:val="16"/>
                <w:szCs w:val="16"/>
              </w:rPr>
              <w:t>11.0</w:t>
            </w:r>
          </w:p>
        </w:tc>
        <w:tc>
          <w:tcPr>
            <w:tcW w:w="441" w:type="pct"/>
            <w:noWrap/>
            <w:hideMark/>
          </w:tcPr>
          <w:p w14:paraId="7FAC998B" w14:textId="77777777" w:rsidR="00120717" w:rsidRPr="00EE1448" w:rsidRDefault="00120717" w:rsidP="00DA262F">
            <w:pPr>
              <w:ind w:right="113"/>
              <w:jc w:val="right"/>
              <w:rPr>
                <w:color w:val="000000"/>
                <w:sz w:val="16"/>
                <w:szCs w:val="16"/>
              </w:rPr>
            </w:pPr>
            <w:r w:rsidRPr="00EE1448">
              <w:rPr>
                <w:color w:val="000000"/>
                <w:sz w:val="16"/>
                <w:szCs w:val="16"/>
              </w:rPr>
              <w:t>10.6</w:t>
            </w:r>
          </w:p>
        </w:tc>
      </w:tr>
      <w:tr w:rsidR="00120717" w:rsidRPr="00EE1448" w14:paraId="39307637" w14:textId="77777777" w:rsidTr="004E187B">
        <w:trPr>
          <w:trHeight w:val="165"/>
        </w:trPr>
        <w:tc>
          <w:tcPr>
            <w:tcW w:w="1883" w:type="pct"/>
            <w:noWrap/>
            <w:hideMark/>
          </w:tcPr>
          <w:p w14:paraId="4D463681" w14:textId="77777777" w:rsidR="00120717" w:rsidRPr="00EE1448" w:rsidRDefault="00120717" w:rsidP="004E187B">
            <w:pPr>
              <w:tabs>
                <w:tab w:val="right" w:pos="3180"/>
              </w:tabs>
              <w:ind w:left="174"/>
              <w:jc w:val="left"/>
              <w:rPr>
                <w:sz w:val="16"/>
                <w:szCs w:val="16"/>
              </w:rPr>
            </w:pPr>
            <w:r w:rsidRPr="00EE1448">
              <w:rPr>
                <w:sz w:val="16"/>
                <w:szCs w:val="16"/>
              </w:rPr>
              <w:t>Other America</w:t>
            </w:r>
          </w:p>
        </w:tc>
        <w:tc>
          <w:tcPr>
            <w:tcW w:w="446" w:type="pct"/>
            <w:noWrap/>
            <w:hideMark/>
          </w:tcPr>
          <w:p w14:paraId="19A5BE3E" w14:textId="77777777" w:rsidR="00120717" w:rsidRPr="00EE1448" w:rsidRDefault="00120717" w:rsidP="00DA262F">
            <w:pPr>
              <w:ind w:right="113"/>
              <w:jc w:val="right"/>
              <w:rPr>
                <w:color w:val="000000"/>
                <w:sz w:val="16"/>
                <w:szCs w:val="16"/>
              </w:rPr>
            </w:pPr>
            <w:r w:rsidRPr="00EE1448">
              <w:rPr>
                <w:color w:val="000000"/>
                <w:sz w:val="16"/>
                <w:szCs w:val="16"/>
              </w:rPr>
              <w:t>4.5</w:t>
            </w:r>
          </w:p>
        </w:tc>
        <w:tc>
          <w:tcPr>
            <w:tcW w:w="446" w:type="pct"/>
            <w:noWrap/>
            <w:hideMark/>
          </w:tcPr>
          <w:p w14:paraId="06802007" w14:textId="77777777" w:rsidR="00120717" w:rsidRPr="00EE1448" w:rsidRDefault="00120717" w:rsidP="00DA262F">
            <w:pPr>
              <w:ind w:right="113"/>
              <w:jc w:val="right"/>
              <w:rPr>
                <w:color w:val="000000"/>
                <w:sz w:val="16"/>
                <w:szCs w:val="16"/>
              </w:rPr>
            </w:pPr>
            <w:r w:rsidRPr="00EE1448">
              <w:rPr>
                <w:color w:val="000000"/>
                <w:sz w:val="16"/>
                <w:szCs w:val="16"/>
              </w:rPr>
              <w:t>3.7</w:t>
            </w:r>
          </w:p>
        </w:tc>
        <w:tc>
          <w:tcPr>
            <w:tcW w:w="446" w:type="pct"/>
            <w:noWrap/>
            <w:hideMark/>
          </w:tcPr>
          <w:p w14:paraId="7C59554D" w14:textId="77777777" w:rsidR="00120717" w:rsidRPr="00EE1448" w:rsidRDefault="00120717" w:rsidP="00DA262F">
            <w:pPr>
              <w:ind w:right="113"/>
              <w:jc w:val="right"/>
              <w:rPr>
                <w:color w:val="000000"/>
                <w:sz w:val="16"/>
                <w:szCs w:val="16"/>
              </w:rPr>
            </w:pPr>
            <w:r w:rsidRPr="00EE1448">
              <w:rPr>
                <w:color w:val="000000"/>
                <w:sz w:val="16"/>
                <w:szCs w:val="16"/>
              </w:rPr>
              <w:t>3.5</w:t>
            </w:r>
          </w:p>
        </w:tc>
        <w:tc>
          <w:tcPr>
            <w:tcW w:w="446" w:type="pct"/>
            <w:noWrap/>
            <w:hideMark/>
          </w:tcPr>
          <w:p w14:paraId="0A2A63FC" w14:textId="77777777" w:rsidR="00120717" w:rsidRPr="00EE1448" w:rsidRDefault="00120717" w:rsidP="00DA262F">
            <w:pPr>
              <w:ind w:right="113"/>
              <w:jc w:val="right"/>
              <w:rPr>
                <w:color w:val="000000"/>
                <w:sz w:val="16"/>
                <w:szCs w:val="16"/>
              </w:rPr>
            </w:pPr>
            <w:r w:rsidRPr="00EE1448">
              <w:rPr>
                <w:color w:val="000000"/>
                <w:sz w:val="16"/>
                <w:szCs w:val="16"/>
              </w:rPr>
              <w:t>3.5</w:t>
            </w:r>
          </w:p>
        </w:tc>
        <w:tc>
          <w:tcPr>
            <w:tcW w:w="446" w:type="pct"/>
            <w:noWrap/>
            <w:hideMark/>
          </w:tcPr>
          <w:p w14:paraId="174A7B83" w14:textId="77777777" w:rsidR="00120717" w:rsidRPr="00EE1448" w:rsidRDefault="00120717" w:rsidP="00DA262F">
            <w:pPr>
              <w:ind w:right="113"/>
              <w:jc w:val="right"/>
              <w:rPr>
                <w:color w:val="000000"/>
                <w:sz w:val="16"/>
                <w:szCs w:val="16"/>
              </w:rPr>
            </w:pPr>
            <w:r w:rsidRPr="00EE1448">
              <w:rPr>
                <w:color w:val="000000"/>
                <w:sz w:val="16"/>
                <w:szCs w:val="16"/>
              </w:rPr>
              <w:t>3.2</w:t>
            </w:r>
          </w:p>
        </w:tc>
        <w:tc>
          <w:tcPr>
            <w:tcW w:w="446" w:type="pct"/>
            <w:noWrap/>
            <w:hideMark/>
          </w:tcPr>
          <w:p w14:paraId="1F711693" w14:textId="77777777" w:rsidR="00120717" w:rsidRPr="00EE1448" w:rsidRDefault="00120717" w:rsidP="00DA262F">
            <w:pPr>
              <w:ind w:right="113"/>
              <w:jc w:val="right"/>
              <w:rPr>
                <w:color w:val="000000"/>
                <w:sz w:val="16"/>
                <w:szCs w:val="16"/>
              </w:rPr>
            </w:pPr>
            <w:r w:rsidRPr="00EE1448">
              <w:rPr>
                <w:color w:val="000000"/>
                <w:sz w:val="16"/>
                <w:szCs w:val="16"/>
              </w:rPr>
              <w:t>3.4</w:t>
            </w:r>
          </w:p>
        </w:tc>
        <w:tc>
          <w:tcPr>
            <w:tcW w:w="441" w:type="pct"/>
            <w:noWrap/>
            <w:hideMark/>
          </w:tcPr>
          <w:p w14:paraId="507BD1E7" w14:textId="77777777" w:rsidR="00120717" w:rsidRPr="00EE1448" w:rsidRDefault="00120717" w:rsidP="00DA262F">
            <w:pPr>
              <w:ind w:right="113"/>
              <w:jc w:val="right"/>
              <w:rPr>
                <w:color w:val="000000"/>
                <w:sz w:val="16"/>
                <w:szCs w:val="16"/>
              </w:rPr>
            </w:pPr>
            <w:r w:rsidRPr="00EE1448">
              <w:rPr>
                <w:color w:val="000000"/>
                <w:sz w:val="16"/>
                <w:szCs w:val="16"/>
              </w:rPr>
              <w:t>3.1</w:t>
            </w:r>
          </w:p>
        </w:tc>
      </w:tr>
      <w:tr w:rsidR="00120717" w:rsidRPr="00EE1448" w14:paraId="03088C45" w14:textId="77777777" w:rsidTr="004E187B">
        <w:trPr>
          <w:cnfStyle w:val="000000010000" w:firstRow="0" w:lastRow="0" w:firstColumn="0" w:lastColumn="0" w:oddVBand="0" w:evenVBand="0" w:oddHBand="0" w:evenHBand="1" w:firstRowFirstColumn="0" w:firstRowLastColumn="0" w:lastRowFirstColumn="0" w:lastRowLastColumn="0"/>
          <w:trHeight w:val="125"/>
        </w:trPr>
        <w:tc>
          <w:tcPr>
            <w:tcW w:w="1883" w:type="pct"/>
            <w:noWrap/>
            <w:hideMark/>
          </w:tcPr>
          <w:p w14:paraId="1333FA05" w14:textId="77777777" w:rsidR="00120717" w:rsidRPr="00EE1448" w:rsidRDefault="00120717">
            <w:pPr>
              <w:jc w:val="left"/>
              <w:rPr>
                <w:sz w:val="16"/>
                <w:szCs w:val="16"/>
              </w:rPr>
            </w:pPr>
            <w:r w:rsidRPr="00EE1448">
              <w:rPr>
                <w:sz w:val="16"/>
                <w:szCs w:val="16"/>
              </w:rPr>
              <w:tab/>
              <w:t>Canada</w:t>
            </w:r>
          </w:p>
        </w:tc>
        <w:tc>
          <w:tcPr>
            <w:tcW w:w="446" w:type="pct"/>
            <w:noWrap/>
            <w:hideMark/>
          </w:tcPr>
          <w:p w14:paraId="4C0B43B8" w14:textId="77777777" w:rsidR="00120717" w:rsidRPr="00EE1448" w:rsidRDefault="00120717" w:rsidP="00DA262F">
            <w:pPr>
              <w:ind w:right="113"/>
              <w:jc w:val="right"/>
              <w:rPr>
                <w:color w:val="000000"/>
                <w:sz w:val="16"/>
                <w:szCs w:val="16"/>
              </w:rPr>
            </w:pPr>
            <w:r w:rsidRPr="00EE1448">
              <w:rPr>
                <w:color w:val="000000"/>
                <w:sz w:val="16"/>
                <w:szCs w:val="16"/>
              </w:rPr>
              <w:t>1.4</w:t>
            </w:r>
          </w:p>
        </w:tc>
        <w:tc>
          <w:tcPr>
            <w:tcW w:w="446" w:type="pct"/>
            <w:noWrap/>
            <w:hideMark/>
          </w:tcPr>
          <w:p w14:paraId="6731C2A2" w14:textId="77777777" w:rsidR="00120717" w:rsidRPr="00EE1448" w:rsidRDefault="00120717" w:rsidP="00DA262F">
            <w:pPr>
              <w:ind w:right="113"/>
              <w:jc w:val="right"/>
              <w:rPr>
                <w:color w:val="000000"/>
                <w:sz w:val="16"/>
                <w:szCs w:val="16"/>
              </w:rPr>
            </w:pPr>
            <w:r w:rsidRPr="00EE1448">
              <w:rPr>
                <w:color w:val="000000"/>
                <w:sz w:val="16"/>
                <w:szCs w:val="16"/>
              </w:rPr>
              <w:t>1.2</w:t>
            </w:r>
          </w:p>
        </w:tc>
        <w:tc>
          <w:tcPr>
            <w:tcW w:w="446" w:type="pct"/>
            <w:noWrap/>
            <w:hideMark/>
          </w:tcPr>
          <w:p w14:paraId="7B04A40E"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7C1699CE"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0A176342" w14:textId="77777777" w:rsidR="00120717" w:rsidRPr="00EE1448" w:rsidRDefault="00120717" w:rsidP="00DA262F">
            <w:pPr>
              <w:ind w:right="113"/>
              <w:jc w:val="right"/>
              <w:rPr>
                <w:color w:val="000000"/>
                <w:sz w:val="16"/>
                <w:szCs w:val="16"/>
              </w:rPr>
            </w:pPr>
            <w:r w:rsidRPr="00EE1448">
              <w:rPr>
                <w:color w:val="000000"/>
                <w:sz w:val="16"/>
                <w:szCs w:val="16"/>
              </w:rPr>
              <w:t>1.2</w:t>
            </w:r>
          </w:p>
        </w:tc>
        <w:tc>
          <w:tcPr>
            <w:tcW w:w="446" w:type="pct"/>
            <w:noWrap/>
            <w:hideMark/>
          </w:tcPr>
          <w:p w14:paraId="3E479259"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1" w:type="pct"/>
            <w:noWrap/>
            <w:hideMark/>
          </w:tcPr>
          <w:p w14:paraId="5AC64316" w14:textId="77777777" w:rsidR="00120717" w:rsidRPr="00EE1448" w:rsidRDefault="00120717" w:rsidP="00DA262F">
            <w:pPr>
              <w:ind w:right="113"/>
              <w:jc w:val="right"/>
              <w:rPr>
                <w:color w:val="000000"/>
                <w:sz w:val="16"/>
                <w:szCs w:val="16"/>
              </w:rPr>
            </w:pPr>
            <w:r w:rsidRPr="00EE1448">
              <w:rPr>
                <w:color w:val="000000"/>
                <w:sz w:val="16"/>
                <w:szCs w:val="16"/>
              </w:rPr>
              <w:t>1.1</w:t>
            </w:r>
          </w:p>
        </w:tc>
      </w:tr>
      <w:tr w:rsidR="00120717" w:rsidRPr="00EE1448" w14:paraId="120C99E8" w14:textId="77777777" w:rsidTr="004E187B">
        <w:trPr>
          <w:trHeight w:val="71"/>
        </w:trPr>
        <w:tc>
          <w:tcPr>
            <w:tcW w:w="1883" w:type="pct"/>
            <w:noWrap/>
            <w:hideMark/>
          </w:tcPr>
          <w:p w14:paraId="79F9EE68" w14:textId="77777777" w:rsidR="00120717" w:rsidRPr="00EE1448" w:rsidRDefault="00120717">
            <w:pPr>
              <w:jc w:val="left"/>
              <w:rPr>
                <w:sz w:val="16"/>
                <w:szCs w:val="16"/>
              </w:rPr>
            </w:pPr>
            <w:r w:rsidRPr="00EE1448">
              <w:rPr>
                <w:sz w:val="16"/>
                <w:szCs w:val="16"/>
              </w:rPr>
              <w:tab/>
              <w:t>Mexico</w:t>
            </w:r>
          </w:p>
        </w:tc>
        <w:tc>
          <w:tcPr>
            <w:tcW w:w="446" w:type="pct"/>
            <w:noWrap/>
            <w:hideMark/>
          </w:tcPr>
          <w:p w14:paraId="043C0698" w14:textId="77777777" w:rsidR="00120717" w:rsidRPr="00EE1448" w:rsidRDefault="00120717" w:rsidP="00DA262F">
            <w:pPr>
              <w:ind w:right="113"/>
              <w:jc w:val="right"/>
              <w:rPr>
                <w:color w:val="000000"/>
                <w:sz w:val="16"/>
                <w:szCs w:val="16"/>
              </w:rPr>
            </w:pPr>
            <w:r w:rsidRPr="00EE1448">
              <w:rPr>
                <w:color w:val="000000"/>
                <w:sz w:val="16"/>
                <w:szCs w:val="16"/>
              </w:rPr>
              <w:t>0.7</w:t>
            </w:r>
          </w:p>
        </w:tc>
        <w:tc>
          <w:tcPr>
            <w:tcW w:w="446" w:type="pct"/>
            <w:noWrap/>
            <w:hideMark/>
          </w:tcPr>
          <w:p w14:paraId="0DD5B489" w14:textId="77777777" w:rsidR="00120717" w:rsidRPr="00EE1448" w:rsidRDefault="00120717" w:rsidP="00DA262F">
            <w:pPr>
              <w:ind w:right="113"/>
              <w:jc w:val="right"/>
              <w:rPr>
                <w:color w:val="000000"/>
                <w:sz w:val="16"/>
                <w:szCs w:val="16"/>
              </w:rPr>
            </w:pPr>
            <w:r w:rsidRPr="00EE1448">
              <w:rPr>
                <w:color w:val="000000"/>
                <w:sz w:val="16"/>
                <w:szCs w:val="16"/>
              </w:rPr>
              <w:t>1.0</w:t>
            </w:r>
          </w:p>
        </w:tc>
        <w:tc>
          <w:tcPr>
            <w:tcW w:w="446" w:type="pct"/>
            <w:noWrap/>
            <w:hideMark/>
          </w:tcPr>
          <w:p w14:paraId="5A7BB1E7" w14:textId="77777777" w:rsidR="00120717" w:rsidRPr="00EE1448" w:rsidRDefault="00120717" w:rsidP="00DA262F">
            <w:pPr>
              <w:ind w:right="113"/>
              <w:jc w:val="right"/>
              <w:rPr>
                <w:color w:val="000000"/>
                <w:sz w:val="16"/>
                <w:szCs w:val="16"/>
              </w:rPr>
            </w:pPr>
            <w:r w:rsidRPr="00EE1448">
              <w:rPr>
                <w:color w:val="000000"/>
                <w:sz w:val="16"/>
                <w:szCs w:val="16"/>
              </w:rPr>
              <w:t>0.7</w:t>
            </w:r>
          </w:p>
        </w:tc>
        <w:tc>
          <w:tcPr>
            <w:tcW w:w="446" w:type="pct"/>
            <w:noWrap/>
            <w:hideMark/>
          </w:tcPr>
          <w:p w14:paraId="5664C55B"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72F4171C"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19279252" w14:textId="77777777" w:rsidR="00120717" w:rsidRPr="00EE1448" w:rsidRDefault="00120717" w:rsidP="00DA262F">
            <w:pPr>
              <w:ind w:right="113"/>
              <w:jc w:val="right"/>
              <w:rPr>
                <w:color w:val="000000"/>
                <w:sz w:val="16"/>
                <w:szCs w:val="16"/>
              </w:rPr>
            </w:pPr>
            <w:r w:rsidRPr="00EE1448">
              <w:rPr>
                <w:color w:val="000000"/>
                <w:sz w:val="16"/>
                <w:szCs w:val="16"/>
              </w:rPr>
              <w:t>0.5</w:t>
            </w:r>
          </w:p>
        </w:tc>
        <w:tc>
          <w:tcPr>
            <w:tcW w:w="441" w:type="pct"/>
            <w:noWrap/>
            <w:hideMark/>
          </w:tcPr>
          <w:p w14:paraId="1E252517" w14:textId="77777777" w:rsidR="00120717" w:rsidRPr="00EE1448" w:rsidRDefault="00120717" w:rsidP="00DA262F">
            <w:pPr>
              <w:ind w:right="113"/>
              <w:jc w:val="right"/>
              <w:rPr>
                <w:color w:val="000000"/>
                <w:sz w:val="16"/>
                <w:szCs w:val="16"/>
              </w:rPr>
            </w:pPr>
            <w:r w:rsidRPr="00EE1448">
              <w:rPr>
                <w:color w:val="000000"/>
                <w:sz w:val="16"/>
                <w:szCs w:val="16"/>
              </w:rPr>
              <w:t>0.7</w:t>
            </w:r>
          </w:p>
        </w:tc>
      </w:tr>
      <w:tr w:rsidR="00120717" w:rsidRPr="00EE1448" w14:paraId="3DF0120B"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087915C1" w14:textId="77777777" w:rsidR="00120717" w:rsidRPr="00EE1448" w:rsidRDefault="00120717">
            <w:pPr>
              <w:jc w:val="left"/>
              <w:rPr>
                <w:sz w:val="16"/>
                <w:szCs w:val="16"/>
              </w:rPr>
            </w:pPr>
            <w:r w:rsidRPr="00EE1448">
              <w:rPr>
                <w:sz w:val="16"/>
                <w:szCs w:val="16"/>
              </w:rPr>
              <w:t>Europe</w:t>
            </w:r>
          </w:p>
        </w:tc>
        <w:tc>
          <w:tcPr>
            <w:tcW w:w="446" w:type="pct"/>
            <w:noWrap/>
            <w:hideMark/>
          </w:tcPr>
          <w:p w14:paraId="284430A2" w14:textId="77777777" w:rsidR="00120717" w:rsidRPr="00EE1448" w:rsidRDefault="00120717" w:rsidP="00DA262F">
            <w:pPr>
              <w:ind w:right="113"/>
              <w:jc w:val="right"/>
              <w:rPr>
                <w:color w:val="000000"/>
                <w:sz w:val="16"/>
                <w:szCs w:val="16"/>
              </w:rPr>
            </w:pPr>
            <w:r w:rsidRPr="00EE1448">
              <w:rPr>
                <w:color w:val="000000"/>
                <w:sz w:val="16"/>
                <w:szCs w:val="16"/>
              </w:rPr>
              <w:t>11.4</w:t>
            </w:r>
          </w:p>
        </w:tc>
        <w:tc>
          <w:tcPr>
            <w:tcW w:w="446" w:type="pct"/>
            <w:noWrap/>
            <w:hideMark/>
          </w:tcPr>
          <w:p w14:paraId="5B0A6E13" w14:textId="77777777" w:rsidR="00120717" w:rsidRPr="00EE1448" w:rsidRDefault="00120717" w:rsidP="00DA262F">
            <w:pPr>
              <w:ind w:right="113"/>
              <w:jc w:val="right"/>
              <w:rPr>
                <w:color w:val="000000"/>
                <w:sz w:val="16"/>
                <w:szCs w:val="16"/>
              </w:rPr>
            </w:pPr>
            <w:r w:rsidRPr="00EE1448">
              <w:rPr>
                <w:color w:val="000000"/>
                <w:sz w:val="16"/>
                <w:szCs w:val="16"/>
              </w:rPr>
              <w:t>11.0</w:t>
            </w:r>
          </w:p>
        </w:tc>
        <w:tc>
          <w:tcPr>
            <w:tcW w:w="446" w:type="pct"/>
            <w:noWrap/>
            <w:hideMark/>
          </w:tcPr>
          <w:p w14:paraId="3A2DA3B9" w14:textId="77777777" w:rsidR="00120717" w:rsidRPr="00EE1448" w:rsidRDefault="00120717" w:rsidP="00DA262F">
            <w:pPr>
              <w:ind w:right="113"/>
              <w:jc w:val="right"/>
              <w:rPr>
                <w:color w:val="000000"/>
                <w:sz w:val="16"/>
                <w:szCs w:val="16"/>
              </w:rPr>
            </w:pPr>
            <w:r w:rsidRPr="00EE1448">
              <w:rPr>
                <w:color w:val="000000"/>
                <w:sz w:val="16"/>
                <w:szCs w:val="16"/>
              </w:rPr>
              <w:t>10.0</w:t>
            </w:r>
          </w:p>
        </w:tc>
        <w:tc>
          <w:tcPr>
            <w:tcW w:w="446" w:type="pct"/>
            <w:noWrap/>
            <w:hideMark/>
          </w:tcPr>
          <w:p w14:paraId="03EEBB5D" w14:textId="77777777" w:rsidR="00120717" w:rsidRPr="00EE1448" w:rsidRDefault="00120717" w:rsidP="00DA262F">
            <w:pPr>
              <w:ind w:right="113"/>
              <w:jc w:val="right"/>
              <w:rPr>
                <w:color w:val="000000"/>
                <w:sz w:val="16"/>
                <w:szCs w:val="16"/>
              </w:rPr>
            </w:pPr>
            <w:r w:rsidRPr="00EE1448">
              <w:rPr>
                <w:color w:val="000000"/>
                <w:sz w:val="16"/>
                <w:szCs w:val="16"/>
              </w:rPr>
              <w:t>10.4</w:t>
            </w:r>
          </w:p>
        </w:tc>
        <w:tc>
          <w:tcPr>
            <w:tcW w:w="446" w:type="pct"/>
            <w:noWrap/>
            <w:hideMark/>
          </w:tcPr>
          <w:p w14:paraId="78969960" w14:textId="77777777" w:rsidR="00120717" w:rsidRPr="00EE1448" w:rsidRDefault="00120717" w:rsidP="00DA262F">
            <w:pPr>
              <w:ind w:right="113"/>
              <w:jc w:val="right"/>
              <w:rPr>
                <w:color w:val="000000"/>
                <w:sz w:val="16"/>
                <w:szCs w:val="16"/>
              </w:rPr>
            </w:pPr>
            <w:r w:rsidRPr="00EE1448">
              <w:rPr>
                <w:color w:val="000000"/>
                <w:sz w:val="16"/>
                <w:szCs w:val="16"/>
              </w:rPr>
              <w:t>9.6</w:t>
            </w:r>
          </w:p>
        </w:tc>
        <w:tc>
          <w:tcPr>
            <w:tcW w:w="446" w:type="pct"/>
            <w:noWrap/>
            <w:hideMark/>
          </w:tcPr>
          <w:p w14:paraId="4486F9BA" w14:textId="77777777" w:rsidR="00120717" w:rsidRPr="00EE1448" w:rsidRDefault="00120717" w:rsidP="00DA262F">
            <w:pPr>
              <w:ind w:right="113"/>
              <w:jc w:val="right"/>
              <w:rPr>
                <w:color w:val="000000"/>
                <w:sz w:val="16"/>
                <w:szCs w:val="16"/>
              </w:rPr>
            </w:pPr>
            <w:r w:rsidRPr="00EE1448">
              <w:rPr>
                <w:color w:val="000000"/>
                <w:sz w:val="16"/>
                <w:szCs w:val="16"/>
              </w:rPr>
              <w:t>9.5</w:t>
            </w:r>
          </w:p>
        </w:tc>
        <w:tc>
          <w:tcPr>
            <w:tcW w:w="441" w:type="pct"/>
            <w:noWrap/>
            <w:hideMark/>
          </w:tcPr>
          <w:p w14:paraId="0927262C" w14:textId="77777777" w:rsidR="00120717" w:rsidRPr="00EE1448" w:rsidRDefault="00120717" w:rsidP="00DA262F">
            <w:pPr>
              <w:ind w:right="113"/>
              <w:jc w:val="right"/>
              <w:rPr>
                <w:color w:val="000000"/>
                <w:sz w:val="16"/>
                <w:szCs w:val="16"/>
              </w:rPr>
            </w:pPr>
            <w:r w:rsidRPr="00EE1448">
              <w:rPr>
                <w:color w:val="000000"/>
                <w:sz w:val="16"/>
                <w:szCs w:val="16"/>
              </w:rPr>
              <w:t>9.0</w:t>
            </w:r>
          </w:p>
        </w:tc>
      </w:tr>
      <w:tr w:rsidR="00120717" w:rsidRPr="00EE1448" w14:paraId="140DA01A" w14:textId="77777777" w:rsidTr="004E187B">
        <w:trPr>
          <w:trHeight w:val="60"/>
        </w:trPr>
        <w:tc>
          <w:tcPr>
            <w:tcW w:w="1883" w:type="pct"/>
            <w:noWrap/>
            <w:hideMark/>
          </w:tcPr>
          <w:p w14:paraId="3DF10258" w14:textId="77777777" w:rsidR="00120717" w:rsidRPr="00EE1448" w:rsidRDefault="00120717" w:rsidP="00DA262F">
            <w:pPr>
              <w:ind w:left="174"/>
              <w:jc w:val="left"/>
              <w:rPr>
                <w:sz w:val="16"/>
                <w:szCs w:val="16"/>
              </w:rPr>
            </w:pPr>
            <w:r w:rsidRPr="00EE1448">
              <w:rPr>
                <w:sz w:val="16"/>
                <w:szCs w:val="16"/>
              </w:rPr>
              <w:t>EU-27</w:t>
            </w:r>
          </w:p>
        </w:tc>
        <w:tc>
          <w:tcPr>
            <w:tcW w:w="446" w:type="pct"/>
            <w:noWrap/>
            <w:hideMark/>
          </w:tcPr>
          <w:p w14:paraId="61F3B558" w14:textId="77777777" w:rsidR="00120717" w:rsidRPr="00EE1448" w:rsidRDefault="00120717" w:rsidP="00DA262F">
            <w:pPr>
              <w:ind w:right="113"/>
              <w:jc w:val="right"/>
              <w:rPr>
                <w:color w:val="000000"/>
                <w:sz w:val="16"/>
                <w:szCs w:val="16"/>
              </w:rPr>
            </w:pPr>
            <w:r w:rsidRPr="00EE1448">
              <w:rPr>
                <w:color w:val="000000"/>
                <w:sz w:val="16"/>
                <w:szCs w:val="16"/>
              </w:rPr>
              <w:t>6.8</w:t>
            </w:r>
          </w:p>
        </w:tc>
        <w:tc>
          <w:tcPr>
            <w:tcW w:w="446" w:type="pct"/>
            <w:noWrap/>
            <w:hideMark/>
          </w:tcPr>
          <w:p w14:paraId="5D80E6D4" w14:textId="77777777" w:rsidR="00120717" w:rsidRPr="00EE1448" w:rsidRDefault="00120717" w:rsidP="00DA262F">
            <w:pPr>
              <w:ind w:right="113"/>
              <w:jc w:val="right"/>
              <w:rPr>
                <w:color w:val="000000"/>
                <w:sz w:val="16"/>
                <w:szCs w:val="16"/>
              </w:rPr>
            </w:pPr>
            <w:r w:rsidRPr="00EE1448">
              <w:rPr>
                <w:color w:val="000000"/>
                <w:sz w:val="16"/>
                <w:szCs w:val="16"/>
              </w:rPr>
              <w:t>6.7</w:t>
            </w:r>
          </w:p>
        </w:tc>
        <w:tc>
          <w:tcPr>
            <w:tcW w:w="446" w:type="pct"/>
            <w:noWrap/>
            <w:hideMark/>
          </w:tcPr>
          <w:p w14:paraId="35244881" w14:textId="77777777" w:rsidR="00120717" w:rsidRPr="00EE1448" w:rsidRDefault="00120717" w:rsidP="00DA262F">
            <w:pPr>
              <w:ind w:right="113"/>
              <w:jc w:val="right"/>
              <w:rPr>
                <w:color w:val="000000"/>
                <w:sz w:val="16"/>
                <w:szCs w:val="16"/>
              </w:rPr>
            </w:pPr>
            <w:r w:rsidRPr="00EE1448">
              <w:rPr>
                <w:color w:val="000000"/>
                <w:sz w:val="16"/>
                <w:szCs w:val="16"/>
              </w:rPr>
              <w:t>6.2</w:t>
            </w:r>
          </w:p>
        </w:tc>
        <w:tc>
          <w:tcPr>
            <w:tcW w:w="446" w:type="pct"/>
            <w:noWrap/>
            <w:hideMark/>
          </w:tcPr>
          <w:p w14:paraId="4BFE4F82" w14:textId="77777777" w:rsidR="00120717" w:rsidRPr="00EE1448" w:rsidRDefault="00120717" w:rsidP="00DA262F">
            <w:pPr>
              <w:ind w:right="113"/>
              <w:jc w:val="right"/>
              <w:rPr>
                <w:color w:val="000000"/>
                <w:sz w:val="16"/>
                <w:szCs w:val="16"/>
              </w:rPr>
            </w:pPr>
            <w:r w:rsidRPr="00EE1448">
              <w:rPr>
                <w:color w:val="000000"/>
                <w:sz w:val="16"/>
                <w:szCs w:val="16"/>
              </w:rPr>
              <w:t>6.2</w:t>
            </w:r>
          </w:p>
        </w:tc>
        <w:tc>
          <w:tcPr>
            <w:tcW w:w="446" w:type="pct"/>
            <w:noWrap/>
            <w:hideMark/>
          </w:tcPr>
          <w:p w14:paraId="763D157A" w14:textId="77777777" w:rsidR="00120717" w:rsidRPr="00EE1448" w:rsidRDefault="00120717" w:rsidP="00DA262F">
            <w:pPr>
              <w:ind w:right="113"/>
              <w:jc w:val="right"/>
              <w:rPr>
                <w:color w:val="000000"/>
                <w:sz w:val="16"/>
                <w:szCs w:val="16"/>
              </w:rPr>
            </w:pPr>
            <w:r w:rsidRPr="00EE1448">
              <w:rPr>
                <w:color w:val="000000"/>
                <w:sz w:val="16"/>
                <w:szCs w:val="16"/>
              </w:rPr>
              <w:t>5.5</w:t>
            </w:r>
          </w:p>
        </w:tc>
        <w:tc>
          <w:tcPr>
            <w:tcW w:w="446" w:type="pct"/>
            <w:noWrap/>
            <w:hideMark/>
          </w:tcPr>
          <w:p w14:paraId="206DCEB3" w14:textId="77777777" w:rsidR="00120717" w:rsidRPr="00EE1448" w:rsidRDefault="00120717" w:rsidP="00DA262F">
            <w:pPr>
              <w:ind w:right="113"/>
              <w:jc w:val="right"/>
              <w:rPr>
                <w:color w:val="000000"/>
                <w:sz w:val="16"/>
                <w:szCs w:val="16"/>
              </w:rPr>
            </w:pPr>
            <w:r w:rsidRPr="00EE1448">
              <w:rPr>
                <w:color w:val="000000"/>
                <w:sz w:val="16"/>
                <w:szCs w:val="16"/>
              </w:rPr>
              <w:t>5.4</w:t>
            </w:r>
          </w:p>
        </w:tc>
        <w:tc>
          <w:tcPr>
            <w:tcW w:w="441" w:type="pct"/>
            <w:noWrap/>
            <w:hideMark/>
          </w:tcPr>
          <w:p w14:paraId="2F9F79BA" w14:textId="77777777" w:rsidR="00120717" w:rsidRPr="00EE1448" w:rsidRDefault="00120717" w:rsidP="00DA262F">
            <w:pPr>
              <w:ind w:right="113"/>
              <w:jc w:val="right"/>
              <w:rPr>
                <w:color w:val="000000"/>
                <w:sz w:val="16"/>
                <w:szCs w:val="16"/>
              </w:rPr>
            </w:pPr>
            <w:r w:rsidRPr="00EE1448">
              <w:rPr>
                <w:color w:val="000000"/>
                <w:sz w:val="16"/>
                <w:szCs w:val="16"/>
              </w:rPr>
              <w:t>5.1</w:t>
            </w:r>
          </w:p>
        </w:tc>
      </w:tr>
      <w:tr w:rsidR="00120717" w:rsidRPr="00EE1448" w14:paraId="05A04725" w14:textId="77777777" w:rsidTr="004E187B">
        <w:trPr>
          <w:cnfStyle w:val="000000010000" w:firstRow="0" w:lastRow="0" w:firstColumn="0" w:lastColumn="0" w:oddVBand="0" w:evenVBand="0" w:oddHBand="0" w:evenHBand="1" w:firstRowFirstColumn="0" w:firstRowLastColumn="0" w:lastRowFirstColumn="0" w:lastRowLastColumn="0"/>
          <w:trHeight w:val="106"/>
        </w:trPr>
        <w:tc>
          <w:tcPr>
            <w:tcW w:w="1883" w:type="pct"/>
            <w:noWrap/>
            <w:hideMark/>
          </w:tcPr>
          <w:p w14:paraId="69C3BC84" w14:textId="77777777" w:rsidR="00120717" w:rsidRPr="00EE1448" w:rsidRDefault="00120717">
            <w:pPr>
              <w:jc w:val="left"/>
              <w:rPr>
                <w:sz w:val="16"/>
                <w:szCs w:val="16"/>
              </w:rPr>
            </w:pPr>
            <w:r w:rsidRPr="00EE1448">
              <w:rPr>
                <w:sz w:val="16"/>
                <w:szCs w:val="16"/>
              </w:rPr>
              <w:tab/>
              <w:t>Germany</w:t>
            </w:r>
          </w:p>
        </w:tc>
        <w:tc>
          <w:tcPr>
            <w:tcW w:w="446" w:type="pct"/>
            <w:noWrap/>
            <w:hideMark/>
          </w:tcPr>
          <w:p w14:paraId="15240134" w14:textId="77777777" w:rsidR="00120717" w:rsidRPr="00EE1448" w:rsidRDefault="00120717" w:rsidP="00DA262F">
            <w:pPr>
              <w:ind w:right="113"/>
              <w:jc w:val="right"/>
              <w:rPr>
                <w:color w:val="000000"/>
                <w:sz w:val="16"/>
                <w:szCs w:val="16"/>
              </w:rPr>
            </w:pPr>
            <w:r w:rsidRPr="00EE1448">
              <w:rPr>
                <w:color w:val="000000"/>
                <w:sz w:val="16"/>
                <w:szCs w:val="16"/>
              </w:rPr>
              <w:t>1.4</w:t>
            </w:r>
          </w:p>
        </w:tc>
        <w:tc>
          <w:tcPr>
            <w:tcW w:w="446" w:type="pct"/>
            <w:noWrap/>
            <w:hideMark/>
          </w:tcPr>
          <w:p w14:paraId="214ED4ED" w14:textId="77777777" w:rsidR="00120717" w:rsidRPr="00EE1448" w:rsidRDefault="00120717" w:rsidP="00DA262F">
            <w:pPr>
              <w:ind w:right="113"/>
              <w:jc w:val="right"/>
              <w:rPr>
                <w:color w:val="000000"/>
                <w:sz w:val="16"/>
                <w:szCs w:val="16"/>
              </w:rPr>
            </w:pPr>
            <w:r w:rsidRPr="00EE1448">
              <w:rPr>
                <w:color w:val="000000"/>
                <w:sz w:val="16"/>
                <w:szCs w:val="16"/>
              </w:rPr>
              <w:t>1.4</w:t>
            </w:r>
          </w:p>
        </w:tc>
        <w:tc>
          <w:tcPr>
            <w:tcW w:w="446" w:type="pct"/>
            <w:noWrap/>
            <w:hideMark/>
          </w:tcPr>
          <w:p w14:paraId="684B41F1"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2A2D9D15" w14:textId="77777777" w:rsidR="00120717" w:rsidRPr="00EE1448" w:rsidRDefault="00120717" w:rsidP="00DA262F">
            <w:pPr>
              <w:ind w:right="113"/>
              <w:jc w:val="right"/>
              <w:rPr>
                <w:color w:val="000000"/>
                <w:sz w:val="16"/>
                <w:szCs w:val="16"/>
              </w:rPr>
            </w:pPr>
            <w:r w:rsidRPr="00EE1448">
              <w:rPr>
                <w:color w:val="000000"/>
                <w:sz w:val="16"/>
                <w:szCs w:val="16"/>
              </w:rPr>
              <w:t>1.5</w:t>
            </w:r>
          </w:p>
        </w:tc>
        <w:tc>
          <w:tcPr>
            <w:tcW w:w="446" w:type="pct"/>
            <w:noWrap/>
            <w:hideMark/>
          </w:tcPr>
          <w:p w14:paraId="32F00300" w14:textId="77777777" w:rsidR="00120717" w:rsidRPr="00EE1448" w:rsidRDefault="00120717" w:rsidP="00DA262F">
            <w:pPr>
              <w:ind w:right="113"/>
              <w:jc w:val="right"/>
              <w:rPr>
                <w:color w:val="000000"/>
                <w:sz w:val="16"/>
                <w:szCs w:val="16"/>
              </w:rPr>
            </w:pPr>
            <w:r w:rsidRPr="00EE1448">
              <w:rPr>
                <w:color w:val="000000"/>
                <w:sz w:val="16"/>
                <w:szCs w:val="16"/>
              </w:rPr>
              <w:t>1.4</w:t>
            </w:r>
          </w:p>
        </w:tc>
        <w:tc>
          <w:tcPr>
            <w:tcW w:w="446" w:type="pct"/>
            <w:noWrap/>
            <w:hideMark/>
          </w:tcPr>
          <w:p w14:paraId="3CAFDEB5" w14:textId="77777777" w:rsidR="00120717" w:rsidRPr="00EE1448" w:rsidRDefault="00120717" w:rsidP="00DA262F">
            <w:pPr>
              <w:ind w:right="113"/>
              <w:jc w:val="right"/>
              <w:rPr>
                <w:color w:val="000000"/>
                <w:sz w:val="16"/>
                <w:szCs w:val="16"/>
              </w:rPr>
            </w:pPr>
            <w:r w:rsidRPr="00EE1448">
              <w:rPr>
                <w:color w:val="000000"/>
                <w:sz w:val="16"/>
                <w:szCs w:val="16"/>
              </w:rPr>
              <w:t>1.6</w:t>
            </w:r>
          </w:p>
        </w:tc>
        <w:tc>
          <w:tcPr>
            <w:tcW w:w="441" w:type="pct"/>
            <w:noWrap/>
            <w:hideMark/>
          </w:tcPr>
          <w:p w14:paraId="41FF9913" w14:textId="77777777" w:rsidR="00120717" w:rsidRPr="00EE1448" w:rsidRDefault="00120717" w:rsidP="00DA262F">
            <w:pPr>
              <w:ind w:right="113"/>
              <w:jc w:val="right"/>
              <w:rPr>
                <w:color w:val="000000"/>
                <w:sz w:val="16"/>
                <w:szCs w:val="16"/>
              </w:rPr>
            </w:pPr>
            <w:r w:rsidRPr="00EE1448">
              <w:rPr>
                <w:color w:val="000000"/>
                <w:sz w:val="16"/>
                <w:szCs w:val="16"/>
              </w:rPr>
              <w:t>1.3</w:t>
            </w:r>
          </w:p>
        </w:tc>
      </w:tr>
      <w:tr w:rsidR="00120717" w:rsidRPr="00EE1448" w14:paraId="02675C96" w14:textId="77777777" w:rsidTr="004E187B">
        <w:trPr>
          <w:trHeight w:val="60"/>
        </w:trPr>
        <w:tc>
          <w:tcPr>
            <w:tcW w:w="1883" w:type="pct"/>
            <w:noWrap/>
            <w:hideMark/>
          </w:tcPr>
          <w:p w14:paraId="70D616BA" w14:textId="77777777" w:rsidR="00120717" w:rsidRPr="00EE1448" w:rsidRDefault="00120717">
            <w:pPr>
              <w:jc w:val="left"/>
              <w:rPr>
                <w:sz w:val="16"/>
                <w:szCs w:val="16"/>
              </w:rPr>
            </w:pPr>
            <w:r w:rsidRPr="00EE1448">
              <w:rPr>
                <w:sz w:val="16"/>
                <w:szCs w:val="16"/>
              </w:rPr>
              <w:tab/>
              <w:t>Netherlands</w:t>
            </w:r>
          </w:p>
        </w:tc>
        <w:tc>
          <w:tcPr>
            <w:tcW w:w="446" w:type="pct"/>
            <w:noWrap/>
            <w:hideMark/>
          </w:tcPr>
          <w:p w14:paraId="6032D7ED" w14:textId="77777777" w:rsidR="00120717" w:rsidRPr="00EE1448" w:rsidRDefault="00120717" w:rsidP="00DA262F">
            <w:pPr>
              <w:ind w:right="113"/>
              <w:jc w:val="right"/>
              <w:rPr>
                <w:color w:val="000000"/>
                <w:sz w:val="16"/>
                <w:szCs w:val="16"/>
              </w:rPr>
            </w:pPr>
            <w:r w:rsidRPr="00EE1448">
              <w:rPr>
                <w:color w:val="000000"/>
                <w:sz w:val="16"/>
                <w:szCs w:val="16"/>
              </w:rPr>
              <w:t>1.7</w:t>
            </w:r>
          </w:p>
        </w:tc>
        <w:tc>
          <w:tcPr>
            <w:tcW w:w="446" w:type="pct"/>
            <w:noWrap/>
            <w:hideMark/>
          </w:tcPr>
          <w:p w14:paraId="199290C4" w14:textId="77777777" w:rsidR="00120717" w:rsidRPr="00EE1448" w:rsidRDefault="00120717" w:rsidP="00DA262F">
            <w:pPr>
              <w:ind w:right="113"/>
              <w:jc w:val="right"/>
              <w:rPr>
                <w:color w:val="000000"/>
                <w:sz w:val="16"/>
                <w:szCs w:val="16"/>
              </w:rPr>
            </w:pPr>
            <w:r w:rsidRPr="00EE1448">
              <w:rPr>
                <w:color w:val="000000"/>
                <w:sz w:val="16"/>
                <w:szCs w:val="16"/>
              </w:rPr>
              <w:t>1.7</w:t>
            </w:r>
          </w:p>
        </w:tc>
        <w:tc>
          <w:tcPr>
            <w:tcW w:w="446" w:type="pct"/>
            <w:noWrap/>
            <w:hideMark/>
          </w:tcPr>
          <w:p w14:paraId="26C877BC" w14:textId="77777777" w:rsidR="00120717" w:rsidRPr="00EE1448" w:rsidRDefault="00120717" w:rsidP="00DA262F">
            <w:pPr>
              <w:ind w:right="113"/>
              <w:jc w:val="right"/>
              <w:rPr>
                <w:color w:val="000000"/>
                <w:sz w:val="16"/>
                <w:szCs w:val="16"/>
              </w:rPr>
            </w:pPr>
            <w:r w:rsidRPr="00EE1448">
              <w:rPr>
                <w:color w:val="000000"/>
                <w:sz w:val="16"/>
                <w:szCs w:val="16"/>
              </w:rPr>
              <w:t>1.6</w:t>
            </w:r>
          </w:p>
        </w:tc>
        <w:tc>
          <w:tcPr>
            <w:tcW w:w="446" w:type="pct"/>
            <w:noWrap/>
            <w:hideMark/>
          </w:tcPr>
          <w:p w14:paraId="73A63A8A" w14:textId="77777777" w:rsidR="00120717" w:rsidRPr="00EE1448" w:rsidRDefault="00120717" w:rsidP="00DA262F">
            <w:pPr>
              <w:ind w:right="113"/>
              <w:jc w:val="right"/>
              <w:rPr>
                <w:color w:val="000000"/>
                <w:sz w:val="16"/>
                <w:szCs w:val="16"/>
              </w:rPr>
            </w:pPr>
            <w:r w:rsidRPr="00EE1448">
              <w:rPr>
                <w:color w:val="000000"/>
                <w:sz w:val="16"/>
                <w:szCs w:val="16"/>
              </w:rPr>
              <w:t>1.5</w:t>
            </w:r>
          </w:p>
        </w:tc>
        <w:tc>
          <w:tcPr>
            <w:tcW w:w="446" w:type="pct"/>
            <w:noWrap/>
            <w:hideMark/>
          </w:tcPr>
          <w:p w14:paraId="4B20B8C4"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415D2220" w14:textId="77777777" w:rsidR="00120717" w:rsidRPr="00EE1448" w:rsidRDefault="00120717" w:rsidP="00DA262F">
            <w:pPr>
              <w:ind w:right="113"/>
              <w:jc w:val="right"/>
              <w:rPr>
                <w:color w:val="000000"/>
                <w:sz w:val="16"/>
                <w:szCs w:val="16"/>
              </w:rPr>
            </w:pPr>
            <w:r w:rsidRPr="00EE1448">
              <w:rPr>
                <w:color w:val="000000"/>
                <w:sz w:val="16"/>
                <w:szCs w:val="16"/>
              </w:rPr>
              <w:t>1.2</w:t>
            </w:r>
          </w:p>
        </w:tc>
        <w:tc>
          <w:tcPr>
            <w:tcW w:w="441" w:type="pct"/>
            <w:noWrap/>
            <w:hideMark/>
          </w:tcPr>
          <w:p w14:paraId="2CF3072F" w14:textId="77777777" w:rsidR="00120717" w:rsidRPr="00EE1448" w:rsidRDefault="00120717" w:rsidP="00DA262F">
            <w:pPr>
              <w:ind w:right="113"/>
              <w:jc w:val="right"/>
              <w:rPr>
                <w:color w:val="000000"/>
                <w:sz w:val="16"/>
                <w:szCs w:val="16"/>
              </w:rPr>
            </w:pPr>
            <w:r w:rsidRPr="00EE1448">
              <w:rPr>
                <w:color w:val="000000"/>
                <w:sz w:val="16"/>
                <w:szCs w:val="16"/>
              </w:rPr>
              <w:t>1.2</w:t>
            </w:r>
          </w:p>
        </w:tc>
      </w:tr>
      <w:tr w:rsidR="00120717" w:rsidRPr="00EE1448" w14:paraId="175156A5"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5257970C" w14:textId="77777777" w:rsidR="00120717" w:rsidRPr="00EE1448" w:rsidRDefault="00120717">
            <w:pPr>
              <w:jc w:val="left"/>
              <w:rPr>
                <w:sz w:val="16"/>
                <w:szCs w:val="16"/>
              </w:rPr>
            </w:pPr>
            <w:r w:rsidRPr="00EE1448">
              <w:rPr>
                <w:sz w:val="16"/>
                <w:szCs w:val="16"/>
              </w:rPr>
              <w:tab/>
              <w:t>France</w:t>
            </w:r>
          </w:p>
        </w:tc>
        <w:tc>
          <w:tcPr>
            <w:tcW w:w="446" w:type="pct"/>
            <w:noWrap/>
            <w:hideMark/>
          </w:tcPr>
          <w:p w14:paraId="054A75D1" w14:textId="77777777" w:rsidR="00120717" w:rsidRPr="00EE1448" w:rsidRDefault="00120717" w:rsidP="00DA262F">
            <w:pPr>
              <w:ind w:right="113"/>
              <w:jc w:val="right"/>
              <w:rPr>
                <w:color w:val="000000"/>
                <w:sz w:val="16"/>
                <w:szCs w:val="16"/>
              </w:rPr>
            </w:pPr>
            <w:r w:rsidRPr="00EE1448">
              <w:rPr>
                <w:color w:val="000000"/>
                <w:sz w:val="16"/>
                <w:szCs w:val="16"/>
              </w:rPr>
              <w:t>0.8</w:t>
            </w:r>
          </w:p>
        </w:tc>
        <w:tc>
          <w:tcPr>
            <w:tcW w:w="446" w:type="pct"/>
            <w:noWrap/>
            <w:hideMark/>
          </w:tcPr>
          <w:p w14:paraId="14967DDD" w14:textId="77777777" w:rsidR="00120717" w:rsidRPr="00EE1448" w:rsidRDefault="00120717" w:rsidP="00DA262F">
            <w:pPr>
              <w:ind w:right="113"/>
              <w:jc w:val="right"/>
              <w:rPr>
                <w:color w:val="000000"/>
                <w:sz w:val="16"/>
                <w:szCs w:val="16"/>
              </w:rPr>
            </w:pPr>
            <w:r w:rsidRPr="00EE1448">
              <w:rPr>
                <w:color w:val="000000"/>
                <w:sz w:val="16"/>
                <w:szCs w:val="16"/>
              </w:rPr>
              <w:t>0.8</w:t>
            </w:r>
          </w:p>
        </w:tc>
        <w:tc>
          <w:tcPr>
            <w:tcW w:w="446" w:type="pct"/>
            <w:noWrap/>
            <w:hideMark/>
          </w:tcPr>
          <w:p w14:paraId="6C673DD5"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4FBBF735"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79079C91"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340E7198" w14:textId="77777777" w:rsidR="00120717" w:rsidRPr="00EE1448" w:rsidRDefault="00120717" w:rsidP="00DA262F">
            <w:pPr>
              <w:ind w:right="113"/>
              <w:jc w:val="right"/>
              <w:rPr>
                <w:color w:val="000000"/>
                <w:sz w:val="16"/>
                <w:szCs w:val="16"/>
              </w:rPr>
            </w:pPr>
            <w:r w:rsidRPr="00EE1448">
              <w:rPr>
                <w:color w:val="000000"/>
                <w:sz w:val="16"/>
                <w:szCs w:val="16"/>
              </w:rPr>
              <w:t>0.8</w:t>
            </w:r>
          </w:p>
        </w:tc>
        <w:tc>
          <w:tcPr>
            <w:tcW w:w="441" w:type="pct"/>
            <w:noWrap/>
            <w:hideMark/>
          </w:tcPr>
          <w:p w14:paraId="2928A511" w14:textId="77777777" w:rsidR="00120717" w:rsidRPr="00EE1448" w:rsidRDefault="00120717" w:rsidP="00DA262F">
            <w:pPr>
              <w:ind w:right="113"/>
              <w:jc w:val="right"/>
              <w:rPr>
                <w:color w:val="000000"/>
                <w:sz w:val="16"/>
                <w:szCs w:val="16"/>
              </w:rPr>
            </w:pPr>
            <w:r w:rsidRPr="00EE1448">
              <w:rPr>
                <w:color w:val="000000"/>
                <w:sz w:val="16"/>
                <w:szCs w:val="16"/>
              </w:rPr>
              <w:t>0.7</w:t>
            </w:r>
          </w:p>
        </w:tc>
      </w:tr>
      <w:tr w:rsidR="00120717" w:rsidRPr="00EE1448" w14:paraId="0D613341" w14:textId="77777777" w:rsidTr="004E187B">
        <w:trPr>
          <w:trHeight w:val="60"/>
        </w:trPr>
        <w:tc>
          <w:tcPr>
            <w:tcW w:w="1883" w:type="pct"/>
            <w:noWrap/>
            <w:hideMark/>
          </w:tcPr>
          <w:p w14:paraId="2675A6C6" w14:textId="77777777" w:rsidR="00120717" w:rsidRPr="00EE1448" w:rsidRDefault="00120717" w:rsidP="00DA262F">
            <w:pPr>
              <w:ind w:left="174"/>
              <w:jc w:val="left"/>
              <w:rPr>
                <w:sz w:val="16"/>
                <w:szCs w:val="16"/>
              </w:rPr>
            </w:pPr>
            <w:r w:rsidRPr="00EE1448">
              <w:rPr>
                <w:sz w:val="16"/>
                <w:szCs w:val="16"/>
              </w:rPr>
              <w:t>EFTA</w:t>
            </w:r>
          </w:p>
        </w:tc>
        <w:tc>
          <w:tcPr>
            <w:tcW w:w="446" w:type="pct"/>
            <w:noWrap/>
            <w:hideMark/>
          </w:tcPr>
          <w:p w14:paraId="0A8BC191" w14:textId="77777777" w:rsidR="00120717" w:rsidRPr="00EE1448" w:rsidRDefault="00120717" w:rsidP="00DA262F">
            <w:pPr>
              <w:ind w:right="113"/>
              <w:jc w:val="right"/>
              <w:rPr>
                <w:color w:val="000000"/>
                <w:sz w:val="16"/>
                <w:szCs w:val="16"/>
              </w:rPr>
            </w:pPr>
            <w:r w:rsidRPr="00EE1448">
              <w:rPr>
                <w:color w:val="000000"/>
                <w:sz w:val="16"/>
                <w:szCs w:val="16"/>
              </w:rPr>
              <w:t>0.3</w:t>
            </w:r>
          </w:p>
        </w:tc>
        <w:tc>
          <w:tcPr>
            <w:tcW w:w="446" w:type="pct"/>
            <w:noWrap/>
            <w:hideMark/>
          </w:tcPr>
          <w:p w14:paraId="2E8D7DAA" w14:textId="77777777" w:rsidR="00120717" w:rsidRPr="00EE1448" w:rsidRDefault="00120717" w:rsidP="00DA262F">
            <w:pPr>
              <w:ind w:right="113"/>
              <w:jc w:val="right"/>
              <w:rPr>
                <w:color w:val="000000"/>
                <w:sz w:val="16"/>
                <w:szCs w:val="16"/>
              </w:rPr>
            </w:pPr>
            <w:r w:rsidRPr="00EE1448">
              <w:rPr>
                <w:color w:val="000000"/>
                <w:sz w:val="16"/>
                <w:szCs w:val="16"/>
              </w:rPr>
              <w:t>0.3</w:t>
            </w:r>
          </w:p>
        </w:tc>
        <w:tc>
          <w:tcPr>
            <w:tcW w:w="446" w:type="pct"/>
            <w:noWrap/>
            <w:hideMark/>
          </w:tcPr>
          <w:p w14:paraId="051AC01F" w14:textId="77777777" w:rsidR="00120717" w:rsidRPr="00EE1448" w:rsidRDefault="00120717" w:rsidP="00DA262F">
            <w:pPr>
              <w:ind w:right="113"/>
              <w:jc w:val="right"/>
              <w:rPr>
                <w:color w:val="000000"/>
                <w:sz w:val="16"/>
                <w:szCs w:val="16"/>
              </w:rPr>
            </w:pPr>
            <w:r w:rsidRPr="00EE1448">
              <w:rPr>
                <w:color w:val="000000"/>
                <w:sz w:val="16"/>
                <w:szCs w:val="16"/>
              </w:rPr>
              <w:t>0.3</w:t>
            </w:r>
          </w:p>
        </w:tc>
        <w:tc>
          <w:tcPr>
            <w:tcW w:w="446" w:type="pct"/>
            <w:noWrap/>
            <w:hideMark/>
          </w:tcPr>
          <w:p w14:paraId="6E49252C" w14:textId="77777777" w:rsidR="00120717" w:rsidRPr="00EE1448" w:rsidRDefault="00120717" w:rsidP="00DA262F">
            <w:pPr>
              <w:ind w:right="113"/>
              <w:jc w:val="right"/>
              <w:rPr>
                <w:color w:val="000000"/>
                <w:sz w:val="16"/>
                <w:szCs w:val="16"/>
              </w:rPr>
            </w:pPr>
            <w:r w:rsidRPr="00EE1448">
              <w:rPr>
                <w:color w:val="000000"/>
                <w:sz w:val="16"/>
                <w:szCs w:val="16"/>
              </w:rPr>
              <w:t>0.3</w:t>
            </w:r>
          </w:p>
        </w:tc>
        <w:tc>
          <w:tcPr>
            <w:tcW w:w="446" w:type="pct"/>
            <w:noWrap/>
            <w:hideMark/>
          </w:tcPr>
          <w:p w14:paraId="072406DE" w14:textId="77777777" w:rsidR="00120717" w:rsidRPr="00EE1448" w:rsidRDefault="00120717" w:rsidP="00DA262F">
            <w:pPr>
              <w:ind w:right="113"/>
              <w:jc w:val="right"/>
              <w:rPr>
                <w:color w:val="000000"/>
                <w:sz w:val="16"/>
                <w:szCs w:val="16"/>
              </w:rPr>
            </w:pPr>
            <w:r w:rsidRPr="00EE1448">
              <w:rPr>
                <w:color w:val="000000"/>
                <w:sz w:val="16"/>
                <w:szCs w:val="16"/>
              </w:rPr>
              <w:t>0.4</w:t>
            </w:r>
          </w:p>
        </w:tc>
        <w:tc>
          <w:tcPr>
            <w:tcW w:w="446" w:type="pct"/>
            <w:noWrap/>
            <w:hideMark/>
          </w:tcPr>
          <w:p w14:paraId="0C282C1F" w14:textId="77777777" w:rsidR="00120717" w:rsidRPr="00EE1448" w:rsidRDefault="00120717" w:rsidP="00DA262F">
            <w:pPr>
              <w:ind w:right="113"/>
              <w:jc w:val="right"/>
              <w:rPr>
                <w:color w:val="000000"/>
                <w:sz w:val="16"/>
                <w:szCs w:val="16"/>
              </w:rPr>
            </w:pPr>
            <w:r w:rsidRPr="00EE1448">
              <w:rPr>
                <w:color w:val="000000"/>
                <w:sz w:val="16"/>
                <w:szCs w:val="16"/>
              </w:rPr>
              <w:t>0.3</w:t>
            </w:r>
          </w:p>
        </w:tc>
        <w:tc>
          <w:tcPr>
            <w:tcW w:w="441" w:type="pct"/>
            <w:noWrap/>
            <w:hideMark/>
          </w:tcPr>
          <w:p w14:paraId="7C3160F3" w14:textId="77777777" w:rsidR="00120717" w:rsidRPr="00EE1448" w:rsidRDefault="00120717" w:rsidP="00DA262F">
            <w:pPr>
              <w:ind w:right="113"/>
              <w:jc w:val="right"/>
              <w:rPr>
                <w:color w:val="000000"/>
                <w:sz w:val="16"/>
                <w:szCs w:val="16"/>
              </w:rPr>
            </w:pPr>
            <w:r w:rsidRPr="00EE1448">
              <w:rPr>
                <w:color w:val="000000"/>
                <w:sz w:val="16"/>
                <w:szCs w:val="16"/>
              </w:rPr>
              <w:t>0.3</w:t>
            </w:r>
          </w:p>
        </w:tc>
      </w:tr>
      <w:tr w:rsidR="00120717" w:rsidRPr="00EE1448" w14:paraId="1997E51A"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64F80A85" w14:textId="77777777" w:rsidR="00120717" w:rsidRPr="00EE1448" w:rsidRDefault="00120717" w:rsidP="00DA262F">
            <w:pPr>
              <w:ind w:left="174"/>
              <w:jc w:val="left"/>
              <w:rPr>
                <w:sz w:val="16"/>
                <w:szCs w:val="16"/>
              </w:rPr>
            </w:pPr>
            <w:r w:rsidRPr="00EE1448">
              <w:rPr>
                <w:sz w:val="16"/>
                <w:szCs w:val="16"/>
              </w:rPr>
              <w:t>Other Europe</w:t>
            </w:r>
          </w:p>
        </w:tc>
        <w:tc>
          <w:tcPr>
            <w:tcW w:w="446" w:type="pct"/>
            <w:noWrap/>
            <w:hideMark/>
          </w:tcPr>
          <w:p w14:paraId="1AB87C37" w14:textId="77777777" w:rsidR="00120717" w:rsidRPr="00EE1448" w:rsidRDefault="00120717" w:rsidP="00DA262F">
            <w:pPr>
              <w:ind w:right="113"/>
              <w:jc w:val="right"/>
              <w:rPr>
                <w:color w:val="000000"/>
                <w:sz w:val="16"/>
                <w:szCs w:val="16"/>
              </w:rPr>
            </w:pPr>
            <w:r w:rsidRPr="00EE1448">
              <w:rPr>
                <w:color w:val="000000"/>
                <w:sz w:val="16"/>
                <w:szCs w:val="16"/>
              </w:rPr>
              <w:t>4.3</w:t>
            </w:r>
          </w:p>
        </w:tc>
        <w:tc>
          <w:tcPr>
            <w:tcW w:w="446" w:type="pct"/>
            <w:noWrap/>
            <w:hideMark/>
          </w:tcPr>
          <w:p w14:paraId="32821309" w14:textId="77777777" w:rsidR="00120717" w:rsidRPr="00EE1448" w:rsidRDefault="00120717" w:rsidP="00DA262F">
            <w:pPr>
              <w:ind w:right="113"/>
              <w:jc w:val="right"/>
              <w:rPr>
                <w:color w:val="000000"/>
                <w:sz w:val="16"/>
                <w:szCs w:val="16"/>
              </w:rPr>
            </w:pPr>
            <w:r w:rsidRPr="00EE1448">
              <w:rPr>
                <w:color w:val="000000"/>
                <w:sz w:val="16"/>
                <w:szCs w:val="16"/>
              </w:rPr>
              <w:t>4.0</w:t>
            </w:r>
          </w:p>
        </w:tc>
        <w:tc>
          <w:tcPr>
            <w:tcW w:w="446" w:type="pct"/>
            <w:noWrap/>
            <w:hideMark/>
          </w:tcPr>
          <w:p w14:paraId="43211DEE" w14:textId="77777777" w:rsidR="00120717" w:rsidRPr="00EE1448" w:rsidRDefault="00120717" w:rsidP="00DA262F">
            <w:pPr>
              <w:ind w:right="113"/>
              <w:jc w:val="right"/>
              <w:rPr>
                <w:color w:val="000000"/>
                <w:sz w:val="16"/>
                <w:szCs w:val="16"/>
              </w:rPr>
            </w:pPr>
            <w:r w:rsidRPr="00EE1448">
              <w:rPr>
                <w:color w:val="000000"/>
                <w:sz w:val="16"/>
                <w:szCs w:val="16"/>
              </w:rPr>
              <w:t>3.5</w:t>
            </w:r>
          </w:p>
        </w:tc>
        <w:tc>
          <w:tcPr>
            <w:tcW w:w="446" w:type="pct"/>
            <w:noWrap/>
            <w:hideMark/>
          </w:tcPr>
          <w:p w14:paraId="68860F3F" w14:textId="77777777" w:rsidR="00120717" w:rsidRPr="00EE1448" w:rsidRDefault="00120717" w:rsidP="00DA262F">
            <w:pPr>
              <w:ind w:right="113"/>
              <w:jc w:val="right"/>
              <w:rPr>
                <w:color w:val="000000"/>
                <w:sz w:val="16"/>
                <w:szCs w:val="16"/>
              </w:rPr>
            </w:pPr>
            <w:r w:rsidRPr="00EE1448">
              <w:rPr>
                <w:color w:val="000000"/>
                <w:sz w:val="16"/>
                <w:szCs w:val="16"/>
              </w:rPr>
              <w:t>3.9</w:t>
            </w:r>
          </w:p>
        </w:tc>
        <w:tc>
          <w:tcPr>
            <w:tcW w:w="446" w:type="pct"/>
            <w:noWrap/>
            <w:hideMark/>
          </w:tcPr>
          <w:p w14:paraId="7A03D147" w14:textId="77777777" w:rsidR="00120717" w:rsidRPr="00EE1448" w:rsidRDefault="00120717" w:rsidP="00DA262F">
            <w:pPr>
              <w:ind w:right="113"/>
              <w:jc w:val="right"/>
              <w:rPr>
                <w:color w:val="000000"/>
                <w:sz w:val="16"/>
                <w:szCs w:val="16"/>
              </w:rPr>
            </w:pPr>
            <w:r w:rsidRPr="00EE1448">
              <w:rPr>
                <w:color w:val="000000"/>
                <w:sz w:val="16"/>
                <w:szCs w:val="16"/>
              </w:rPr>
              <w:t>3.7</w:t>
            </w:r>
          </w:p>
        </w:tc>
        <w:tc>
          <w:tcPr>
            <w:tcW w:w="446" w:type="pct"/>
            <w:noWrap/>
            <w:hideMark/>
          </w:tcPr>
          <w:p w14:paraId="7F80987C" w14:textId="77777777" w:rsidR="00120717" w:rsidRPr="00EE1448" w:rsidRDefault="00120717" w:rsidP="00DA262F">
            <w:pPr>
              <w:ind w:right="113"/>
              <w:jc w:val="right"/>
              <w:rPr>
                <w:color w:val="000000"/>
                <w:sz w:val="16"/>
                <w:szCs w:val="16"/>
              </w:rPr>
            </w:pPr>
            <w:r w:rsidRPr="00EE1448">
              <w:rPr>
                <w:color w:val="000000"/>
                <w:sz w:val="16"/>
                <w:szCs w:val="16"/>
              </w:rPr>
              <w:t>3.9</w:t>
            </w:r>
          </w:p>
        </w:tc>
        <w:tc>
          <w:tcPr>
            <w:tcW w:w="441" w:type="pct"/>
            <w:noWrap/>
            <w:hideMark/>
          </w:tcPr>
          <w:p w14:paraId="0366CB74" w14:textId="77777777" w:rsidR="00120717" w:rsidRPr="00EE1448" w:rsidRDefault="00120717" w:rsidP="00DA262F">
            <w:pPr>
              <w:ind w:right="113"/>
              <w:jc w:val="right"/>
              <w:rPr>
                <w:color w:val="000000"/>
                <w:sz w:val="16"/>
                <w:szCs w:val="16"/>
              </w:rPr>
            </w:pPr>
            <w:r w:rsidRPr="00EE1448">
              <w:rPr>
                <w:color w:val="000000"/>
                <w:sz w:val="16"/>
                <w:szCs w:val="16"/>
              </w:rPr>
              <w:t>3.6</w:t>
            </w:r>
          </w:p>
        </w:tc>
      </w:tr>
      <w:tr w:rsidR="00120717" w:rsidRPr="00EE1448" w14:paraId="4859D57E" w14:textId="77777777" w:rsidTr="004E187B">
        <w:trPr>
          <w:trHeight w:val="60"/>
        </w:trPr>
        <w:tc>
          <w:tcPr>
            <w:tcW w:w="1883" w:type="pct"/>
            <w:noWrap/>
            <w:hideMark/>
          </w:tcPr>
          <w:p w14:paraId="733CE69E" w14:textId="77777777" w:rsidR="00120717" w:rsidRPr="00EE1448" w:rsidRDefault="00120717">
            <w:pPr>
              <w:jc w:val="left"/>
              <w:rPr>
                <w:sz w:val="16"/>
                <w:szCs w:val="16"/>
              </w:rPr>
            </w:pPr>
            <w:r w:rsidRPr="00EE1448">
              <w:rPr>
                <w:sz w:val="16"/>
                <w:szCs w:val="16"/>
              </w:rPr>
              <w:tab/>
              <w:t>United Kingdom</w:t>
            </w:r>
          </w:p>
        </w:tc>
        <w:tc>
          <w:tcPr>
            <w:tcW w:w="446" w:type="pct"/>
            <w:noWrap/>
            <w:hideMark/>
          </w:tcPr>
          <w:p w14:paraId="026822E1" w14:textId="77777777" w:rsidR="00120717" w:rsidRPr="00EE1448" w:rsidRDefault="00120717" w:rsidP="00DA262F">
            <w:pPr>
              <w:ind w:right="113"/>
              <w:jc w:val="right"/>
              <w:rPr>
                <w:color w:val="000000"/>
                <w:sz w:val="16"/>
                <w:szCs w:val="16"/>
              </w:rPr>
            </w:pPr>
            <w:r w:rsidRPr="00EE1448">
              <w:rPr>
                <w:color w:val="000000"/>
                <w:sz w:val="16"/>
                <w:szCs w:val="16"/>
              </w:rPr>
              <w:t>3.4</w:t>
            </w:r>
          </w:p>
        </w:tc>
        <w:tc>
          <w:tcPr>
            <w:tcW w:w="446" w:type="pct"/>
            <w:noWrap/>
            <w:hideMark/>
          </w:tcPr>
          <w:p w14:paraId="700EBF5E" w14:textId="77777777" w:rsidR="00120717" w:rsidRPr="00EE1448" w:rsidRDefault="00120717" w:rsidP="00DA262F">
            <w:pPr>
              <w:ind w:right="113"/>
              <w:jc w:val="right"/>
              <w:rPr>
                <w:color w:val="000000"/>
                <w:sz w:val="16"/>
                <w:szCs w:val="16"/>
              </w:rPr>
            </w:pPr>
            <w:r w:rsidRPr="00EE1448">
              <w:rPr>
                <w:color w:val="000000"/>
                <w:sz w:val="16"/>
                <w:szCs w:val="16"/>
              </w:rPr>
              <w:t>3.0</w:t>
            </w:r>
          </w:p>
        </w:tc>
        <w:tc>
          <w:tcPr>
            <w:tcW w:w="446" w:type="pct"/>
            <w:noWrap/>
            <w:hideMark/>
          </w:tcPr>
          <w:p w14:paraId="00D06ABF" w14:textId="77777777" w:rsidR="00120717" w:rsidRPr="00EE1448" w:rsidRDefault="00120717" w:rsidP="00DA262F">
            <w:pPr>
              <w:ind w:right="113"/>
              <w:jc w:val="right"/>
              <w:rPr>
                <w:color w:val="000000"/>
                <w:sz w:val="16"/>
                <w:szCs w:val="16"/>
              </w:rPr>
            </w:pPr>
            <w:r w:rsidRPr="00EE1448">
              <w:rPr>
                <w:color w:val="000000"/>
                <w:sz w:val="16"/>
                <w:szCs w:val="16"/>
              </w:rPr>
              <w:t>2.7</w:t>
            </w:r>
          </w:p>
        </w:tc>
        <w:tc>
          <w:tcPr>
            <w:tcW w:w="446" w:type="pct"/>
            <w:noWrap/>
            <w:hideMark/>
          </w:tcPr>
          <w:p w14:paraId="569BD3AA" w14:textId="77777777" w:rsidR="00120717" w:rsidRPr="00EE1448" w:rsidRDefault="00120717" w:rsidP="00DA262F">
            <w:pPr>
              <w:ind w:right="113"/>
              <w:jc w:val="right"/>
              <w:rPr>
                <w:color w:val="000000"/>
                <w:sz w:val="16"/>
                <w:szCs w:val="16"/>
              </w:rPr>
            </w:pPr>
            <w:r w:rsidRPr="00EE1448">
              <w:rPr>
                <w:color w:val="000000"/>
                <w:sz w:val="16"/>
                <w:szCs w:val="16"/>
              </w:rPr>
              <w:t>2.7</w:t>
            </w:r>
          </w:p>
        </w:tc>
        <w:tc>
          <w:tcPr>
            <w:tcW w:w="446" w:type="pct"/>
            <w:noWrap/>
            <w:hideMark/>
          </w:tcPr>
          <w:p w14:paraId="3313F607" w14:textId="77777777" w:rsidR="00120717" w:rsidRPr="00EE1448" w:rsidRDefault="00120717" w:rsidP="00DA262F">
            <w:pPr>
              <w:ind w:right="113"/>
              <w:jc w:val="right"/>
              <w:rPr>
                <w:color w:val="000000"/>
                <w:sz w:val="16"/>
                <w:szCs w:val="16"/>
              </w:rPr>
            </w:pPr>
            <w:r w:rsidRPr="00EE1448">
              <w:rPr>
                <w:color w:val="000000"/>
                <w:sz w:val="16"/>
                <w:szCs w:val="16"/>
              </w:rPr>
              <w:t>2.5</w:t>
            </w:r>
          </w:p>
        </w:tc>
        <w:tc>
          <w:tcPr>
            <w:tcW w:w="446" w:type="pct"/>
            <w:noWrap/>
            <w:hideMark/>
          </w:tcPr>
          <w:p w14:paraId="1FD2449C" w14:textId="77777777" w:rsidR="00120717" w:rsidRPr="00EE1448" w:rsidRDefault="00120717" w:rsidP="00DA262F">
            <w:pPr>
              <w:ind w:right="113"/>
              <w:jc w:val="right"/>
              <w:rPr>
                <w:color w:val="000000"/>
                <w:sz w:val="16"/>
                <w:szCs w:val="16"/>
              </w:rPr>
            </w:pPr>
            <w:r w:rsidRPr="00EE1448">
              <w:rPr>
                <w:color w:val="000000"/>
                <w:sz w:val="16"/>
                <w:szCs w:val="16"/>
              </w:rPr>
              <w:t>2.5</w:t>
            </w:r>
          </w:p>
        </w:tc>
        <w:tc>
          <w:tcPr>
            <w:tcW w:w="441" w:type="pct"/>
            <w:noWrap/>
            <w:hideMark/>
          </w:tcPr>
          <w:p w14:paraId="609ED4E2" w14:textId="77777777" w:rsidR="00120717" w:rsidRPr="00EE1448" w:rsidRDefault="00120717" w:rsidP="00DA262F">
            <w:pPr>
              <w:ind w:right="113"/>
              <w:jc w:val="right"/>
              <w:rPr>
                <w:color w:val="000000"/>
                <w:sz w:val="16"/>
                <w:szCs w:val="16"/>
              </w:rPr>
            </w:pPr>
            <w:r w:rsidRPr="00EE1448">
              <w:rPr>
                <w:color w:val="000000"/>
                <w:sz w:val="16"/>
                <w:szCs w:val="16"/>
              </w:rPr>
              <w:t>2.2</w:t>
            </w:r>
          </w:p>
        </w:tc>
      </w:tr>
      <w:tr w:rsidR="00120717" w:rsidRPr="00EE1448" w14:paraId="3E688F78"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39601220" w14:textId="77777777" w:rsidR="00120717" w:rsidRPr="00EE1448" w:rsidRDefault="00120717">
            <w:pPr>
              <w:jc w:val="left"/>
              <w:rPr>
                <w:sz w:val="16"/>
                <w:szCs w:val="16"/>
              </w:rPr>
            </w:pPr>
            <w:r w:rsidRPr="00EE1448">
              <w:rPr>
                <w:sz w:val="16"/>
                <w:szCs w:val="16"/>
              </w:rPr>
              <w:tab/>
              <w:t xml:space="preserve">Other Europe, </w:t>
            </w:r>
            <w:proofErr w:type="spellStart"/>
            <w:r w:rsidRPr="00EE1448">
              <w:rPr>
                <w:sz w:val="16"/>
                <w:szCs w:val="16"/>
              </w:rPr>
              <w:t>n.e.s.</w:t>
            </w:r>
            <w:proofErr w:type="spellEnd"/>
          </w:p>
        </w:tc>
        <w:tc>
          <w:tcPr>
            <w:tcW w:w="446" w:type="pct"/>
            <w:noWrap/>
            <w:hideMark/>
          </w:tcPr>
          <w:p w14:paraId="35A416D0"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730C0473" w14:textId="77777777" w:rsidR="00120717" w:rsidRPr="00EE1448" w:rsidRDefault="00120717" w:rsidP="00DA262F">
            <w:pPr>
              <w:ind w:right="113"/>
              <w:jc w:val="right"/>
              <w:rPr>
                <w:color w:val="000000"/>
                <w:sz w:val="16"/>
                <w:szCs w:val="16"/>
              </w:rPr>
            </w:pPr>
            <w:r w:rsidRPr="00EE1448">
              <w:rPr>
                <w:color w:val="000000"/>
                <w:sz w:val="16"/>
                <w:szCs w:val="16"/>
              </w:rPr>
              <w:t>0.7</w:t>
            </w:r>
          </w:p>
        </w:tc>
        <w:tc>
          <w:tcPr>
            <w:tcW w:w="446" w:type="pct"/>
            <w:noWrap/>
            <w:hideMark/>
          </w:tcPr>
          <w:p w14:paraId="2F139648"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1D790E37" w14:textId="77777777" w:rsidR="00120717" w:rsidRPr="00EE1448" w:rsidRDefault="00120717" w:rsidP="00DA262F">
            <w:pPr>
              <w:ind w:right="113"/>
              <w:jc w:val="right"/>
              <w:rPr>
                <w:color w:val="000000"/>
                <w:sz w:val="16"/>
                <w:szCs w:val="16"/>
              </w:rPr>
            </w:pPr>
            <w:r w:rsidRPr="00EE1448">
              <w:rPr>
                <w:color w:val="000000"/>
                <w:sz w:val="16"/>
                <w:szCs w:val="16"/>
              </w:rPr>
              <w:t>1.1</w:t>
            </w:r>
          </w:p>
        </w:tc>
        <w:tc>
          <w:tcPr>
            <w:tcW w:w="446" w:type="pct"/>
            <w:noWrap/>
            <w:hideMark/>
          </w:tcPr>
          <w:p w14:paraId="48232773" w14:textId="77777777" w:rsidR="00120717" w:rsidRPr="00EE1448" w:rsidRDefault="00120717" w:rsidP="00DA262F">
            <w:pPr>
              <w:ind w:right="113"/>
              <w:jc w:val="right"/>
              <w:rPr>
                <w:color w:val="000000"/>
                <w:sz w:val="16"/>
                <w:szCs w:val="16"/>
              </w:rPr>
            </w:pPr>
            <w:r w:rsidRPr="00EE1448">
              <w:rPr>
                <w:color w:val="000000"/>
                <w:sz w:val="16"/>
                <w:szCs w:val="16"/>
              </w:rPr>
              <w:t>1.0</w:t>
            </w:r>
          </w:p>
        </w:tc>
        <w:tc>
          <w:tcPr>
            <w:tcW w:w="446" w:type="pct"/>
            <w:noWrap/>
            <w:hideMark/>
          </w:tcPr>
          <w:p w14:paraId="07AD4DF5" w14:textId="77777777" w:rsidR="00120717" w:rsidRPr="00EE1448" w:rsidRDefault="00120717" w:rsidP="00DA262F">
            <w:pPr>
              <w:ind w:right="113"/>
              <w:jc w:val="right"/>
              <w:rPr>
                <w:color w:val="000000"/>
                <w:sz w:val="16"/>
                <w:szCs w:val="16"/>
              </w:rPr>
            </w:pPr>
            <w:r w:rsidRPr="00EE1448">
              <w:rPr>
                <w:color w:val="000000"/>
                <w:sz w:val="16"/>
                <w:szCs w:val="16"/>
              </w:rPr>
              <w:t>1.2</w:t>
            </w:r>
          </w:p>
        </w:tc>
        <w:tc>
          <w:tcPr>
            <w:tcW w:w="441" w:type="pct"/>
            <w:noWrap/>
            <w:hideMark/>
          </w:tcPr>
          <w:p w14:paraId="1E94680D" w14:textId="77777777" w:rsidR="00120717" w:rsidRPr="00EE1448" w:rsidRDefault="00120717" w:rsidP="00DA262F">
            <w:pPr>
              <w:ind w:right="113"/>
              <w:jc w:val="right"/>
              <w:rPr>
                <w:color w:val="000000"/>
                <w:sz w:val="16"/>
                <w:szCs w:val="16"/>
              </w:rPr>
            </w:pPr>
            <w:r w:rsidRPr="00EE1448">
              <w:rPr>
                <w:color w:val="000000"/>
                <w:sz w:val="16"/>
                <w:szCs w:val="16"/>
              </w:rPr>
              <w:t>1.3</w:t>
            </w:r>
          </w:p>
        </w:tc>
      </w:tr>
      <w:tr w:rsidR="00120717" w:rsidRPr="00EE1448" w14:paraId="17320EAA" w14:textId="77777777" w:rsidTr="004E187B">
        <w:trPr>
          <w:trHeight w:val="60"/>
        </w:trPr>
        <w:tc>
          <w:tcPr>
            <w:tcW w:w="1883" w:type="pct"/>
            <w:noWrap/>
            <w:hideMark/>
          </w:tcPr>
          <w:p w14:paraId="4C54B2C7" w14:textId="77777777" w:rsidR="00120717" w:rsidRPr="00EE1448" w:rsidRDefault="00120717">
            <w:pPr>
              <w:jc w:val="left"/>
              <w:rPr>
                <w:sz w:val="16"/>
                <w:szCs w:val="16"/>
              </w:rPr>
            </w:pPr>
            <w:proofErr w:type="spellStart"/>
            <w:r w:rsidRPr="00EE1448">
              <w:rPr>
                <w:sz w:val="16"/>
                <w:szCs w:val="16"/>
              </w:rPr>
              <w:t>CIS</w:t>
            </w:r>
            <w:r w:rsidRPr="00EE1448">
              <w:rPr>
                <w:sz w:val="16"/>
                <w:szCs w:val="16"/>
                <w:vertAlign w:val="superscript"/>
              </w:rPr>
              <w:t>a</w:t>
            </w:r>
            <w:proofErr w:type="spellEnd"/>
          </w:p>
        </w:tc>
        <w:tc>
          <w:tcPr>
            <w:tcW w:w="446" w:type="pct"/>
            <w:noWrap/>
            <w:hideMark/>
          </w:tcPr>
          <w:p w14:paraId="685B615E" w14:textId="77777777" w:rsidR="00120717" w:rsidRPr="00EE1448" w:rsidRDefault="00120717" w:rsidP="00DA262F">
            <w:pPr>
              <w:ind w:right="113"/>
              <w:jc w:val="right"/>
              <w:rPr>
                <w:color w:val="000000"/>
                <w:sz w:val="16"/>
                <w:szCs w:val="16"/>
              </w:rPr>
            </w:pPr>
            <w:r w:rsidRPr="00EE1448">
              <w:rPr>
                <w:color w:val="000000"/>
                <w:sz w:val="16"/>
                <w:szCs w:val="16"/>
              </w:rPr>
              <w:t>0.5</w:t>
            </w:r>
          </w:p>
        </w:tc>
        <w:tc>
          <w:tcPr>
            <w:tcW w:w="446" w:type="pct"/>
            <w:noWrap/>
            <w:hideMark/>
          </w:tcPr>
          <w:p w14:paraId="14B354A1"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3EC2532B"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3FFD78AE" w14:textId="77777777" w:rsidR="00120717" w:rsidRPr="00EE1448" w:rsidRDefault="00120717" w:rsidP="00DA262F">
            <w:pPr>
              <w:ind w:right="113"/>
              <w:jc w:val="right"/>
              <w:rPr>
                <w:color w:val="000000"/>
                <w:sz w:val="16"/>
                <w:szCs w:val="16"/>
              </w:rPr>
            </w:pPr>
            <w:r w:rsidRPr="00EE1448">
              <w:rPr>
                <w:color w:val="000000"/>
                <w:sz w:val="16"/>
                <w:szCs w:val="16"/>
              </w:rPr>
              <w:t>0.4</w:t>
            </w:r>
          </w:p>
        </w:tc>
        <w:tc>
          <w:tcPr>
            <w:tcW w:w="446" w:type="pct"/>
            <w:noWrap/>
            <w:hideMark/>
          </w:tcPr>
          <w:p w14:paraId="7A0B7FCD"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2632DE73" w14:textId="77777777" w:rsidR="00120717" w:rsidRPr="00EE1448" w:rsidRDefault="00120717" w:rsidP="00DA262F">
            <w:pPr>
              <w:ind w:right="113"/>
              <w:jc w:val="right"/>
              <w:rPr>
                <w:color w:val="000000"/>
                <w:sz w:val="16"/>
                <w:szCs w:val="16"/>
              </w:rPr>
            </w:pPr>
            <w:r w:rsidRPr="00EE1448">
              <w:rPr>
                <w:color w:val="000000"/>
                <w:sz w:val="16"/>
                <w:szCs w:val="16"/>
              </w:rPr>
              <w:t>0.7</w:t>
            </w:r>
          </w:p>
        </w:tc>
        <w:tc>
          <w:tcPr>
            <w:tcW w:w="441" w:type="pct"/>
            <w:noWrap/>
            <w:hideMark/>
          </w:tcPr>
          <w:p w14:paraId="088CA8BD" w14:textId="77777777" w:rsidR="00120717" w:rsidRPr="00EE1448" w:rsidRDefault="00120717" w:rsidP="00DA262F">
            <w:pPr>
              <w:ind w:right="113"/>
              <w:jc w:val="right"/>
              <w:rPr>
                <w:color w:val="000000"/>
                <w:sz w:val="16"/>
                <w:szCs w:val="16"/>
              </w:rPr>
            </w:pPr>
            <w:r w:rsidRPr="00EE1448">
              <w:rPr>
                <w:color w:val="000000"/>
                <w:sz w:val="16"/>
                <w:szCs w:val="16"/>
              </w:rPr>
              <w:t>0.5</w:t>
            </w:r>
          </w:p>
        </w:tc>
      </w:tr>
      <w:tr w:rsidR="00120717" w:rsidRPr="00EE1448" w14:paraId="4EF623AC"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7669457A" w14:textId="77777777" w:rsidR="00120717" w:rsidRPr="00EE1448" w:rsidRDefault="00120717">
            <w:pPr>
              <w:jc w:val="left"/>
              <w:rPr>
                <w:sz w:val="16"/>
                <w:szCs w:val="16"/>
              </w:rPr>
            </w:pPr>
            <w:r w:rsidRPr="00EE1448">
              <w:rPr>
                <w:sz w:val="16"/>
                <w:szCs w:val="16"/>
              </w:rPr>
              <w:t>Africa</w:t>
            </w:r>
          </w:p>
        </w:tc>
        <w:tc>
          <w:tcPr>
            <w:tcW w:w="446" w:type="pct"/>
            <w:noWrap/>
            <w:hideMark/>
          </w:tcPr>
          <w:p w14:paraId="3F9B6297" w14:textId="77777777" w:rsidR="00120717" w:rsidRPr="00EE1448" w:rsidRDefault="00120717" w:rsidP="00DA262F">
            <w:pPr>
              <w:ind w:right="113"/>
              <w:jc w:val="right"/>
              <w:rPr>
                <w:color w:val="000000"/>
                <w:sz w:val="16"/>
                <w:szCs w:val="16"/>
              </w:rPr>
            </w:pPr>
            <w:r w:rsidRPr="00EE1448">
              <w:rPr>
                <w:color w:val="000000"/>
                <w:sz w:val="16"/>
                <w:szCs w:val="16"/>
              </w:rPr>
              <w:t>4.0</w:t>
            </w:r>
          </w:p>
        </w:tc>
        <w:tc>
          <w:tcPr>
            <w:tcW w:w="446" w:type="pct"/>
            <w:noWrap/>
            <w:hideMark/>
          </w:tcPr>
          <w:p w14:paraId="47220BB4" w14:textId="77777777" w:rsidR="00120717" w:rsidRPr="00EE1448" w:rsidRDefault="00120717" w:rsidP="00DA262F">
            <w:pPr>
              <w:ind w:right="113"/>
              <w:jc w:val="right"/>
              <w:rPr>
                <w:color w:val="000000"/>
                <w:sz w:val="16"/>
                <w:szCs w:val="16"/>
              </w:rPr>
            </w:pPr>
            <w:r w:rsidRPr="00EE1448">
              <w:rPr>
                <w:color w:val="000000"/>
                <w:sz w:val="16"/>
                <w:szCs w:val="16"/>
              </w:rPr>
              <w:t>4.0</w:t>
            </w:r>
          </w:p>
        </w:tc>
        <w:tc>
          <w:tcPr>
            <w:tcW w:w="446" w:type="pct"/>
            <w:noWrap/>
            <w:hideMark/>
          </w:tcPr>
          <w:p w14:paraId="0027D1DC" w14:textId="77777777" w:rsidR="00120717" w:rsidRPr="00EE1448" w:rsidRDefault="00120717" w:rsidP="00DA262F">
            <w:pPr>
              <w:ind w:right="113"/>
              <w:jc w:val="right"/>
              <w:rPr>
                <w:color w:val="000000"/>
                <w:sz w:val="16"/>
                <w:szCs w:val="16"/>
              </w:rPr>
            </w:pPr>
            <w:r w:rsidRPr="00EE1448">
              <w:rPr>
                <w:color w:val="000000"/>
                <w:sz w:val="16"/>
                <w:szCs w:val="16"/>
              </w:rPr>
              <w:t>3.3</w:t>
            </w:r>
          </w:p>
        </w:tc>
        <w:tc>
          <w:tcPr>
            <w:tcW w:w="446" w:type="pct"/>
            <w:noWrap/>
            <w:hideMark/>
          </w:tcPr>
          <w:p w14:paraId="12AA93C1" w14:textId="77777777" w:rsidR="00120717" w:rsidRPr="00EE1448" w:rsidRDefault="00120717" w:rsidP="00DA262F">
            <w:pPr>
              <w:ind w:right="113"/>
              <w:jc w:val="right"/>
              <w:rPr>
                <w:color w:val="000000"/>
                <w:sz w:val="16"/>
                <w:szCs w:val="16"/>
              </w:rPr>
            </w:pPr>
            <w:r w:rsidRPr="00EE1448">
              <w:rPr>
                <w:color w:val="000000"/>
                <w:sz w:val="16"/>
                <w:szCs w:val="16"/>
              </w:rPr>
              <w:t>2.9</w:t>
            </w:r>
          </w:p>
        </w:tc>
        <w:tc>
          <w:tcPr>
            <w:tcW w:w="446" w:type="pct"/>
            <w:noWrap/>
            <w:hideMark/>
          </w:tcPr>
          <w:p w14:paraId="34F31ABF" w14:textId="77777777" w:rsidR="00120717" w:rsidRPr="00EE1448" w:rsidRDefault="00120717" w:rsidP="00DA262F">
            <w:pPr>
              <w:ind w:right="113"/>
              <w:jc w:val="right"/>
              <w:rPr>
                <w:color w:val="000000"/>
                <w:sz w:val="16"/>
                <w:szCs w:val="16"/>
              </w:rPr>
            </w:pPr>
            <w:r w:rsidRPr="00EE1448">
              <w:rPr>
                <w:color w:val="000000"/>
                <w:sz w:val="16"/>
                <w:szCs w:val="16"/>
              </w:rPr>
              <w:t>2.5</w:t>
            </w:r>
          </w:p>
        </w:tc>
        <w:tc>
          <w:tcPr>
            <w:tcW w:w="446" w:type="pct"/>
            <w:noWrap/>
            <w:hideMark/>
          </w:tcPr>
          <w:p w14:paraId="6D55EC1B" w14:textId="77777777" w:rsidR="00120717" w:rsidRPr="00EE1448" w:rsidRDefault="00120717" w:rsidP="00DA262F">
            <w:pPr>
              <w:ind w:right="113"/>
              <w:jc w:val="right"/>
              <w:rPr>
                <w:color w:val="000000"/>
                <w:sz w:val="16"/>
                <w:szCs w:val="16"/>
              </w:rPr>
            </w:pPr>
            <w:r w:rsidRPr="00EE1448">
              <w:rPr>
                <w:color w:val="000000"/>
                <w:sz w:val="16"/>
                <w:szCs w:val="16"/>
              </w:rPr>
              <w:t>2.5</w:t>
            </w:r>
          </w:p>
        </w:tc>
        <w:tc>
          <w:tcPr>
            <w:tcW w:w="441" w:type="pct"/>
            <w:noWrap/>
            <w:hideMark/>
          </w:tcPr>
          <w:p w14:paraId="144FA83F" w14:textId="77777777" w:rsidR="00120717" w:rsidRPr="00EE1448" w:rsidRDefault="00120717" w:rsidP="00DA262F">
            <w:pPr>
              <w:ind w:right="113"/>
              <w:jc w:val="right"/>
              <w:rPr>
                <w:color w:val="000000"/>
                <w:sz w:val="16"/>
                <w:szCs w:val="16"/>
              </w:rPr>
            </w:pPr>
            <w:r w:rsidRPr="00EE1448">
              <w:rPr>
                <w:color w:val="000000"/>
                <w:sz w:val="16"/>
                <w:szCs w:val="16"/>
              </w:rPr>
              <w:t>2.2</w:t>
            </w:r>
          </w:p>
        </w:tc>
      </w:tr>
      <w:tr w:rsidR="00120717" w:rsidRPr="00EE1448" w14:paraId="09CF8EF1" w14:textId="77777777" w:rsidTr="004E187B">
        <w:trPr>
          <w:trHeight w:val="60"/>
        </w:trPr>
        <w:tc>
          <w:tcPr>
            <w:tcW w:w="1883" w:type="pct"/>
            <w:noWrap/>
            <w:hideMark/>
          </w:tcPr>
          <w:p w14:paraId="53C34C75" w14:textId="25F67FCC" w:rsidR="00120717" w:rsidRPr="00EE1448" w:rsidRDefault="00120717" w:rsidP="003029D5">
            <w:pPr>
              <w:ind w:left="175"/>
              <w:jc w:val="left"/>
              <w:rPr>
                <w:sz w:val="16"/>
                <w:szCs w:val="16"/>
              </w:rPr>
            </w:pPr>
            <w:r w:rsidRPr="00EE1448">
              <w:rPr>
                <w:sz w:val="16"/>
                <w:szCs w:val="16"/>
              </w:rPr>
              <w:t>Egypt</w:t>
            </w:r>
          </w:p>
        </w:tc>
        <w:tc>
          <w:tcPr>
            <w:tcW w:w="446" w:type="pct"/>
            <w:noWrap/>
            <w:hideMark/>
          </w:tcPr>
          <w:p w14:paraId="06590F95" w14:textId="77777777" w:rsidR="00120717" w:rsidRPr="00EE1448" w:rsidRDefault="00120717" w:rsidP="00DA262F">
            <w:pPr>
              <w:ind w:right="113"/>
              <w:jc w:val="right"/>
              <w:rPr>
                <w:color w:val="000000"/>
                <w:sz w:val="16"/>
                <w:szCs w:val="16"/>
              </w:rPr>
            </w:pPr>
            <w:r w:rsidRPr="00EE1448">
              <w:rPr>
                <w:color w:val="000000"/>
                <w:sz w:val="16"/>
                <w:szCs w:val="16"/>
              </w:rPr>
              <w:t>1.0</w:t>
            </w:r>
          </w:p>
        </w:tc>
        <w:tc>
          <w:tcPr>
            <w:tcW w:w="446" w:type="pct"/>
            <w:noWrap/>
            <w:hideMark/>
          </w:tcPr>
          <w:p w14:paraId="21B769E6" w14:textId="77777777" w:rsidR="00120717" w:rsidRPr="00EE1448" w:rsidRDefault="00120717" w:rsidP="00DA262F">
            <w:pPr>
              <w:ind w:right="113"/>
              <w:jc w:val="right"/>
              <w:rPr>
                <w:color w:val="000000"/>
                <w:sz w:val="16"/>
                <w:szCs w:val="16"/>
              </w:rPr>
            </w:pPr>
            <w:r w:rsidRPr="00EE1448">
              <w:rPr>
                <w:color w:val="000000"/>
                <w:sz w:val="16"/>
                <w:szCs w:val="16"/>
              </w:rPr>
              <w:t>0.9</w:t>
            </w:r>
          </w:p>
        </w:tc>
        <w:tc>
          <w:tcPr>
            <w:tcW w:w="446" w:type="pct"/>
            <w:noWrap/>
            <w:hideMark/>
          </w:tcPr>
          <w:p w14:paraId="14665AD3" w14:textId="77777777" w:rsidR="00120717" w:rsidRPr="00EE1448" w:rsidRDefault="00120717" w:rsidP="00DA262F">
            <w:pPr>
              <w:ind w:right="113"/>
              <w:jc w:val="right"/>
              <w:rPr>
                <w:color w:val="000000"/>
                <w:sz w:val="16"/>
                <w:szCs w:val="16"/>
              </w:rPr>
            </w:pPr>
            <w:r w:rsidRPr="00EE1448">
              <w:rPr>
                <w:color w:val="000000"/>
                <w:sz w:val="16"/>
                <w:szCs w:val="16"/>
              </w:rPr>
              <w:t>0.5</w:t>
            </w:r>
          </w:p>
        </w:tc>
        <w:tc>
          <w:tcPr>
            <w:tcW w:w="446" w:type="pct"/>
            <w:noWrap/>
            <w:hideMark/>
          </w:tcPr>
          <w:p w14:paraId="35B701F5"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48D2DB69" w14:textId="77777777" w:rsidR="00120717" w:rsidRPr="00EE1448" w:rsidRDefault="00120717" w:rsidP="00DA262F">
            <w:pPr>
              <w:ind w:right="113"/>
              <w:jc w:val="right"/>
              <w:rPr>
                <w:color w:val="000000"/>
                <w:sz w:val="16"/>
                <w:szCs w:val="16"/>
              </w:rPr>
            </w:pPr>
            <w:r w:rsidRPr="00EE1448">
              <w:rPr>
                <w:color w:val="000000"/>
                <w:sz w:val="16"/>
                <w:szCs w:val="16"/>
              </w:rPr>
              <w:t>0.5</w:t>
            </w:r>
          </w:p>
        </w:tc>
        <w:tc>
          <w:tcPr>
            <w:tcW w:w="446" w:type="pct"/>
            <w:noWrap/>
            <w:hideMark/>
          </w:tcPr>
          <w:p w14:paraId="5C3828F4" w14:textId="77777777" w:rsidR="00120717" w:rsidRPr="00EE1448" w:rsidRDefault="00120717" w:rsidP="00DA262F">
            <w:pPr>
              <w:ind w:right="113"/>
              <w:jc w:val="right"/>
              <w:rPr>
                <w:color w:val="000000"/>
                <w:sz w:val="16"/>
                <w:szCs w:val="16"/>
              </w:rPr>
            </w:pPr>
            <w:r w:rsidRPr="00EE1448">
              <w:rPr>
                <w:color w:val="000000"/>
                <w:sz w:val="16"/>
                <w:szCs w:val="16"/>
              </w:rPr>
              <w:t>0.4</w:t>
            </w:r>
          </w:p>
        </w:tc>
        <w:tc>
          <w:tcPr>
            <w:tcW w:w="441" w:type="pct"/>
            <w:noWrap/>
            <w:hideMark/>
          </w:tcPr>
          <w:p w14:paraId="7188025D" w14:textId="77777777" w:rsidR="00120717" w:rsidRPr="00EE1448" w:rsidRDefault="00120717" w:rsidP="00DA262F">
            <w:pPr>
              <w:ind w:right="113"/>
              <w:jc w:val="right"/>
              <w:rPr>
                <w:color w:val="000000"/>
                <w:sz w:val="16"/>
                <w:szCs w:val="16"/>
              </w:rPr>
            </w:pPr>
            <w:r w:rsidRPr="00EE1448">
              <w:rPr>
                <w:color w:val="000000"/>
                <w:sz w:val="16"/>
                <w:szCs w:val="16"/>
              </w:rPr>
              <w:t>0.5</w:t>
            </w:r>
          </w:p>
        </w:tc>
      </w:tr>
      <w:tr w:rsidR="00120717" w:rsidRPr="00EE1448" w14:paraId="0943303C" w14:textId="77777777" w:rsidTr="004E187B">
        <w:trPr>
          <w:cnfStyle w:val="000000010000" w:firstRow="0" w:lastRow="0" w:firstColumn="0" w:lastColumn="0" w:oddVBand="0" w:evenVBand="0" w:oddHBand="0" w:evenHBand="1" w:firstRowFirstColumn="0" w:firstRowLastColumn="0" w:lastRowFirstColumn="0" w:lastRowLastColumn="0"/>
          <w:trHeight w:val="118"/>
        </w:trPr>
        <w:tc>
          <w:tcPr>
            <w:tcW w:w="1883" w:type="pct"/>
            <w:noWrap/>
            <w:hideMark/>
          </w:tcPr>
          <w:p w14:paraId="7AAB6F6A" w14:textId="77777777" w:rsidR="00120717" w:rsidRPr="00EE1448" w:rsidRDefault="00120717">
            <w:pPr>
              <w:jc w:val="left"/>
              <w:rPr>
                <w:sz w:val="16"/>
                <w:szCs w:val="16"/>
              </w:rPr>
            </w:pPr>
            <w:r w:rsidRPr="00EE1448">
              <w:rPr>
                <w:sz w:val="16"/>
                <w:szCs w:val="16"/>
              </w:rPr>
              <w:t>Middle East</w:t>
            </w:r>
          </w:p>
        </w:tc>
        <w:tc>
          <w:tcPr>
            <w:tcW w:w="446" w:type="pct"/>
            <w:noWrap/>
            <w:hideMark/>
          </w:tcPr>
          <w:p w14:paraId="1DDE3ABC" w14:textId="77777777" w:rsidR="00120717" w:rsidRPr="00EE1448" w:rsidRDefault="00120717" w:rsidP="00DA262F">
            <w:pPr>
              <w:ind w:right="113"/>
              <w:jc w:val="right"/>
              <w:rPr>
                <w:color w:val="000000"/>
                <w:sz w:val="16"/>
                <w:szCs w:val="16"/>
              </w:rPr>
            </w:pPr>
            <w:r w:rsidRPr="00EE1448">
              <w:rPr>
                <w:color w:val="000000"/>
                <w:sz w:val="16"/>
                <w:szCs w:val="16"/>
              </w:rPr>
              <w:t>4.1</w:t>
            </w:r>
          </w:p>
        </w:tc>
        <w:tc>
          <w:tcPr>
            <w:tcW w:w="446" w:type="pct"/>
            <w:noWrap/>
            <w:hideMark/>
          </w:tcPr>
          <w:p w14:paraId="717FF045" w14:textId="77777777" w:rsidR="00120717" w:rsidRPr="00EE1448" w:rsidRDefault="00120717" w:rsidP="00DA262F">
            <w:pPr>
              <w:ind w:right="113"/>
              <w:jc w:val="right"/>
              <w:rPr>
                <w:color w:val="000000"/>
                <w:sz w:val="16"/>
                <w:szCs w:val="16"/>
              </w:rPr>
            </w:pPr>
            <w:r w:rsidRPr="00EE1448">
              <w:rPr>
                <w:color w:val="000000"/>
                <w:sz w:val="16"/>
                <w:szCs w:val="16"/>
              </w:rPr>
              <w:t>3.5</w:t>
            </w:r>
          </w:p>
        </w:tc>
        <w:tc>
          <w:tcPr>
            <w:tcW w:w="446" w:type="pct"/>
            <w:noWrap/>
            <w:hideMark/>
          </w:tcPr>
          <w:p w14:paraId="54318D30" w14:textId="77777777" w:rsidR="00120717" w:rsidRPr="00EE1448" w:rsidRDefault="00120717" w:rsidP="00DA262F">
            <w:pPr>
              <w:ind w:right="113"/>
              <w:jc w:val="right"/>
              <w:rPr>
                <w:color w:val="000000"/>
                <w:sz w:val="16"/>
                <w:szCs w:val="16"/>
              </w:rPr>
            </w:pPr>
            <w:r w:rsidRPr="00EE1448">
              <w:rPr>
                <w:color w:val="000000"/>
                <w:sz w:val="16"/>
                <w:szCs w:val="16"/>
              </w:rPr>
              <w:t>3.8</w:t>
            </w:r>
          </w:p>
        </w:tc>
        <w:tc>
          <w:tcPr>
            <w:tcW w:w="446" w:type="pct"/>
            <w:noWrap/>
            <w:hideMark/>
          </w:tcPr>
          <w:p w14:paraId="0C0249AD" w14:textId="77777777" w:rsidR="00120717" w:rsidRPr="00EE1448" w:rsidRDefault="00120717" w:rsidP="00DA262F">
            <w:pPr>
              <w:ind w:right="113"/>
              <w:jc w:val="right"/>
              <w:rPr>
                <w:color w:val="000000"/>
                <w:sz w:val="16"/>
                <w:szCs w:val="16"/>
              </w:rPr>
            </w:pPr>
            <w:r w:rsidRPr="00EE1448">
              <w:rPr>
                <w:color w:val="000000"/>
                <w:sz w:val="16"/>
                <w:szCs w:val="16"/>
              </w:rPr>
              <w:t>3.6</w:t>
            </w:r>
          </w:p>
        </w:tc>
        <w:tc>
          <w:tcPr>
            <w:tcW w:w="446" w:type="pct"/>
            <w:noWrap/>
            <w:hideMark/>
          </w:tcPr>
          <w:p w14:paraId="4ED12027" w14:textId="77777777" w:rsidR="00120717" w:rsidRPr="00EE1448" w:rsidRDefault="00120717" w:rsidP="00DA262F">
            <w:pPr>
              <w:ind w:right="113"/>
              <w:jc w:val="right"/>
              <w:rPr>
                <w:color w:val="000000"/>
                <w:sz w:val="16"/>
                <w:szCs w:val="16"/>
              </w:rPr>
            </w:pPr>
            <w:r w:rsidRPr="00EE1448">
              <w:rPr>
                <w:color w:val="000000"/>
                <w:sz w:val="16"/>
                <w:szCs w:val="16"/>
              </w:rPr>
              <w:t>3.4</w:t>
            </w:r>
          </w:p>
        </w:tc>
        <w:tc>
          <w:tcPr>
            <w:tcW w:w="446" w:type="pct"/>
            <w:noWrap/>
            <w:hideMark/>
          </w:tcPr>
          <w:p w14:paraId="47CB5BBF" w14:textId="77777777" w:rsidR="00120717" w:rsidRPr="00EE1448" w:rsidRDefault="00120717" w:rsidP="00DA262F">
            <w:pPr>
              <w:ind w:right="113"/>
              <w:jc w:val="right"/>
              <w:rPr>
                <w:color w:val="000000"/>
                <w:sz w:val="16"/>
                <w:szCs w:val="16"/>
              </w:rPr>
            </w:pPr>
            <w:r w:rsidRPr="00EE1448">
              <w:rPr>
                <w:color w:val="000000"/>
                <w:sz w:val="16"/>
                <w:szCs w:val="16"/>
              </w:rPr>
              <w:t>3.6</w:t>
            </w:r>
          </w:p>
        </w:tc>
        <w:tc>
          <w:tcPr>
            <w:tcW w:w="441" w:type="pct"/>
            <w:noWrap/>
            <w:hideMark/>
          </w:tcPr>
          <w:p w14:paraId="5F8B9796" w14:textId="77777777" w:rsidR="00120717" w:rsidRPr="00EE1448" w:rsidRDefault="00120717" w:rsidP="00DA262F">
            <w:pPr>
              <w:ind w:right="113"/>
              <w:jc w:val="right"/>
              <w:rPr>
                <w:color w:val="000000"/>
                <w:sz w:val="16"/>
                <w:szCs w:val="16"/>
              </w:rPr>
            </w:pPr>
            <w:r w:rsidRPr="00EE1448">
              <w:rPr>
                <w:color w:val="000000"/>
                <w:sz w:val="16"/>
                <w:szCs w:val="16"/>
              </w:rPr>
              <w:t>3.1</w:t>
            </w:r>
          </w:p>
        </w:tc>
      </w:tr>
      <w:tr w:rsidR="00120717" w:rsidRPr="00EE1448" w14:paraId="36D03F0A" w14:textId="77777777" w:rsidTr="004E187B">
        <w:trPr>
          <w:trHeight w:val="78"/>
        </w:trPr>
        <w:tc>
          <w:tcPr>
            <w:tcW w:w="1883" w:type="pct"/>
            <w:noWrap/>
            <w:hideMark/>
          </w:tcPr>
          <w:p w14:paraId="719E1FFF" w14:textId="71E9FEDF" w:rsidR="00120717" w:rsidRPr="00EE1448" w:rsidRDefault="00120717" w:rsidP="003029D5">
            <w:pPr>
              <w:ind w:left="175"/>
              <w:jc w:val="left"/>
              <w:rPr>
                <w:sz w:val="16"/>
                <w:szCs w:val="16"/>
              </w:rPr>
            </w:pPr>
            <w:r w:rsidRPr="00EE1448">
              <w:rPr>
                <w:sz w:val="16"/>
                <w:szCs w:val="16"/>
              </w:rPr>
              <w:t>United Arab Emirates</w:t>
            </w:r>
          </w:p>
        </w:tc>
        <w:tc>
          <w:tcPr>
            <w:tcW w:w="446" w:type="pct"/>
            <w:noWrap/>
            <w:hideMark/>
          </w:tcPr>
          <w:p w14:paraId="5A3E6E4C" w14:textId="77777777" w:rsidR="00120717" w:rsidRPr="00EE1448" w:rsidRDefault="00120717" w:rsidP="00DA262F">
            <w:pPr>
              <w:ind w:right="113"/>
              <w:jc w:val="right"/>
              <w:rPr>
                <w:color w:val="000000"/>
                <w:sz w:val="16"/>
                <w:szCs w:val="16"/>
              </w:rPr>
            </w:pPr>
            <w:r w:rsidRPr="00EE1448">
              <w:rPr>
                <w:color w:val="000000"/>
                <w:sz w:val="16"/>
                <w:szCs w:val="16"/>
              </w:rPr>
              <w:t>1.7</w:t>
            </w:r>
          </w:p>
        </w:tc>
        <w:tc>
          <w:tcPr>
            <w:tcW w:w="446" w:type="pct"/>
            <w:noWrap/>
            <w:hideMark/>
          </w:tcPr>
          <w:p w14:paraId="281A52C5"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14E61E65" w14:textId="77777777" w:rsidR="00120717" w:rsidRPr="00EE1448" w:rsidRDefault="00120717" w:rsidP="00DA262F">
            <w:pPr>
              <w:ind w:right="113"/>
              <w:jc w:val="right"/>
              <w:rPr>
                <w:color w:val="000000"/>
                <w:sz w:val="16"/>
                <w:szCs w:val="16"/>
              </w:rPr>
            </w:pPr>
            <w:r w:rsidRPr="00EE1448">
              <w:rPr>
                <w:color w:val="000000"/>
                <w:sz w:val="16"/>
                <w:szCs w:val="16"/>
              </w:rPr>
              <w:t>1.6</w:t>
            </w:r>
          </w:p>
        </w:tc>
        <w:tc>
          <w:tcPr>
            <w:tcW w:w="446" w:type="pct"/>
            <w:noWrap/>
            <w:hideMark/>
          </w:tcPr>
          <w:p w14:paraId="5B28BF76" w14:textId="77777777" w:rsidR="00120717" w:rsidRPr="00EE1448" w:rsidRDefault="00120717" w:rsidP="00DA262F">
            <w:pPr>
              <w:ind w:right="113"/>
              <w:jc w:val="right"/>
              <w:rPr>
                <w:color w:val="000000"/>
                <w:sz w:val="16"/>
                <w:szCs w:val="16"/>
              </w:rPr>
            </w:pPr>
            <w:r w:rsidRPr="00EE1448">
              <w:rPr>
                <w:color w:val="000000"/>
                <w:sz w:val="16"/>
                <w:szCs w:val="16"/>
              </w:rPr>
              <w:t>1.4</w:t>
            </w:r>
          </w:p>
        </w:tc>
        <w:tc>
          <w:tcPr>
            <w:tcW w:w="446" w:type="pct"/>
            <w:noWrap/>
            <w:hideMark/>
          </w:tcPr>
          <w:p w14:paraId="4546099A"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2AEB3CD4" w14:textId="77777777" w:rsidR="00120717" w:rsidRPr="00EE1448" w:rsidRDefault="00120717" w:rsidP="00DA262F">
            <w:pPr>
              <w:ind w:right="113"/>
              <w:jc w:val="right"/>
              <w:rPr>
                <w:color w:val="000000"/>
                <w:sz w:val="16"/>
                <w:szCs w:val="16"/>
              </w:rPr>
            </w:pPr>
            <w:r w:rsidRPr="00EE1448">
              <w:rPr>
                <w:color w:val="000000"/>
                <w:sz w:val="16"/>
                <w:szCs w:val="16"/>
              </w:rPr>
              <w:t>1.4</w:t>
            </w:r>
          </w:p>
        </w:tc>
        <w:tc>
          <w:tcPr>
            <w:tcW w:w="441" w:type="pct"/>
            <w:noWrap/>
            <w:hideMark/>
          </w:tcPr>
          <w:p w14:paraId="1D89495D" w14:textId="77777777" w:rsidR="00120717" w:rsidRPr="00EE1448" w:rsidRDefault="00120717" w:rsidP="00DA262F">
            <w:pPr>
              <w:ind w:right="113"/>
              <w:jc w:val="right"/>
              <w:rPr>
                <w:color w:val="000000"/>
                <w:sz w:val="16"/>
                <w:szCs w:val="16"/>
              </w:rPr>
            </w:pPr>
            <w:r w:rsidRPr="00EE1448">
              <w:rPr>
                <w:color w:val="000000"/>
                <w:sz w:val="16"/>
                <w:szCs w:val="16"/>
              </w:rPr>
              <w:t>1.4</w:t>
            </w:r>
          </w:p>
        </w:tc>
      </w:tr>
      <w:tr w:rsidR="00120717" w:rsidRPr="00EE1448" w14:paraId="752EA645"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6E0F3CB2" w14:textId="409E8A66" w:rsidR="00120717" w:rsidRPr="00EE1448" w:rsidRDefault="00120717" w:rsidP="003029D5">
            <w:pPr>
              <w:ind w:left="175"/>
              <w:jc w:val="left"/>
              <w:rPr>
                <w:sz w:val="16"/>
                <w:szCs w:val="16"/>
              </w:rPr>
            </w:pPr>
            <w:r w:rsidRPr="00EE1448">
              <w:rPr>
                <w:sz w:val="16"/>
                <w:szCs w:val="16"/>
              </w:rPr>
              <w:t>Saudi Arabia, Kingdom of</w:t>
            </w:r>
          </w:p>
        </w:tc>
        <w:tc>
          <w:tcPr>
            <w:tcW w:w="446" w:type="pct"/>
            <w:noWrap/>
            <w:hideMark/>
          </w:tcPr>
          <w:p w14:paraId="59985F3D" w14:textId="77777777" w:rsidR="00120717" w:rsidRPr="00EE1448" w:rsidRDefault="00120717" w:rsidP="00DA262F">
            <w:pPr>
              <w:ind w:right="113"/>
              <w:jc w:val="right"/>
              <w:rPr>
                <w:color w:val="000000"/>
                <w:sz w:val="16"/>
                <w:szCs w:val="16"/>
              </w:rPr>
            </w:pPr>
            <w:r w:rsidRPr="00EE1448">
              <w:rPr>
                <w:color w:val="000000"/>
                <w:sz w:val="16"/>
                <w:szCs w:val="16"/>
              </w:rPr>
              <w:t>1.2</w:t>
            </w:r>
          </w:p>
        </w:tc>
        <w:tc>
          <w:tcPr>
            <w:tcW w:w="446" w:type="pct"/>
            <w:noWrap/>
            <w:hideMark/>
          </w:tcPr>
          <w:p w14:paraId="458A9AA0" w14:textId="77777777" w:rsidR="00120717" w:rsidRPr="00EE1448" w:rsidRDefault="00120717" w:rsidP="00DA262F">
            <w:pPr>
              <w:ind w:right="113"/>
              <w:jc w:val="right"/>
              <w:rPr>
                <w:color w:val="000000"/>
                <w:sz w:val="16"/>
                <w:szCs w:val="16"/>
              </w:rPr>
            </w:pPr>
            <w:r w:rsidRPr="00EE1448">
              <w:rPr>
                <w:color w:val="000000"/>
                <w:sz w:val="16"/>
                <w:szCs w:val="16"/>
              </w:rPr>
              <w:t>1.1</w:t>
            </w:r>
          </w:p>
        </w:tc>
        <w:tc>
          <w:tcPr>
            <w:tcW w:w="446" w:type="pct"/>
            <w:noWrap/>
            <w:hideMark/>
          </w:tcPr>
          <w:p w14:paraId="715AC271" w14:textId="77777777" w:rsidR="00120717" w:rsidRPr="00EE1448" w:rsidRDefault="00120717" w:rsidP="00DA262F">
            <w:pPr>
              <w:ind w:right="113"/>
              <w:jc w:val="right"/>
              <w:rPr>
                <w:color w:val="000000"/>
                <w:sz w:val="16"/>
                <w:szCs w:val="16"/>
              </w:rPr>
            </w:pPr>
            <w:r w:rsidRPr="00EE1448">
              <w:rPr>
                <w:color w:val="000000"/>
                <w:sz w:val="16"/>
                <w:szCs w:val="16"/>
              </w:rPr>
              <w:t>1.1</w:t>
            </w:r>
          </w:p>
        </w:tc>
        <w:tc>
          <w:tcPr>
            <w:tcW w:w="446" w:type="pct"/>
            <w:noWrap/>
            <w:hideMark/>
          </w:tcPr>
          <w:p w14:paraId="41E24C7B" w14:textId="77777777" w:rsidR="00120717" w:rsidRPr="00EE1448" w:rsidRDefault="00120717" w:rsidP="00DA262F">
            <w:pPr>
              <w:ind w:right="113"/>
              <w:jc w:val="right"/>
              <w:rPr>
                <w:color w:val="000000"/>
                <w:sz w:val="16"/>
                <w:szCs w:val="16"/>
              </w:rPr>
            </w:pPr>
            <w:r w:rsidRPr="00EE1448">
              <w:rPr>
                <w:color w:val="000000"/>
                <w:sz w:val="16"/>
                <w:szCs w:val="16"/>
              </w:rPr>
              <w:t>1.0</w:t>
            </w:r>
          </w:p>
        </w:tc>
        <w:tc>
          <w:tcPr>
            <w:tcW w:w="446" w:type="pct"/>
            <w:noWrap/>
            <w:hideMark/>
          </w:tcPr>
          <w:p w14:paraId="219CE606" w14:textId="77777777" w:rsidR="00120717" w:rsidRPr="00EE1448" w:rsidRDefault="00120717" w:rsidP="00DA262F">
            <w:pPr>
              <w:ind w:right="113"/>
              <w:jc w:val="right"/>
              <w:rPr>
                <w:color w:val="000000"/>
                <w:sz w:val="16"/>
                <w:szCs w:val="16"/>
              </w:rPr>
            </w:pPr>
            <w:r w:rsidRPr="00EE1448">
              <w:rPr>
                <w:color w:val="000000"/>
                <w:sz w:val="16"/>
                <w:szCs w:val="16"/>
              </w:rPr>
              <w:t>1.1</w:t>
            </w:r>
          </w:p>
        </w:tc>
        <w:tc>
          <w:tcPr>
            <w:tcW w:w="446" w:type="pct"/>
            <w:noWrap/>
            <w:hideMark/>
          </w:tcPr>
          <w:p w14:paraId="1B3137C5"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1" w:type="pct"/>
            <w:noWrap/>
            <w:hideMark/>
          </w:tcPr>
          <w:p w14:paraId="4A352DE6" w14:textId="77777777" w:rsidR="00120717" w:rsidRPr="00EE1448" w:rsidRDefault="00120717" w:rsidP="00DA262F">
            <w:pPr>
              <w:ind w:right="113"/>
              <w:jc w:val="right"/>
              <w:rPr>
                <w:color w:val="000000"/>
                <w:sz w:val="16"/>
                <w:szCs w:val="16"/>
              </w:rPr>
            </w:pPr>
            <w:r w:rsidRPr="00EE1448">
              <w:rPr>
                <w:color w:val="000000"/>
                <w:sz w:val="16"/>
                <w:szCs w:val="16"/>
              </w:rPr>
              <w:t>1.0</w:t>
            </w:r>
          </w:p>
        </w:tc>
      </w:tr>
      <w:tr w:rsidR="00120717" w:rsidRPr="00EE1448" w14:paraId="4D013EC4" w14:textId="77777777" w:rsidTr="004E187B">
        <w:trPr>
          <w:trHeight w:val="60"/>
        </w:trPr>
        <w:tc>
          <w:tcPr>
            <w:tcW w:w="1883" w:type="pct"/>
            <w:noWrap/>
            <w:hideMark/>
          </w:tcPr>
          <w:p w14:paraId="19AD9D7B" w14:textId="77777777" w:rsidR="00120717" w:rsidRPr="00EE1448" w:rsidRDefault="00120717">
            <w:pPr>
              <w:jc w:val="left"/>
              <w:rPr>
                <w:sz w:val="16"/>
                <w:szCs w:val="16"/>
              </w:rPr>
            </w:pPr>
            <w:r w:rsidRPr="00EE1448">
              <w:rPr>
                <w:sz w:val="16"/>
                <w:szCs w:val="16"/>
              </w:rPr>
              <w:t>Asia</w:t>
            </w:r>
          </w:p>
        </w:tc>
        <w:tc>
          <w:tcPr>
            <w:tcW w:w="446" w:type="pct"/>
            <w:noWrap/>
            <w:hideMark/>
          </w:tcPr>
          <w:p w14:paraId="347F2744" w14:textId="77777777" w:rsidR="00120717" w:rsidRPr="00EE1448" w:rsidRDefault="00120717" w:rsidP="00DA262F">
            <w:pPr>
              <w:ind w:right="113"/>
              <w:jc w:val="right"/>
              <w:rPr>
                <w:color w:val="000000"/>
                <w:sz w:val="16"/>
                <w:szCs w:val="16"/>
              </w:rPr>
            </w:pPr>
            <w:r w:rsidRPr="00EE1448">
              <w:rPr>
                <w:color w:val="000000"/>
                <w:sz w:val="16"/>
                <w:szCs w:val="16"/>
              </w:rPr>
              <w:t>62.9</w:t>
            </w:r>
          </w:p>
        </w:tc>
        <w:tc>
          <w:tcPr>
            <w:tcW w:w="446" w:type="pct"/>
            <w:noWrap/>
            <w:hideMark/>
          </w:tcPr>
          <w:p w14:paraId="0D121C4B" w14:textId="77777777" w:rsidR="00120717" w:rsidRPr="00EE1448" w:rsidRDefault="00120717" w:rsidP="00DA262F">
            <w:pPr>
              <w:ind w:right="113"/>
              <w:jc w:val="right"/>
              <w:rPr>
                <w:color w:val="000000"/>
                <w:sz w:val="16"/>
                <w:szCs w:val="16"/>
              </w:rPr>
            </w:pPr>
            <w:r w:rsidRPr="00EE1448">
              <w:rPr>
                <w:color w:val="000000"/>
                <w:sz w:val="16"/>
                <w:szCs w:val="16"/>
              </w:rPr>
              <w:t>65.2</w:t>
            </w:r>
          </w:p>
        </w:tc>
        <w:tc>
          <w:tcPr>
            <w:tcW w:w="446" w:type="pct"/>
            <w:noWrap/>
            <w:hideMark/>
          </w:tcPr>
          <w:p w14:paraId="0AD432C1" w14:textId="77777777" w:rsidR="00120717" w:rsidRPr="00EE1448" w:rsidRDefault="00120717" w:rsidP="00DA262F">
            <w:pPr>
              <w:ind w:right="113"/>
              <w:jc w:val="right"/>
              <w:rPr>
                <w:color w:val="000000"/>
                <w:sz w:val="16"/>
                <w:szCs w:val="16"/>
              </w:rPr>
            </w:pPr>
            <w:r w:rsidRPr="00EE1448">
              <w:rPr>
                <w:color w:val="000000"/>
                <w:sz w:val="16"/>
                <w:szCs w:val="16"/>
              </w:rPr>
              <w:t>67.9</w:t>
            </w:r>
          </w:p>
        </w:tc>
        <w:tc>
          <w:tcPr>
            <w:tcW w:w="446" w:type="pct"/>
            <w:noWrap/>
            <w:hideMark/>
          </w:tcPr>
          <w:p w14:paraId="09ABD0DC" w14:textId="77777777" w:rsidR="00120717" w:rsidRPr="00EE1448" w:rsidRDefault="00120717" w:rsidP="00DA262F">
            <w:pPr>
              <w:ind w:right="113"/>
              <w:jc w:val="right"/>
              <w:rPr>
                <w:color w:val="000000"/>
                <w:sz w:val="16"/>
                <w:szCs w:val="16"/>
              </w:rPr>
            </w:pPr>
            <w:r w:rsidRPr="00EE1448">
              <w:rPr>
                <w:color w:val="000000"/>
                <w:sz w:val="16"/>
                <w:szCs w:val="16"/>
              </w:rPr>
              <w:t>68.6</w:t>
            </w:r>
          </w:p>
        </w:tc>
        <w:tc>
          <w:tcPr>
            <w:tcW w:w="446" w:type="pct"/>
            <w:noWrap/>
            <w:hideMark/>
          </w:tcPr>
          <w:p w14:paraId="1F784AFC" w14:textId="77777777" w:rsidR="00120717" w:rsidRPr="00EE1448" w:rsidRDefault="00120717" w:rsidP="00DA262F">
            <w:pPr>
              <w:ind w:right="113"/>
              <w:jc w:val="right"/>
              <w:rPr>
                <w:color w:val="000000"/>
                <w:sz w:val="16"/>
                <w:szCs w:val="16"/>
              </w:rPr>
            </w:pPr>
            <w:r w:rsidRPr="00EE1448">
              <w:rPr>
                <w:color w:val="000000"/>
                <w:sz w:val="16"/>
                <w:szCs w:val="16"/>
              </w:rPr>
              <w:t>70.3</w:t>
            </w:r>
          </w:p>
        </w:tc>
        <w:tc>
          <w:tcPr>
            <w:tcW w:w="446" w:type="pct"/>
            <w:noWrap/>
            <w:hideMark/>
          </w:tcPr>
          <w:p w14:paraId="64E16ED3" w14:textId="77777777" w:rsidR="00120717" w:rsidRPr="00EE1448" w:rsidRDefault="00120717" w:rsidP="00DA262F">
            <w:pPr>
              <w:ind w:right="113"/>
              <w:jc w:val="right"/>
              <w:rPr>
                <w:color w:val="000000"/>
                <w:sz w:val="16"/>
                <w:szCs w:val="16"/>
              </w:rPr>
            </w:pPr>
            <w:r w:rsidRPr="00EE1448">
              <w:rPr>
                <w:color w:val="000000"/>
                <w:sz w:val="16"/>
                <w:szCs w:val="16"/>
              </w:rPr>
              <w:t>68.7</w:t>
            </w:r>
          </w:p>
        </w:tc>
        <w:tc>
          <w:tcPr>
            <w:tcW w:w="441" w:type="pct"/>
            <w:noWrap/>
            <w:hideMark/>
          </w:tcPr>
          <w:p w14:paraId="37658738" w14:textId="77777777" w:rsidR="00120717" w:rsidRPr="00EE1448" w:rsidRDefault="00120717" w:rsidP="00DA262F">
            <w:pPr>
              <w:ind w:right="113"/>
              <w:jc w:val="right"/>
              <w:rPr>
                <w:color w:val="000000"/>
                <w:sz w:val="16"/>
                <w:szCs w:val="16"/>
              </w:rPr>
            </w:pPr>
            <w:r w:rsidRPr="00EE1448">
              <w:rPr>
                <w:color w:val="000000"/>
                <w:sz w:val="16"/>
                <w:szCs w:val="16"/>
              </w:rPr>
              <w:t>71.1</w:t>
            </w:r>
          </w:p>
        </w:tc>
      </w:tr>
      <w:tr w:rsidR="00120717" w:rsidRPr="00EE1448" w14:paraId="6EACC679" w14:textId="77777777" w:rsidTr="004E187B">
        <w:trPr>
          <w:cnfStyle w:val="000000010000" w:firstRow="0" w:lastRow="0" w:firstColumn="0" w:lastColumn="0" w:oddVBand="0" w:evenVBand="0" w:oddHBand="0" w:evenHBand="1" w:firstRowFirstColumn="0" w:firstRowLastColumn="0" w:lastRowFirstColumn="0" w:lastRowLastColumn="0"/>
          <w:trHeight w:val="86"/>
        </w:trPr>
        <w:tc>
          <w:tcPr>
            <w:tcW w:w="1883" w:type="pct"/>
            <w:noWrap/>
            <w:hideMark/>
          </w:tcPr>
          <w:p w14:paraId="43D1D3B9" w14:textId="77777777" w:rsidR="00120717" w:rsidRPr="00EE1448" w:rsidRDefault="00120717" w:rsidP="00DA262F">
            <w:pPr>
              <w:ind w:left="174"/>
              <w:jc w:val="left"/>
              <w:rPr>
                <w:sz w:val="16"/>
                <w:szCs w:val="16"/>
              </w:rPr>
            </w:pPr>
            <w:r w:rsidRPr="00EE1448">
              <w:rPr>
                <w:sz w:val="16"/>
                <w:szCs w:val="16"/>
              </w:rPr>
              <w:t>China</w:t>
            </w:r>
          </w:p>
        </w:tc>
        <w:tc>
          <w:tcPr>
            <w:tcW w:w="446" w:type="pct"/>
            <w:noWrap/>
            <w:hideMark/>
          </w:tcPr>
          <w:p w14:paraId="63B436F9" w14:textId="77777777" w:rsidR="00120717" w:rsidRPr="00EE1448" w:rsidRDefault="00120717" w:rsidP="00DA262F">
            <w:pPr>
              <w:ind w:right="113"/>
              <w:jc w:val="right"/>
              <w:rPr>
                <w:color w:val="000000"/>
                <w:sz w:val="16"/>
                <w:szCs w:val="16"/>
              </w:rPr>
            </w:pPr>
            <w:r w:rsidRPr="00EE1448">
              <w:rPr>
                <w:color w:val="000000"/>
                <w:sz w:val="16"/>
                <w:szCs w:val="16"/>
              </w:rPr>
              <w:t>17.6</w:t>
            </w:r>
          </w:p>
        </w:tc>
        <w:tc>
          <w:tcPr>
            <w:tcW w:w="446" w:type="pct"/>
            <w:noWrap/>
            <w:hideMark/>
          </w:tcPr>
          <w:p w14:paraId="13ADD556" w14:textId="77777777" w:rsidR="00120717" w:rsidRPr="00EE1448" w:rsidRDefault="00120717" w:rsidP="00DA262F">
            <w:pPr>
              <w:ind w:right="113"/>
              <w:jc w:val="right"/>
              <w:rPr>
                <w:color w:val="000000"/>
                <w:sz w:val="16"/>
                <w:szCs w:val="16"/>
              </w:rPr>
            </w:pPr>
            <w:r w:rsidRPr="00EE1448">
              <w:rPr>
                <w:color w:val="000000"/>
                <w:sz w:val="16"/>
                <w:szCs w:val="16"/>
              </w:rPr>
              <w:t>19.5</w:t>
            </w:r>
          </w:p>
        </w:tc>
        <w:tc>
          <w:tcPr>
            <w:tcW w:w="446" w:type="pct"/>
            <w:noWrap/>
            <w:hideMark/>
          </w:tcPr>
          <w:p w14:paraId="0EDE06C8" w14:textId="77777777" w:rsidR="00120717" w:rsidRPr="00EE1448" w:rsidRDefault="00120717" w:rsidP="00DA262F">
            <w:pPr>
              <w:ind w:right="113"/>
              <w:jc w:val="right"/>
              <w:rPr>
                <w:color w:val="000000"/>
                <w:sz w:val="16"/>
                <w:szCs w:val="16"/>
              </w:rPr>
            </w:pPr>
            <w:r w:rsidRPr="00EE1448">
              <w:rPr>
                <w:color w:val="000000"/>
                <w:sz w:val="16"/>
                <w:szCs w:val="16"/>
              </w:rPr>
              <w:t>22.3</w:t>
            </w:r>
          </w:p>
        </w:tc>
        <w:tc>
          <w:tcPr>
            <w:tcW w:w="446" w:type="pct"/>
            <w:noWrap/>
            <w:hideMark/>
          </w:tcPr>
          <w:p w14:paraId="76B6E585" w14:textId="77777777" w:rsidR="00120717" w:rsidRPr="00EE1448" w:rsidRDefault="00120717" w:rsidP="00DA262F">
            <w:pPr>
              <w:ind w:right="113"/>
              <w:jc w:val="right"/>
              <w:rPr>
                <w:color w:val="000000"/>
                <w:sz w:val="16"/>
                <w:szCs w:val="16"/>
              </w:rPr>
            </w:pPr>
            <w:r w:rsidRPr="00EE1448">
              <w:rPr>
                <w:color w:val="000000"/>
                <w:sz w:val="16"/>
                <w:szCs w:val="16"/>
              </w:rPr>
              <w:t>24.2</w:t>
            </w:r>
          </w:p>
        </w:tc>
        <w:tc>
          <w:tcPr>
            <w:tcW w:w="446" w:type="pct"/>
            <w:noWrap/>
            <w:hideMark/>
          </w:tcPr>
          <w:p w14:paraId="6190085D" w14:textId="77777777" w:rsidR="00120717" w:rsidRPr="00EE1448" w:rsidRDefault="00120717" w:rsidP="00DA262F">
            <w:pPr>
              <w:ind w:right="113"/>
              <w:jc w:val="right"/>
              <w:rPr>
                <w:color w:val="000000"/>
                <w:sz w:val="16"/>
                <w:szCs w:val="16"/>
              </w:rPr>
            </w:pPr>
            <w:r w:rsidRPr="00EE1448">
              <w:rPr>
                <w:color w:val="000000"/>
                <w:sz w:val="16"/>
                <w:szCs w:val="16"/>
              </w:rPr>
              <w:t>27.9</w:t>
            </w:r>
          </w:p>
        </w:tc>
        <w:tc>
          <w:tcPr>
            <w:tcW w:w="446" w:type="pct"/>
            <w:noWrap/>
            <w:hideMark/>
          </w:tcPr>
          <w:p w14:paraId="6D9DCB19" w14:textId="77777777" w:rsidR="00120717" w:rsidRPr="00EE1448" w:rsidRDefault="00120717" w:rsidP="00DA262F">
            <w:pPr>
              <w:ind w:right="113"/>
              <w:jc w:val="right"/>
              <w:rPr>
                <w:color w:val="000000"/>
                <w:sz w:val="16"/>
                <w:szCs w:val="16"/>
              </w:rPr>
            </w:pPr>
            <w:r w:rsidRPr="00EE1448">
              <w:rPr>
                <w:color w:val="000000"/>
                <w:sz w:val="16"/>
                <w:szCs w:val="16"/>
              </w:rPr>
              <w:t>27.8</w:t>
            </w:r>
          </w:p>
        </w:tc>
        <w:tc>
          <w:tcPr>
            <w:tcW w:w="441" w:type="pct"/>
            <w:noWrap/>
            <w:hideMark/>
          </w:tcPr>
          <w:p w14:paraId="59856CD3" w14:textId="77777777" w:rsidR="00120717" w:rsidRPr="00EE1448" w:rsidRDefault="00120717" w:rsidP="00DA262F">
            <w:pPr>
              <w:ind w:right="113"/>
              <w:jc w:val="right"/>
              <w:rPr>
                <w:color w:val="000000"/>
                <w:sz w:val="16"/>
                <w:szCs w:val="16"/>
              </w:rPr>
            </w:pPr>
            <w:r w:rsidRPr="00EE1448">
              <w:rPr>
                <w:color w:val="000000"/>
                <w:sz w:val="16"/>
                <w:szCs w:val="16"/>
              </w:rPr>
              <w:t>31.7</w:t>
            </w:r>
          </w:p>
        </w:tc>
      </w:tr>
      <w:tr w:rsidR="00120717" w:rsidRPr="00EE1448" w14:paraId="20CDF22C" w14:textId="77777777" w:rsidTr="004E187B">
        <w:trPr>
          <w:trHeight w:val="60"/>
        </w:trPr>
        <w:tc>
          <w:tcPr>
            <w:tcW w:w="1883" w:type="pct"/>
            <w:noWrap/>
            <w:hideMark/>
          </w:tcPr>
          <w:p w14:paraId="7546F867" w14:textId="77777777" w:rsidR="00120717" w:rsidRPr="00EE1448" w:rsidRDefault="00120717" w:rsidP="00DA262F">
            <w:pPr>
              <w:ind w:left="174"/>
              <w:jc w:val="left"/>
              <w:rPr>
                <w:sz w:val="16"/>
                <w:szCs w:val="16"/>
              </w:rPr>
            </w:pPr>
            <w:r w:rsidRPr="00EE1448">
              <w:rPr>
                <w:sz w:val="16"/>
                <w:szCs w:val="16"/>
              </w:rPr>
              <w:t>Japan</w:t>
            </w:r>
          </w:p>
        </w:tc>
        <w:tc>
          <w:tcPr>
            <w:tcW w:w="446" w:type="pct"/>
            <w:noWrap/>
            <w:hideMark/>
          </w:tcPr>
          <w:p w14:paraId="3EB48FB7" w14:textId="77777777" w:rsidR="00120717" w:rsidRPr="00EE1448" w:rsidRDefault="00120717" w:rsidP="00DA262F">
            <w:pPr>
              <w:ind w:right="113"/>
              <w:jc w:val="right"/>
              <w:rPr>
                <w:color w:val="000000"/>
                <w:sz w:val="16"/>
                <w:szCs w:val="16"/>
              </w:rPr>
            </w:pPr>
            <w:r w:rsidRPr="00EE1448">
              <w:rPr>
                <w:color w:val="000000"/>
                <w:sz w:val="16"/>
                <w:szCs w:val="16"/>
              </w:rPr>
              <w:t>6.0</w:t>
            </w:r>
          </w:p>
        </w:tc>
        <w:tc>
          <w:tcPr>
            <w:tcW w:w="446" w:type="pct"/>
            <w:noWrap/>
            <w:hideMark/>
          </w:tcPr>
          <w:p w14:paraId="2FFA228B" w14:textId="77777777" w:rsidR="00120717" w:rsidRPr="00EE1448" w:rsidRDefault="00120717" w:rsidP="00DA262F">
            <w:pPr>
              <w:ind w:right="113"/>
              <w:jc w:val="right"/>
              <w:rPr>
                <w:color w:val="000000"/>
                <w:sz w:val="16"/>
                <w:szCs w:val="16"/>
              </w:rPr>
            </w:pPr>
            <w:r w:rsidRPr="00EE1448">
              <w:rPr>
                <w:color w:val="000000"/>
                <w:sz w:val="16"/>
                <w:szCs w:val="16"/>
              </w:rPr>
              <w:t>6.1</w:t>
            </w:r>
          </w:p>
        </w:tc>
        <w:tc>
          <w:tcPr>
            <w:tcW w:w="446" w:type="pct"/>
            <w:noWrap/>
            <w:hideMark/>
          </w:tcPr>
          <w:p w14:paraId="2A0BF7C7" w14:textId="77777777" w:rsidR="00120717" w:rsidRPr="00EE1448" w:rsidRDefault="00120717" w:rsidP="00DA262F">
            <w:pPr>
              <w:ind w:right="113"/>
              <w:jc w:val="right"/>
              <w:rPr>
                <w:color w:val="000000"/>
                <w:sz w:val="16"/>
                <w:szCs w:val="16"/>
              </w:rPr>
            </w:pPr>
            <w:r w:rsidRPr="00EE1448">
              <w:rPr>
                <w:color w:val="000000"/>
                <w:sz w:val="16"/>
                <w:szCs w:val="16"/>
              </w:rPr>
              <w:t>6.0</w:t>
            </w:r>
          </w:p>
        </w:tc>
        <w:tc>
          <w:tcPr>
            <w:tcW w:w="446" w:type="pct"/>
            <w:noWrap/>
            <w:hideMark/>
          </w:tcPr>
          <w:p w14:paraId="282D597F" w14:textId="77777777" w:rsidR="00120717" w:rsidRPr="00EE1448" w:rsidRDefault="00120717" w:rsidP="00DA262F">
            <w:pPr>
              <w:ind w:right="113"/>
              <w:jc w:val="right"/>
              <w:rPr>
                <w:color w:val="000000"/>
                <w:sz w:val="16"/>
                <w:szCs w:val="16"/>
              </w:rPr>
            </w:pPr>
            <w:r w:rsidRPr="00EE1448">
              <w:rPr>
                <w:color w:val="000000"/>
                <w:sz w:val="16"/>
                <w:szCs w:val="16"/>
              </w:rPr>
              <w:t>6.1</w:t>
            </w:r>
          </w:p>
        </w:tc>
        <w:tc>
          <w:tcPr>
            <w:tcW w:w="446" w:type="pct"/>
            <w:noWrap/>
            <w:hideMark/>
          </w:tcPr>
          <w:p w14:paraId="6ECF2C8F" w14:textId="77777777" w:rsidR="00120717" w:rsidRPr="00EE1448" w:rsidRDefault="00120717" w:rsidP="00DA262F">
            <w:pPr>
              <w:ind w:right="113"/>
              <w:jc w:val="right"/>
              <w:rPr>
                <w:color w:val="000000"/>
                <w:sz w:val="16"/>
                <w:szCs w:val="16"/>
              </w:rPr>
            </w:pPr>
            <w:r w:rsidRPr="00EE1448">
              <w:rPr>
                <w:color w:val="000000"/>
                <w:sz w:val="16"/>
                <w:szCs w:val="16"/>
              </w:rPr>
              <w:t>5.8</w:t>
            </w:r>
          </w:p>
        </w:tc>
        <w:tc>
          <w:tcPr>
            <w:tcW w:w="446" w:type="pct"/>
            <w:noWrap/>
            <w:hideMark/>
          </w:tcPr>
          <w:p w14:paraId="1CED5879" w14:textId="77777777" w:rsidR="00120717" w:rsidRPr="00EE1448" w:rsidRDefault="00120717" w:rsidP="00DA262F">
            <w:pPr>
              <w:ind w:right="113"/>
              <w:jc w:val="right"/>
              <w:rPr>
                <w:color w:val="000000"/>
                <w:sz w:val="16"/>
                <w:szCs w:val="16"/>
              </w:rPr>
            </w:pPr>
            <w:r w:rsidRPr="00EE1448">
              <w:rPr>
                <w:color w:val="000000"/>
                <w:sz w:val="16"/>
                <w:szCs w:val="16"/>
              </w:rPr>
              <w:t>5.9</w:t>
            </w:r>
          </w:p>
        </w:tc>
        <w:tc>
          <w:tcPr>
            <w:tcW w:w="441" w:type="pct"/>
            <w:noWrap/>
            <w:hideMark/>
          </w:tcPr>
          <w:p w14:paraId="5867CA6F" w14:textId="77777777" w:rsidR="00120717" w:rsidRPr="00EE1448" w:rsidRDefault="00120717" w:rsidP="00DA262F">
            <w:pPr>
              <w:ind w:right="113"/>
              <w:jc w:val="right"/>
              <w:rPr>
                <w:color w:val="000000"/>
                <w:sz w:val="16"/>
                <w:szCs w:val="16"/>
              </w:rPr>
            </w:pPr>
            <w:r w:rsidRPr="00EE1448">
              <w:rPr>
                <w:color w:val="000000"/>
                <w:sz w:val="16"/>
                <w:szCs w:val="16"/>
              </w:rPr>
              <w:t>5.7</w:t>
            </w:r>
          </w:p>
        </w:tc>
      </w:tr>
      <w:tr w:rsidR="00120717" w:rsidRPr="00EE1448" w14:paraId="5D655252"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17D04067" w14:textId="77777777" w:rsidR="00120717" w:rsidRPr="00EE1448" w:rsidRDefault="00120717" w:rsidP="00DA262F">
            <w:pPr>
              <w:ind w:left="174"/>
              <w:jc w:val="left"/>
              <w:rPr>
                <w:sz w:val="16"/>
                <w:szCs w:val="16"/>
              </w:rPr>
            </w:pPr>
            <w:r w:rsidRPr="00EE1448">
              <w:rPr>
                <w:sz w:val="16"/>
                <w:szCs w:val="16"/>
              </w:rPr>
              <w:t>Other Asia</w:t>
            </w:r>
          </w:p>
        </w:tc>
        <w:tc>
          <w:tcPr>
            <w:tcW w:w="446" w:type="pct"/>
            <w:noWrap/>
            <w:hideMark/>
          </w:tcPr>
          <w:p w14:paraId="2B436EA9" w14:textId="77777777" w:rsidR="00120717" w:rsidRPr="00EE1448" w:rsidRDefault="00120717" w:rsidP="00DA262F">
            <w:pPr>
              <w:ind w:right="113"/>
              <w:jc w:val="right"/>
              <w:rPr>
                <w:color w:val="000000"/>
                <w:sz w:val="16"/>
                <w:szCs w:val="16"/>
              </w:rPr>
            </w:pPr>
            <w:r w:rsidRPr="00EE1448">
              <w:rPr>
                <w:color w:val="000000"/>
                <w:sz w:val="16"/>
                <w:szCs w:val="16"/>
              </w:rPr>
              <w:t>39.2</w:t>
            </w:r>
          </w:p>
        </w:tc>
        <w:tc>
          <w:tcPr>
            <w:tcW w:w="446" w:type="pct"/>
            <w:noWrap/>
            <w:hideMark/>
          </w:tcPr>
          <w:p w14:paraId="54F9088F" w14:textId="77777777" w:rsidR="00120717" w:rsidRPr="00EE1448" w:rsidRDefault="00120717" w:rsidP="00DA262F">
            <w:pPr>
              <w:ind w:right="113"/>
              <w:jc w:val="right"/>
              <w:rPr>
                <w:color w:val="000000"/>
                <w:sz w:val="16"/>
                <w:szCs w:val="16"/>
              </w:rPr>
            </w:pPr>
            <w:r w:rsidRPr="00EE1448">
              <w:rPr>
                <w:color w:val="000000"/>
                <w:sz w:val="16"/>
                <w:szCs w:val="16"/>
              </w:rPr>
              <w:t>39.6</w:t>
            </w:r>
          </w:p>
        </w:tc>
        <w:tc>
          <w:tcPr>
            <w:tcW w:w="446" w:type="pct"/>
            <w:noWrap/>
            <w:hideMark/>
          </w:tcPr>
          <w:p w14:paraId="70CA3482" w14:textId="77777777" w:rsidR="00120717" w:rsidRPr="00EE1448" w:rsidRDefault="00120717" w:rsidP="00DA262F">
            <w:pPr>
              <w:ind w:right="113"/>
              <w:jc w:val="right"/>
              <w:rPr>
                <w:color w:val="000000"/>
                <w:sz w:val="16"/>
                <w:szCs w:val="16"/>
              </w:rPr>
            </w:pPr>
            <w:r w:rsidRPr="00EE1448">
              <w:rPr>
                <w:color w:val="000000"/>
                <w:sz w:val="16"/>
                <w:szCs w:val="16"/>
              </w:rPr>
              <w:t>39.6</w:t>
            </w:r>
          </w:p>
        </w:tc>
        <w:tc>
          <w:tcPr>
            <w:tcW w:w="446" w:type="pct"/>
            <w:noWrap/>
            <w:hideMark/>
          </w:tcPr>
          <w:p w14:paraId="184D41E9" w14:textId="77777777" w:rsidR="00120717" w:rsidRPr="00EE1448" w:rsidRDefault="00120717" w:rsidP="00DA262F">
            <w:pPr>
              <w:ind w:right="113"/>
              <w:jc w:val="right"/>
              <w:rPr>
                <w:color w:val="000000"/>
                <w:sz w:val="16"/>
                <w:szCs w:val="16"/>
              </w:rPr>
            </w:pPr>
            <w:r w:rsidRPr="00EE1448">
              <w:rPr>
                <w:color w:val="000000"/>
                <w:sz w:val="16"/>
                <w:szCs w:val="16"/>
              </w:rPr>
              <w:t>38.3</w:t>
            </w:r>
          </w:p>
        </w:tc>
        <w:tc>
          <w:tcPr>
            <w:tcW w:w="446" w:type="pct"/>
            <w:noWrap/>
            <w:hideMark/>
          </w:tcPr>
          <w:p w14:paraId="66E643A9" w14:textId="77777777" w:rsidR="00120717" w:rsidRPr="00EE1448" w:rsidRDefault="00120717" w:rsidP="00DA262F">
            <w:pPr>
              <w:ind w:right="113"/>
              <w:jc w:val="right"/>
              <w:rPr>
                <w:color w:val="000000"/>
                <w:sz w:val="16"/>
                <w:szCs w:val="16"/>
              </w:rPr>
            </w:pPr>
            <w:r w:rsidRPr="00EE1448">
              <w:rPr>
                <w:color w:val="000000"/>
                <w:sz w:val="16"/>
                <w:szCs w:val="16"/>
              </w:rPr>
              <w:t>36.6</w:t>
            </w:r>
          </w:p>
        </w:tc>
        <w:tc>
          <w:tcPr>
            <w:tcW w:w="446" w:type="pct"/>
            <w:noWrap/>
            <w:hideMark/>
          </w:tcPr>
          <w:p w14:paraId="2ABE9731" w14:textId="77777777" w:rsidR="00120717" w:rsidRPr="00EE1448" w:rsidRDefault="00120717" w:rsidP="00DA262F">
            <w:pPr>
              <w:ind w:right="113"/>
              <w:jc w:val="right"/>
              <w:rPr>
                <w:color w:val="000000"/>
                <w:sz w:val="16"/>
                <w:szCs w:val="16"/>
              </w:rPr>
            </w:pPr>
            <w:r w:rsidRPr="00EE1448">
              <w:rPr>
                <w:color w:val="000000"/>
                <w:sz w:val="16"/>
                <w:szCs w:val="16"/>
              </w:rPr>
              <w:t>35.0</w:t>
            </w:r>
          </w:p>
        </w:tc>
        <w:tc>
          <w:tcPr>
            <w:tcW w:w="441" w:type="pct"/>
            <w:noWrap/>
            <w:hideMark/>
          </w:tcPr>
          <w:p w14:paraId="6CBB02BF" w14:textId="77777777" w:rsidR="00120717" w:rsidRPr="00EE1448" w:rsidRDefault="00120717" w:rsidP="00DA262F">
            <w:pPr>
              <w:ind w:right="113"/>
              <w:jc w:val="right"/>
              <w:rPr>
                <w:color w:val="000000"/>
                <w:sz w:val="16"/>
                <w:szCs w:val="16"/>
              </w:rPr>
            </w:pPr>
            <w:r w:rsidRPr="00EE1448">
              <w:rPr>
                <w:color w:val="000000"/>
                <w:sz w:val="16"/>
                <w:szCs w:val="16"/>
              </w:rPr>
              <w:t>33.6</w:t>
            </w:r>
          </w:p>
        </w:tc>
      </w:tr>
      <w:tr w:rsidR="00120717" w:rsidRPr="00EE1448" w14:paraId="02614FCC" w14:textId="77777777" w:rsidTr="004E187B">
        <w:trPr>
          <w:trHeight w:val="60"/>
        </w:trPr>
        <w:tc>
          <w:tcPr>
            <w:tcW w:w="1883" w:type="pct"/>
            <w:noWrap/>
            <w:hideMark/>
          </w:tcPr>
          <w:p w14:paraId="1313F43A" w14:textId="77777777" w:rsidR="00120717" w:rsidRPr="00EE1448" w:rsidRDefault="00120717">
            <w:pPr>
              <w:jc w:val="left"/>
              <w:rPr>
                <w:sz w:val="16"/>
                <w:szCs w:val="16"/>
              </w:rPr>
            </w:pPr>
            <w:r w:rsidRPr="00EE1448">
              <w:rPr>
                <w:sz w:val="16"/>
                <w:szCs w:val="16"/>
              </w:rPr>
              <w:tab/>
              <w:t>Australia</w:t>
            </w:r>
          </w:p>
        </w:tc>
        <w:tc>
          <w:tcPr>
            <w:tcW w:w="446" w:type="pct"/>
            <w:noWrap/>
            <w:hideMark/>
          </w:tcPr>
          <w:p w14:paraId="7F8CFFC7" w14:textId="77777777" w:rsidR="00120717" w:rsidRPr="00EE1448" w:rsidRDefault="00120717" w:rsidP="00DA262F">
            <w:pPr>
              <w:ind w:right="113"/>
              <w:jc w:val="right"/>
              <w:rPr>
                <w:color w:val="000000"/>
                <w:sz w:val="16"/>
                <w:szCs w:val="16"/>
              </w:rPr>
            </w:pPr>
            <w:r w:rsidRPr="00EE1448">
              <w:rPr>
                <w:color w:val="000000"/>
                <w:sz w:val="16"/>
                <w:szCs w:val="16"/>
              </w:rPr>
              <w:t>17.0</w:t>
            </w:r>
          </w:p>
        </w:tc>
        <w:tc>
          <w:tcPr>
            <w:tcW w:w="446" w:type="pct"/>
            <w:noWrap/>
            <w:hideMark/>
          </w:tcPr>
          <w:p w14:paraId="5F3D63A9" w14:textId="77777777" w:rsidR="00120717" w:rsidRPr="00EE1448" w:rsidRDefault="00120717" w:rsidP="00DA262F">
            <w:pPr>
              <w:ind w:right="113"/>
              <w:jc w:val="right"/>
              <w:rPr>
                <w:color w:val="000000"/>
                <w:sz w:val="16"/>
                <w:szCs w:val="16"/>
              </w:rPr>
            </w:pPr>
            <w:r w:rsidRPr="00EE1448">
              <w:rPr>
                <w:color w:val="000000"/>
                <w:sz w:val="16"/>
                <w:szCs w:val="16"/>
              </w:rPr>
              <w:t>17.1</w:t>
            </w:r>
          </w:p>
        </w:tc>
        <w:tc>
          <w:tcPr>
            <w:tcW w:w="446" w:type="pct"/>
            <w:noWrap/>
            <w:hideMark/>
          </w:tcPr>
          <w:p w14:paraId="512539AA" w14:textId="77777777" w:rsidR="00120717" w:rsidRPr="00EE1448" w:rsidRDefault="00120717" w:rsidP="00DA262F">
            <w:pPr>
              <w:ind w:right="113"/>
              <w:jc w:val="right"/>
              <w:rPr>
                <w:color w:val="000000"/>
                <w:sz w:val="16"/>
                <w:szCs w:val="16"/>
              </w:rPr>
            </w:pPr>
            <w:r w:rsidRPr="00EE1448">
              <w:rPr>
                <w:color w:val="000000"/>
                <w:sz w:val="16"/>
                <w:szCs w:val="16"/>
              </w:rPr>
              <w:t>16.4</w:t>
            </w:r>
          </w:p>
        </w:tc>
        <w:tc>
          <w:tcPr>
            <w:tcW w:w="446" w:type="pct"/>
            <w:noWrap/>
            <w:hideMark/>
          </w:tcPr>
          <w:p w14:paraId="1C21FE7C" w14:textId="77777777" w:rsidR="00120717" w:rsidRPr="00EE1448" w:rsidRDefault="00120717" w:rsidP="00DA262F">
            <w:pPr>
              <w:ind w:right="113"/>
              <w:jc w:val="right"/>
              <w:rPr>
                <w:color w:val="000000"/>
                <w:sz w:val="16"/>
                <w:szCs w:val="16"/>
              </w:rPr>
            </w:pPr>
            <w:r w:rsidRPr="00EE1448">
              <w:rPr>
                <w:color w:val="000000"/>
                <w:sz w:val="16"/>
                <w:szCs w:val="16"/>
              </w:rPr>
              <w:t>15.9</w:t>
            </w:r>
          </w:p>
        </w:tc>
        <w:tc>
          <w:tcPr>
            <w:tcW w:w="446" w:type="pct"/>
            <w:noWrap/>
            <w:hideMark/>
          </w:tcPr>
          <w:p w14:paraId="5F2C98B6" w14:textId="77777777" w:rsidR="00120717" w:rsidRPr="00EE1448" w:rsidRDefault="00120717" w:rsidP="00DA262F">
            <w:pPr>
              <w:ind w:right="113"/>
              <w:jc w:val="right"/>
              <w:rPr>
                <w:color w:val="000000"/>
                <w:sz w:val="16"/>
                <w:szCs w:val="16"/>
              </w:rPr>
            </w:pPr>
            <w:r w:rsidRPr="00EE1448">
              <w:rPr>
                <w:color w:val="000000"/>
                <w:sz w:val="16"/>
                <w:szCs w:val="16"/>
              </w:rPr>
              <w:t>14.5</w:t>
            </w:r>
          </w:p>
        </w:tc>
        <w:tc>
          <w:tcPr>
            <w:tcW w:w="446" w:type="pct"/>
            <w:noWrap/>
            <w:hideMark/>
          </w:tcPr>
          <w:p w14:paraId="4CEB6AC3" w14:textId="77777777" w:rsidR="00120717" w:rsidRPr="00EE1448" w:rsidRDefault="00120717" w:rsidP="00DA262F">
            <w:pPr>
              <w:ind w:right="113"/>
              <w:jc w:val="right"/>
              <w:rPr>
                <w:color w:val="000000"/>
                <w:sz w:val="16"/>
                <w:szCs w:val="16"/>
              </w:rPr>
            </w:pPr>
            <w:r w:rsidRPr="00EE1448">
              <w:rPr>
                <w:color w:val="000000"/>
                <w:sz w:val="16"/>
                <w:szCs w:val="16"/>
              </w:rPr>
              <w:t>13.6</w:t>
            </w:r>
          </w:p>
        </w:tc>
        <w:tc>
          <w:tcPr>
            <w:tcW w:w="441" w:type="pct"/>
            <w:noWrap/>
            <w:hideMark/>
          </w:tcPr>
          <w:p w14:paraId="7E6BA336" w14:textId="77777777" w:rsidR="00120717" w:rsidRPr="00EE1448" w:rsidRDefault="00120717" w:rsidP="00DA262F">
            <w:pPr>
              <w:ind w:right="113"/>
              <w:jc w:val="right"/>
              <w:rPr>
                <w:color w:val="000000"/>
                <w:sz w:val="16"/>
                <w:szCs w:val="16"/>
              </w:rPr>
            </w:pPr>
            <w:r w:rsidRPr="00EE1448">
              <w:rPr>
                <w:color w:val="000000"/>
                <w:sz w:val="16"/>
                <w:szCs w:val="16"/>
              </w:rPr>
              <w:t>12.4</w:t>
            </w:r>
          </w:p>
        </w:tc>
      </w:tr>
      <w:tr w:rsidR="00120717" w:rsidRPr="00EE1448" w14:paraId="4D0052D0" w14:textId="77777777" w:rsidTr="004E187B">
        <w:trPr>
          <w:cnfStyle w:val="000000010000" w:firstRow="0" w:lastRow="0" w:firstColumn="0" w:lastColumn="0" w:oddVBand="0" w:evenVBand="0" w:oddHBand="0" w:evenHBand="1" w:firstRowFirstColumn="0" w:firstRowLastColumn="0" w:lastRowFirstColumn="0" w:lastRowLastColumn="0"/>
          <w:trHeight w:val="82"/>
        </w:trPr>
        <w:tc>
          <w:tcPr>
            <w:tcW w:w="1883" w:type="pct"/>
            <w:noWrap/>
            <w:hideMark/>
          </w:tcPr>
          <w:p w14:paraId="6A3EFE47" w14:textId="77777777" w:rsidR="00120717" w:rsidRPr="00EE1448" w:rsidRDefault="00120717">
            <w:pPr>
              <w:jc w:val="left"/>
              <w:rPr>
                <w:sz w:val="16"/>
                <w:szCs w:val="16"/>
              </w:rPr>
            </w:pPr>
            <w:r w:rsidRPr="00EE1448">
              <w:rPr>
                <w:sz w:val="16"/>
                <w:szCs w:val="16"/>
              </w:rPr>
              <w:tab/>
              <w:t>Korea, Republic of</w:t>
            </w:r>
          </w:p>
        </w:tc>
        <w:tc>
          <w:tcPr>
            <w:tcW w:w="446" w:type="pct"/>
            <w:noWrap/>
            <w:hideMark/>
          </w:tcPr>
          <w:p w14:paraId="0DADDA57" w14:textId="77777777" w:rsidR="00120717" w:rsidRPr="00EE1448" w:rsidRDefault="00120717" w:rsidP="00DA262F">
            <w:pPr>
              <w:ind w:right="113"/>
              <w:jc w:val="right"/>
              <w:rPr>
                <w:color w:val="000000"/>
                <w:sz w:val="16"/>
                <w:szCs w:val="16"/>
              </w:rPr>
            </w:pPr>
            <w:r w:rsidRPr="00EE1448">
              <w:rPr>
                <w:color w:val="000000"/>
                <w:sz w:val="16"/>
                <w:szCs w:val="16"/>
              </w:rPr>
              <w:t>3.2</w:t>
            </w:r>
          </w:p>
        </w:tc>
        <w:tc>
          <w:tcPr>
            <w:tcW w:w="446" w:type="pct"/>
            <w:noWrap/>
            <w:hideMark/>
          </w:tcPr>
          <w:p w14:paraId="619DFF57" w14:textId="77777777" w:rsidR="00120717" w:rsidRPr="00EE1448" w:rsidRDefault="00120717" w:rsidP="00DA262F">
            <w:pPr>
              <w:ind w:right="113"/>
              <w:jc w:val="right"/>
              <w:rPr>
                <w:color w:val="000000"/>
                <w:sz w:val="16"/>
                <w:szCs w:val="16"/>
              </w:rPr>
            </w:pPr>
            <w:r w:rsidRPr="00EE1448">
              <w:rPr>
                <w:color w:val="000000"/>
                <w:sz w:val="16"/>
                <w:szCs w:val="16"/>
              </w:rPr>
              <w:t>3.1</w:t>
            </w:r>
          </w:p>
        </w:tc>
        <w:tc>
          <w:tcPr>
            <w:tcW w:w="446" w:type="pct"/>
            <w:noWrap/>
            <w:hideMark/>
          </w:tcPr>
          <w:p w14:paraId="05598E3E" w14:textId="77777777" w:rsidR="00120717" w:rsidRPr="00EE1448" w:rsidRDefault="00120717" w:rsidP="00DA262F">
            <w:pPr>
              <w:ind w:right="113"/>
              <w:jc w:val="right"/>
              <w:rPr>
                <w:color w:val="000000"/>
                <w:sz w:val="16"/>
                <w:szCs w:val="16"/>
              </w:rPr>
            </w:pPr>
            <w:r w:rsidRPr="00EE1448">
              <w:rPr>
                <w:color w:val="000000"/>
                <w:sz w:val="16"/>
                <w:szCs w:val="16"/>
              </w:rPr>
              <w:t>2.8</w:t>
            </w:r>
          </w:p>
        </w:tc>
        <w:tc>
          <w:tcPr>
            <w:tcW w:w="446" w:type="pct"/>
            <w:noWrap/>
            <w:hideMark/>
          </w:tcPr>
          <w:p w14:paraId="57B287A3" w14:textId="77777777" w:rsidR="00120717" w:rsidRPr="00EE1448" w:rsidRDefault="00120717" w:rsidP="00DA262F">
            <w:pPr>
              <w:ind w:right="113"/>
              <w:jc w:val="right"/>
              <w:rPr>
                <w:color w:val="000000"/>
                <w:sz w:val="16"/>
                <w:szCs w:val="16"/>
              </w:rPr>
            </w:pPr>
            <w:r w:rsidRPr="00EE1448">
              <w:rPr>
                <w:color w:val="000000"/>
                <w:sz w:val="16"/>
                <w:szCs w:val="16"/>
              </w:rPr>
              <w:t>3.0</w:t>
            </w:r>
          </w:p>
        </w:tc>
        <w:tc>
          <w:tcPr>
            <w:tcW w:w="446" w:type="pct"/>
            <w:noWrap/>
            <w:hideMark/>
          </w:tcPr>
          <w:p w14:paraId="770A4B02" w14:textId="77777777" w:rsidR="00120717" w:rsidRPr="00EE1448" w:rsidRDefault="00120717" w:rsidP="00DA262F">
            <w:pPr>
              <w:ind w:right="113"/>
              <w:jc w:val="right"/>
              <w:rPr>
                <w:color w:val="000000"/>
                <w:sz w:val="16"/>
                <w:szCs w:val="16"/>
              </w:rPr>
            </w:pPr>
            <w:r w:rsidRPr="00EE1448">
              <w:rPr>
                <w:color w:val="000000"/>
                <w:sz w:val="16"/>
                <w:szCs w:val="16"/>
              </w:rPr>
              <w:t>2.8</w:t>
            </w:r>
          </w:p>
        </w:tc>
        <w:tc>
          <w:tcPr>
            <w:tcW w:w="446" w:type="pct"/>
            <w:noWrap/>
            <w:hideMark/>
          </w:tcPr>
          <w:p w14:paraId="60EC80EA" w14:textId="77777777" w:rsidR="00120717" w:rsidRPr="00EE1448" w:rsidRDefault="00120717" w:rsidP="00DA262F">
            <w:pPr>
              <w:ind w:right="113"/>
              <w:jc w:val="right"/>
              <w:rPr>
                <w:color w:val="000000"/>
                <w:sz w:val="16"/>
                <w:szCs w:val="16"/>
              </w:rPr>
            </w:pPr>
            <w:r w:rsidRPr="00EE1448">
              <w:rPr>
                <w:color w:val="000000"/>
                <w:sz w:val="16"/>
                <w:szCs w:val="16"/>
              </w:rPr>
              <w:t>2.9</w:t>
            </w:r>
          </w:p>
        </w:tc>
        <w:tc>
          <w:tcPr>
            <w:tcW w:w="441" w:type="pct"/>
            <w:noWrap/>
            <w:hideMark/>
          </w:tcPr>
          <w:p w14:paraId="6C1A6E24" w14:textId="77777777" w:rsidR="00120717" w:rsidRPr="00EE1448" w:rsidRDefault="00120717" w:rsidP="00DA262F">
            <w:pPr>
              <w:ind w:right="113"/>
              <w:jc w:val="right"/>
              <w:rPr>
                <w:color w:val="000000"/>
                <w:sz w:val="16"/>
                <w:szCs w:val="16"/>
              </w:rPr>
            </w:pPr>
            <w:r w:rsidRPr="00EE1448">
              <w:rPr>
                <w:color w:val="000000"/>
                <w:sz w:val="16"/>
                <w:szCs w:val="16"/>
              </w:rPr>
              <w:t>3.1</w:t>
            </w:r>
          </w:p>
        </w:tc>
      </w:tr>
      <w:tr w:rsidR="00120717" w:rsidRPr="00EE1448" w14:paraId="444A30B5" w14:textId="77777777" w:rsidTr="004E187B">
        <w:trPr>
          <w:trHeight w:val="60"/>
        </w:trPr>
        <w:tc>
          <w:tcPr>
            <w:tcW w:w="1883" w:type="pct"/>
            <w:noWrap/>
            <w:hideMark/>
          </w:tcPr>
          <w:p w14:paraId="2075D998" w14:textId="77777777" w:rsidR="00120717" w:rsidRPr="00EE1448" w:rsidRDefault="00120717">
            <w:pPr>
              <w:jc w:val="left"/>
              <w:rPr>
                <w:sz w:val="16"/>
                <w:szCs w:val="16"/>
              </w:rPr>
            </w:pPr>
            <w:r w:rsidRPr="00EE1448">
              <w:rPr>
                <w:sz w:val="16"/>
                <w:szCs w:val="16"/>
              </w:rPr>
              <w:tab/>
              <w:t>Chinese Taipei</w:t>
            </w:r>
          </w:p>
        </w:tc>
        <w:tc>
          <w:tcPr>
            <w:tcW w:w="446" w:type="pct"/>
            <w:noWrap/>
            <w:hideMark/>
          </w:tcPr>
          <w:p w14:paraId="64296280" w14:textId="77777777" w:rsidR="00120717" w:rsidRPr="00EE1448" w:rsidRDefault="00120717" w:rsidP="00DA262F">
            <w:pPr>
              <w:ind w:right="113"/>
              <w:jc w:val="right"/>
              <w:rPr>
                <w:color w:val="000000"/>
                <w:sz w:val="16"/>
                <w:szCs w:val="16"/>
              </w:rPr>
            </w:pPr>
            <w:r w:rsidRPr="00EE1448">
              <w:rPr>
                <w:color w:val="000000"/>
                <w:sz w:val="16"/>
                <w:szCs w:val="16"/>
              </w:rPr>
              <w:t>2.3</w:t>
            </w:r>
          </w:p>
        </w:tc>
        <w:tc>
          <w:tcPr>
            <w:tcW w:w="446" w:type="pct"/>
            <w:noWrap/>
            <w:hideMark/>
          </w:tcPr>
          <w:p w14:paraId="22B4B0E1" w14:textId="77777777" w:rsidR="00120717" w:rsidRPr="00EE1448" w:rsidRDefault="00120717" w:rsidP="00DA262F">
            <w:pPr>
              <w:ind w:right="113"/>
              <w:jc w:val="right"/>
              <w:rPr>
                <w:color w:val="000000"/>
                <w:sz w:val="16"/>
                <w:szCs w:val="16"/>
              </w:rPr>
            </w:pPr>
            <w:r w:rsidRPr="00EE1448">
              <w:rPr>
                <w:color w:val="000000"/>
                <w:sz w:val="16"/>
                <w:szCs w:val="16"/>
              </w:rPr>
              <w:t>2.2</w:t>
            </w:r>
          </w:p>
        </w:tc>
        <w:tc>
          <w:tcPr>
            <w:tcW w:w="446" w:type="pct"/>
            <w:noWrap/>
            <w:hideMark/>
          </w:tcPr>
          <w:p w14:paraId="08F25C31" w14:textId="77777777" w:rsidR="00120717" w:rsidRPr="00EE1448" w:rsidRDefault="00120717" w:rsidP="00DA262F">
            <w:pPr>
              <w:ind w:right="113"/>
              <w:jc w:val="right"/>
              <w:rPr>
                <w:color w:val="000000"/>
                <w:sz w:val="16"/>
                <w:szCs w:val="16"/>
              </w:rPr>
            </w:pPr>
            <w:r w:rsidRPr="00EE1448">
              <w:rPr>
                <w:color w:val="000000"/>
                <w:sz w:val="16"/>
                <w:szCs w:val="16"/>
              </w:rPr>
              <w:t>2.1</w:t>
            </w:r>
          </w:p>
        </w:tc>
        <w:tc>
          <w:tcPr>
            <w:tcW w:w="446" w:type="pct"/>
            <w:noWrap/>
            <w:hideMark/>
          </w:tcPr>
          <w:p w14:paraId="54C77CF8" w14:textId="77777777" w:rsidR="00120717" w:rsidRPr="00EE1448" w:rsidRDefault="00120717" w:rsidP="00DA262F">
            <w:pPr>
              <w:ind w:right="113"/>
              <w:jc w:val="right"/>
              <w:rPr>
                <w:color w:val="000000"/>
                <w:sz w:val="16"/>
                <w:szCs w:val="16"/>
              </w:rPr>
            </w:pPr>
            <w:r w:rsidRPr="00EE1448">
              <w:rPr>
                <w:color w:val="000000"/>
                <w:sz w:val="16"/>
                <w:szCs w:val="16"/>
              </w:rPr>
              <w:t>2.1</w:t>
            </w:r>
          </w:p>
        </w:tc>
        <w:tc>
          <w:tcPr>
            <w:tcW w:w="446" w:type="pct"/>
            <w:noWrap/>
            <w:hideMark/>
          </w:tcPr>
          <w:p w14:paraId="041226A4" w14:textId="77777777" w:rsidR="00120717" w:rsidRPr="00EE1448" w:rsidRDefault="00120717" w:rsidP="00DA262F">
            <w:pPr>
              <w:ind w:right="113"/>
              <w:jc w:val="right"/>
              <w:rPr>
                <w:color w:val="000000"/>
                <w:sz w:val="16"/>
                <w:szCs w:val="16"/>
              </w:rPr>
            </w:pPr>
            <w:r w:rsidRPr="00EE1448">
              <w:rPr>
                <w:color w:val="000000"/>
                <w:sz w:val="16"/>
                <w:szCs w:val="16"/>
              </w:rPr>
              <w:t>2.0</w:t>
            </w:r>
          </w:p>
        </w:tc>
        <w:tc>
          <w:tcPr>
            <w:tcW w:w="446" w:type="pct"/>
            <w:noWrap/>
            <w:hideMark/>
          </w:tcPr>
          <w:p w14:paraId="47610E4F" w14:textId="77777777" w:rsidR="00120717" w:rsidRPr="00EE1448" w:rsidRDefault="00120717" w:rsidP="00DA262F">
            <w:pPr>
              <w:ind w:right="113"/>
              <w:jc w:val="right"/>
              <w:rPr>
                <w:color w:val="000000"/>
                <w:sz w:val="16"/>
                <w:szCs w:val="16"/>
              </w:rPr>
            </w:pPr>
            <w:r w:rsidRPr="00EE1448">
              <w:rPr>
                <w:color w:val="000000"/>
                <w:sz w:val="16"/>
                <w:szCs w:val="16"/>
              </w:rPr>
              <w:t>2.2</w:t>
            </w:r>
          </w:p>
        </w:tc>
        <w:tc>
          <w:tcPr>
            <w:tcW w:w="441" w:type="pct"/>
            <w:noWrap/>
            <w:hideMark/>
          </w:tcPr>
          <w:p w14:paraId="716ED765" w14:textId="77777777" w:rsidR="00120717" w:rsidRPr="00EE1448" w:rsidRDefault="00120717" w:rsidP="00DA262F">
            <w:pPr>
              <w:ind w:right="113"/>
              <w:jc w:val="right"/>
              <w:rPr>
                <w:color w:val="000000"/>
                <w:sz w:val="16"/>
                <w:szCs w:val="16"/>
              </w:rPr>
            </w:pPr>
            <w:r w:rsidRPr="00EE1448">
              <w:rPr>
                <w:color w:val="000000"/>
                <w:sz w:val="16"/>
                <w:szCs w:val="16"/>
              </w:rPr>
              <w:t>2.1</w:t>
            </w:r>
          </w:p>
        </w:tc>
      </w:tr>
      <w:tr w:rsidR="00120717" w:rsidRPr="00EE1448" w14:paraId="142237CD"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6D3B62B2" w14:textId="77777777" w:rsidR="00120717" w:rsidRPr="00EE1448" w:rsidRDefault="00120717">
            <w:pPr>
              <w:jc w:val="left"/>
              <w:rPr>
                <w:sz w:val="16"/>
                <w:szCs w:val="16"/>
              </w:rPr>
            </w:pPr>
            <w:r w:rsidRPr="00EE1448">
              <w:rPr>
                <w:sz w:val="16"/>
                <w:szCs w:val="16"/>
              </w:rPr>
              <w:tab/>
              <w:t>Indonesia</w:t>
            </w:r>
          </w:p>
        </w:tc>
        <w:tc>
          <w:tcPr>
            <w:tcW w:w="446" w:type="pct"/>
            <w:noWrap/>
            <w:hideMark/>
          </w:tcPr>
          <w:p w14:paraId="1A4649CB" w14:textId="77777777" w:rsidR="00120717" w:rsidRPr="00EE1448" w:rsidRDefault="00120717" w:rsidP="00DA262F">
            <w:pPr>
              <w:ind w:right="113"/>
              <w:jc w:val="right"/>
              <w:rPr>
                <w:color w:val="000000"/>
                <w:sz w:val="16"/>
                <w:szCs w:val="16"/>
              </w:rPr>
            </w:pPr>
            <w:r w:rsidRPr="00EE1448">
              <w:rPr>
                <w:color w:val="000000"/>
                <w:sz w:val="16"/>
                <w:szCs w:val="16"/>
              </w:rPr>
              <w:t>1.7</w:t>
            </w:r>
          </w:p>
        </w:tc>
        <w:tc>
          <w:tcPr>
            <w:tcW w:w="446" w:type="pct"/>
            <w:noWrap/>
            <w:hideMark/>
          </w:tcPr>
          <w:p w14:paraId="15899F6E" w14:textId="77777777" w:rsidR="00120717" w:rsidRPr="00EE1448" w:rsidRDefault="00120717" w:rsidP="00DA262F">
            <w:pPr>
              <w:ind w:right="113"/>
              <w:jc w:val="right"/>
              <w:rPr>
                <w:color w:val="000000"/>
                <w:sz w:val="16"/>
                <w:szCs w:val="16"/>
              </w:rPr>
            </w:pPr>
            <w:r w:rsidRPr="00EE1448">
              <w:rPr>
                <w:color w:val="000000"/>
                <w:sz w:val="16"/>
                <w:szCs w:val="16"/>
              </w:rPr>
              <w:t>1.8</w:t>
            </w:r>
          </w:p>
        </w:tc>
        <w:tc>
          <w:tcPr>
            <w:tcW w:w="446" w:type="pct"/>
            <w:noWrap/>
            <w:hideMark/>
          </w:tcPr>
          <w:p w14:paraId="5BB5F8A8" w14:textId="77777777" w:rsidR="00120717" w:rsidRPr="00EE1448" w:rsidRDefault="00120717" w:rsidP="00DA262F">
            <w:pPr>
              <w:ind w:right="113"/>
              <w:jc w:val="right"/>
              <w:rPr>
                <w:color w:val="000000"/>
                <w:sz w:val="16"/>
                <w:szCs w:val="16"/>
              </w:rPr>
            </w:pPr>
            <w:r w:rsidRPr="00EE1448">
              <w:rPr>
                <w:color w:val="000000"/>
                <w:sz w:val="16"/>
                <w:szCs w:val="16"/>
              </w:rPr>
              <w:t>1.8</w:t>
            </w:r>
          </w:p>
        </w:tc>
        <w:tc>
          <w:tcPr>
            <w:tcW w:w="446" w:type="pct"/>
            <w:noWrap/>
            <w:hideMark/>
          </w:tcPr>
          <w:p w14:paraId="6F11199F" w14:textId="77777777" w:rsidR="00120717" w:rsidRPr="00EE1448" w:rsidRDefault="00120717" w:rsidP="00DA262F">
            <w:pPr>
              <w:ind w:right="113"/>
              <w:jc w:val="right"/>
              <w:rPr>
                <w:color w:val="000000"/>
                <w:sz w:val="16"/>
                <w:szCs w:val="16"/>
              </w:rPr>
            </w:pPr>
            <w:r w:rsidRPr="00EE1448">
              <w:rPr>
                <w:color w:val="000000"/>
                <w:sz w:val="16"/>
                <w:szCs w:val="16"/>
              </w:rPr>
              <w:t>1.7</w:t>
            </w:r>
          </w:p>
        </w:tc>
        <w:tc>
          <w:tcPr>
            <w:tcW w:w="446" w:type="pct"/>
            <w:noWrap/>
            <w:hideMark/>
          </w:tcPr>
          <w:p w14:paraId="7E10EBBC" w14:textId="77777777" w:rsidR="00120717" w:rsidRPr="00EE1448" w:rsidRDefault="00120717" w:rsidP="00DA262F">
            <w:pPr>
              <w:ind w:right="113"/>
              <w:jc w:val="right"/>
              <w:rPr>
                <w:color w:val="000000"/>
                <w:sz w:val="16"/>
                <w:szCs w:val="16"/>
              </w:rPr>
            </w:pPr>
            <w:r w:rsidRPr="00EE1448">
              <w:rPr>
                <w:color w:val="000000"/>
                <w:sz w:val="16"/>
                <w:szCs w:val="16"/>
              </w:rPr>
              <w:t>1.8</w:t>
            </w:r>
          </w:p>
        </w:tc>
        <w:tc>
          <w:tcPr>
            <w:tcW w:w="446" w:type="pct"/>
            <w:noWrap/>
            <w:hideMark/>
          </w:tcPr>
          <w:p w14:paraId="6A30789D" w14:textId="77777777" w:rsidR="00120717" w:rsidRPr="00EE1448" w:rsidRDefault="00120717" w:rsidP="00DA262F">
            <w:pPr>
              <w:ind w:right="113"/>
              <w:jc w:val="right"/>
              <w:rPr>
                <w:color w:val="000000"/>
                <w:sz w:val="16"/>
                <w:szCs w:val="16"/>
              </w:rPr>
            </w:pPr>
            <w:r w:rsidRPr="00EE1448">
              <w:rPr>
                <w:color w:val="000000"/>
                <w:sz w:val="16"/>
                <w:szCs w:val="16"/>
              </w:rPr>
              <w:t>1.8</w:t>
            </w:r>
          </w:p>
        </w:tc>
        <w:tc>
          <w:tcPr>
            <w:tcW w:w="441" w:type="pct"/>
            <w:noWrap/>
            <w:hideMark/>
          </w:tcPr>
          <w:p w14:paraId="60901FD6" w14:textId="77777777" w:rsidR="00120717" w:rsidRPr="00EE1448" w:rsidRDefault="00120717" w:rsidP="00DA262F">
            <w:pPr>
              <w:ind w:right="113"/>
              <w:jc w:val="right"/>
              <w:rPr>
                <w:color w:val="000000"/>
                <w:sz w:val="16"/>
                <w:szCs w:val="16"/>
              </w:rPr>
            </w:pPr>
            <w:r w:rsidRPr="00EE1448">
              <w:rPr>
                <w:color w:val="000000"/>
                <w:sz w:val="16"/>
                <w:szCs w:val="16"/>
              </w:rPr>
              <w:t>2.1</w:t>
            </w:r>
          </w:p>
        </w:tc>
      </w:tr>
      <w:tr w:rsidR="00120717" w:rsidRPr="00EE1448" w14:paraId="263CA9C7" w14:textId="77777777" w:rsidTr="004E187B">
        <w:trPr>
          <w:trHeight w:val="60"/>
        </w:trPr>
        <w:tc>
          <w:tcPr>
            <w:tcW w:w="1883" w:type="pct"/>
            <w:noWrap/>
            <w:hideMark/>
          </w:tcPr>
          <w:p w14:paraId="7FC36BE4" w14:textId="77777777" w:rsidR="00120717" w:rsidRPr="00EE1448" w:rsidRDefault="00120717">
            <w:pPr>
              <w:jc w:val="left"/>
              <w:rPr>
                <w:sz w:val="16"/>
                <w:szCs w:val="16"/>
              </w:rPr>
            </w:pPr>
            <w:r w:rsidRPr="00EE1448">
              <w:rPr>
                <w:sz w:val="16"/>
                <w:szCs w:val="16"/>
              </w:rPr>
              <w:tab/>
              <w:t>Singapore</w:t>
            </w:r>
          </w:p>
        </w:tc>
        <w:tc>
          <w:tcPr>
            <w:tcW w:w="446" w:type="pct"/>
            <w:noWrap/>
            <w:hideMark/>
          </w:tcPr>
          <w:p w14:paraId="070F016B" w14:textId="77777777" w:rsidR="00120717" w:rsidRPr="00EE1448" w:rsidRDefault="00120717" w:rsidP="00DA262F">
            <w:pPr>
              <w:ind w:right="113"/>
              <w:jc w:val="right"/>
              <w:rPr>
                <w:color w:val="000000"/>
                <w:sz w:val="16"/>
                <w:szCs w:val="16"/>
              </w:rPr>
            </w:pPr>
            <w:r w:rsidRPr="00EE1448">
              <w:rPr>
                <w:color w:val="000000"/>
                <w:sz w:val="16"/>
                <w:szCs w:val="16"/>
              </w:rPr>
              <w:t>2.2</w:t>
            </w:r>
          </w:p>
        </w:tc>
        <w:tc>
          <w:tcPr>
            <w:tcW w:w="446" w:type="pct"/>
            <w:noWrap/>
            <w:hideMark/>
          </w:tcPr>
          <w:p w14:paraId="65B61573" w14:textId="77777777" w:rsidR="00120717" w:rsidRPr="00EE1448" w:rsidRDefault="00120717" w:rsidP="00DA262F">
            <w:pPr>
              <w:ind w:right="113"/>
              <w:jc w:val="right"/>
              <w:rPr>
                <w:color w:val="000000"/>
                <w:sz w:val="16"/>
                <w:szCs w:val="16"/>
              </w:rPr>
            </w:pPr>
            <w:r w:rsidRPr="00EE1448">
              <w:rPr>
                <w:color w:val="000000"/>
                <w:sz w:val="16"/>
                <w:szCs w:val="16"/>
              </w:rPr>
              <w:t>2.3</w:t>
            </w:r>
          </w:p>
        </w:tc>
        <w:tc>
          <w:tcPr>
            <w:tcW w:w="446" w:type="pct"/>
            <w:noWrap/>
            <w:hideMark/>
          </w:tcPr>
          <w:p w14:paraId="1561C3BB" w14:textId="77777777" w:rsidR="00120717" w:rsidRPr="00EE1448" w:rsidRDefault="00120717" w:rsidP="00DA262F">
            <w:pPr>
              <w:ind w:right="113"/>
              <w:jc w:val="right"/>
              <w:rPr>
                <w:color w:val="000000"/>
                <w:sz w:val="16"/>
                <w:szCs w:val="16"/>
              </w:rPr>
            </w:pPr>
            <w:r w:rsidRPr="00EE1448">
              <w:rPr>
                <w:color w:val="000000"/>
                <w:sz w:val="16"/>
                <w:szCs w:val="16"/>
              </w:rPr>
              <w:t>2.1</w:t>
            </w:r>
          </w:p>
        </w:tc>
        <w:tc>
          <w:tcPr>
            <w:tcW w:w="446" w:type="pct"/>
            <w:noWrap/>
            <w:hideMark/>
          </w:tcPr>
          <w:p w14:paraId="629EA670" w14:textId="77777777" w:rsidR="00120717" w:rsidRPr="00EE1448" w:rsidRDefault="00120717" w:rsidP="00DA262F">
            <w:pPr>
              <w:ind w:right="113"/>
              <w:jc w:val="right"/>
              <w:rPr>
                <w:color w:val="000000"/>
                <w:sz w:val="16"/>
                <w:szCs w:val="16"/>
              </w:rPr>
            </w:pPr>
            <w:r w:rsidRPr="00EE1448">
              <w:rPr>
                <w:color w:val="000000"/>
                <w:sz w:val="16"/>
                <w:szCs w:val="16"/>
              </w:rPr>
              <w:t>2.2</w:t>
            </w:r>
          </w:p>
        </w:tc>
        <w:tc>
          <w:tcPr>
            <w:tcW w:w="446" w:type="pct"/>
            <w:noWrap/>
            <w:hideMark/>
          </w:tcPr>
          <w:p w14:paraId="7B63F7CB" w14:textId="77777777" w:rsidR="00120717" w:rsidRPr="00EE1448" w:rsidRDefault="00120717" w:rsidP="00DA262F">
            <w:pPr>
              <w:ind w:right="113"/>
              <w:jc w:val="right"/>
              <w:rPr>
                <w:color w:val="000000"/>
                <w:sz w:val="16"/>
                <w:szCs w:val="16"/>
              </w:rPr>
            </w:pPr>
            <w:r w:rsidRPr="00EE1448">
              <w:rPr>
                <w:color w:val="000000"/>
                <w:sz w:val="16"/>
                <w:szCs w:val="16"/>
              </w:rPr>
              <w:t>1.9</w:t>
            </w:r>
          </w:p>
        </w:tc>
        <w:tc>
          <w:tcPr>
            <w:tcW w:w="446" w:type="pct"/>
            <w:noWrap/>
            <w:hideMark/>
          </w:tcPr>
          <w:p w14:paraId="4526102C" w14:textId="77777777" w:rsidR="00120717" w:rsidRPr="00EE1448" w:rsidRDefault="00120717" w:rsidP="00DA262F">
            <w:pPr>
              <w:ind w:right="113"/>
              <w:jc w:val="right"/>
              <w:rPr>
                <w:color w:val="000000"/>
                <w:sz w:val="16"/>
                <w:szCs w:val="16"/>
              </w:rPr>
            </w:pPr>
            <w:r w:rsidRPr="00EE1448">
              <w:rPr>
                <w:color w:val="000000"/>
                <w:sz w:val="16"/>
                <w:szCs w:val="16"/>
              </w:rPr>
              <w:t>1.8</w:t>
            </w:r>
          </w:p>
        </w:tc>
        <w:tc>
          <w:tcPr>
            <w:tcW w:w="441" w:type="pct"/>
            <w:noWrap/>
            <w:hideMark/>
          </w:tcPr>
          <w:p w14:paraId="60473156" w14:textId="77777777" w:rsidR="00120717" w:rsidRPr="00EE1448" w:rsidRDefault="00120717" w:rsidP="00DA262F">
            <w:pPr>
              <w:ind w:right="113"/>
              <w:jc w:val="right"/>
              <w:rPr>
                <w:color w:val="000000"/>
                <w:sz w:val="16"/>
                <w:szCs w:val="16"/>
              </w:rPr>
            </w:pPr>
            <w:r w:rsidRPr="00EE1448">
              <w:rPr>
                <w:color w:val="000000"/>
                <w:sz w:val="16"/>
                <w:szCs w:val="16"/>
              </w:rPr>
              <w:t>2.0</w:t>
            </w:r>
          </w:p>
        </w:tc>
      </w:tr>
      <w:tr w:rsidR="00120717" w:rsidRPr="00EE1448" w14:paraId="077E9446" w14:textId="77777777" w:rsidTr="004E187B">
        <w:trPr>
          <w:cnfStyle w:val="000000010000" w:firstRow="0" w:lastRow="0" w:firstColumn="0" w:lastColumn="0" w:oddVBand="0" w:evenVBand="0" w:oddHBand="0" w:evenHBand="1" w:firstRowFirstColumn="0" w:firstRowLastColumn="0" w:lastRowFirstColumn="0" w:lastRowLastColumn="0"/>
          <w:trHeight w:val="64"/>
        </w:trPr>
        <w:tc>
          <w:tcPr>
            <w:tcW w:w="1883" w:type="pct"/>
            <w:noWrap/>
            <w:hideMark/>
          </w:tcPr>
          <w:p w14:paraId="004A029A" w14:textId="77777777" w:rsidR="00120717" w:rsidRPr="00EE1448" w:rsidRDefault="00120717">
            <w:pPr>
              <w:jc w:val="left"/>
              <w:rPr>
                <w:sz w:val="16"/>
                <w:szCs w:val="16"/>
              </w:rPr>
            </w:pPr>
            <w:r w:rsidRPr="00EE1448">
              <w:rPr>
                <w:sz w:val="16"/>
                <w:szCs w:val="16"/>
              </w:rPr>
              <w:tab/>
              <w:t>Hong Kong, China</w:t>
            </w:r>
          </w:p>
        </w:tc>
        <w:tc>
          <w:tcPr>
            <w:tcW w:w="446" w:type="pct"/>
            <w:noWrap/>
            <w:hideMark/>
          </w:tcPr>
          <w:p w14:paraId="3252701D" w14:textId="77777777" w:rsidR="00120717" w:rsidRPr="00EE1448" w:rsidRDefault="00120717" w:rsidP="00DA262F">
            <w:pPr>
              <w:ind w:right="113"/>
              <w:jc w:val="right"/>
              <w:rPr>
                <w:color w:val="000000"/>
                <w:sz w:val="16"/>
                <w:szCs w:val="16"/>
              </w:rPr>
            </w:pPr>
            <w:r w:rsidRPr="00EE1448">
              <w:rPr>
                <w:color w:val="000000"/>
                <w:sz w:val="16"/>
                <w:szCs w:val="16"/>
              </w:rPr>
              <w:t>1.5</w:t>
            </w:r>
          </w:p>
        </w:tc>
        <w:tc>
          <w:tcPr>
            <w:tcW w:w="446" w:type="pct"/>
            <w:noWrap/>
            <w:hideMark/>
          </w:tcPr>
          <w:p w14:paraId="1FA3DBC9" w14:textId="77777777" w:rsidR="00120717" w:rsidRPr="00EE1448" w:rsidRDefault="00120717" w:rsidP="00DA262F">
            <w:pPr>
              <w:ind w:right="113"/>
              <w:jc w:val="right"/>
              <w:rPr>
                <w:color w:val="000000"/>
                <w:sz w:val="16"/>
                <w:szCs w:val="16"/>
              </w:rPr>
            </w:pPr>
            <w:r w:rsidRPr="00EE1448">
              <w:rPr>
                <w:color w:val="000000"/>
                <w:sz w:val="16"/>
                <w:szCs w:val="16"/>
              </w:rPr>
              <w:t>1.6</w:t>
            </w:r>
          </w:p>
        </w:tc>
        <w:tc>
          <w:tcPr>
            <w:tcW w:w="446" w:type="pct"/>
            <w:noWrap/>
            <w:hideMark/>
          </w:tcPr>
          <w:p w14:paraId="6C336850" w14:textId="77777777" w:rsidR="00120717" w:rsidRPr="00EE1448" w:rsidRDefault="00120717" w:rsidP="00DA262F">
            <w:pPr>
              <w:ind w:right="113"/>
              <w:jc w:val="right"/>
              <w:rPr>
                <w:color w:val="000000"/>
                <w:sz w:val="16"/>
                <w:szCs w:val="16"/>
              </w:rPr>
            </w:pPr>
            <w:r w:rsidRPr="00EE1448">
              <w:rPr>
                <w:color w:val="000000"/>
                <w:sz w:val="16"/>
                <w:szCs w:val="16"/>
              </w:rPr>
              <w:t>2.3</w:t>
            </w:r>
          </w:p>
        </w:tc>
        <w:tc>
          <w:tcPr>
            <w:tcW w:w="446" w:type="pct"/>
            <w:noWrap/>
            <w:hideMark/>
          </w:tcPr>
          <w:p w14:paraId="0B35AB0B" w14:textId="77777777" w:rsidR="00120717" w:rsidRPr="00EE1448" w:rsidRDefault="00120717" w:rsidP="00DA262F">
            <w:pPr>
              <w:ind w:right="113"/>
              <w:jc w:val="right"/>
              <w:rPr>
                <w:color w:val="000000"/>
                <w:sz w:val="16"/>
                <w:szCs w:val="16"/>
              </w:rPr>
            </w:pPr>
            <w:r w:rsidRPr="00EE1448">
              <w:rPr>
                <w:color w:val="000000"/>
                <w:sz w:val="16"/>
                <w:szCs w:val="16"/>
              </w:rPr>
              <w:t>2.0</w:t>
            </w:r>
          </w:p>
        </w:tc>
        <w:tc>
          <w:tcPr>
            <w:tcW w:w="446" w:type="pct"/>
            <w:noWrap/>
            <w:hideMark/>
          </w:tcPr>
          <w:p w14:paraId="24EF80B7" w14:textId="77777777" w:rsidR="00120717" w:rsidRPr="00EE1448" w:rsidRDefault="00120717" w:rsidP="00DA262F">
            <w:pPr>
              <w:ind w:right="113"/>
              <w:jc w:val="right"/>
              <w:rPr>
                <w:color w:val="000000"/>
                <w:sz w:val="16"/>
                <w:szCs w:val="16"/>
              </w:rPr>
            </w:pPr>
            <w:r w:rsidRPr="00EE1448">
              <w:rPr>
                <w:color w:val="000000"/>
                <w:sz w:val="16"/>
                <w:szCs w:val="16"/>
              </w:rPr>
              <w:t>2.1</w:t>
            </w:r>
          </w:p>
        </w:tc>
        <w:tc>
          <w:tcPr>
            <w:tcW w:w="446" w:type="pct"/>
            <w:noWrap/>
            <w:hideMark/>
          </w:tcPr>
          <w:p w14:paraId="1329BD68" w14:textId="77777777" w:rsidR="00120717" w:rsidRPr="00EE1448" w:rsidRDefault="00120717" w:rsidP="00DA262F">
            <w:pPr>
              <w:ind w:right="113"/>
              <w:jc w:val="right"/>
              <w:rPr>
                <w:color w:val="000000"/>
                <w:sz w:val="16"/>
                <w:szCs w:val="16"/>
              </w:rPr>
            </w:pPr>
            <w:r w:rsidRPr="00EE1448">
              <w:rPr>
                <w:color w:val="000000"/>
                <w:sz w:val="16"/>
                <w:szCs w:val="16"/>
              </w:rPr>
              <w:t>2.0</w:t>
            </w:r>
          </w:p>
        </w:tc>
        <w:tc>
          <w:tcPr>
            <w:tcW w:w="441" w:type="pct"/>
            <w:noWrap/>
            <w:hideMark/>
          </w:tcPr>
          <w:p w14:paraId="4353F8DA" w14:textId="77777777" w:rsidR="00120717" w:rsidRPr="00EE1448" w:rsidRDefault="00120717" w:rsidP="00DA262F">
            <w:pPr>
              <w:ind w:right="113"/>
              <w:jc w:val="right"/>
              <w:rPr>
                <w:color w:val="000000"/>
                <w:sz w:val="16"/>
                <w:szCs w:val="16"/>
              </w:rPr>
            </w:pPr>
            <w:r w:rsidRPr="00EE1448">
              <w:rPr>
                <w:color w:val="000000"/>
                <w:sz w:val="16"/>
                <w:szCs w:val="16"/>
              </w:rPr>
              <w:t>1.9</w:t>
            </w:r>
          </w:p>
        </w:tc>
      </w:tr>
      <w:tr w:rsidR="00120717" w:rsidRPr="00EE1448" w14:paraId="27DCE673" w14:textId="77777777" w:rsidTr="004E187B">
        <w:trPr>
          <w:trHeight w:val="60"/>
        </w:trPr>
        <w:tc>
          <w:tcPr>
            <w:tcW w:w="1883" w:type="pct"/>
            <w:noWrap/>
            <w:hideMark/>
          </w:tcPr>
          <w:p w14:paraId="1E0AE313" w14:textId="77777777" w:rsidR="00120717" w:rsidRPr="00EE1448" w:rsidRDefault="00120717">
            <w:pPr>
              <w:jc w:val="left"/>
              <w:rPr>
                <w:sz w:val="16"/>
                <w:szCs w:val="16"/>
              </w:rPr>
            </w:pPr>
            <w:r w:rsidRPr="00EE1448">
              <w:rPr>
                <w:sz w:val="16"/>
                <w:szCs w:val="16"/>
              </w:rPr>
              <w:tab/>
              <w:t>Thailand</w:t>
            </w:r>
          </w:p>
        </w:tc>
        <w:tc>
          <w:tcPr>
            <w:tcW w:w="446" w:type="pct"/>
            <w:noWrap/>
            <w:hideMark/>
          </w:tcPr>
          <w:p w14:paraId="22B618BC" w14:textId="77777777" w:rsidR="00120717" w:rsidRPr="00EE1448" w:rsidRDefault="00120717" w:rsidP="00DA262F">
            <w:pPr>
              <w:ind w:right="113"/>
              <w:jc w:val="right"/>
              <w:rPr>
                <w:color w:val="000000"/>
                <w:sz w:val="16"/>
                <w:szCs w:val="16"/>
              </w:rPr>
            </w:pPr>
            <w:r w:rsidRPr="00EE1448">
              <w:rPr>
                <w:color w:val="000000"/>
                <w:sz w:val="16"/>
                <w:szCs w:val="16"/>
              </w:rPr>
              <w:t>1.6</w:t>
            </w:r>
          </w:p>
        </w:tc>
        <w:tc>
          <w:tcPr>
            <w:tcW w:w="446" w:type="pct"/>
            <w:noWrap/>
            <w:hideMark/>
          </w:tcPr>
          <w:p w14:paraId="3EDFAD0D" w14:textId="77777777" w:rsidR="00120717" w:rsidRPr="00EE1448" w:rsidRDefault="00120717" w:rsidP="00DA262F">
            <w:pPr>
              <w:ind w:right="113"/>
              <w:jc w:val="right"/>
              <w:rPr>
                <w:color w:val="000000"/>
                <w:sz w:val="16"/>
                <w:szCs w:val="16"/>
              </w:rPr>
            </w:pPr>
            <w:r w:rsidRPr="00EE1448">
              <w:rPr>
                <w:color w:val="000000"/>
                <w:sz w:val="16"/>
                <w:szCs w:val="16"/>
              </w:rPr>
              <w:t>1.7</w:t>
            </w:r>
          </w:p>
        </w:tc>
        <w:tc>
          <w:tcPr>
            <w:tcW w:w="446" w:type="pct"/>
            <w:noWrap/>
            <w:hideMark/>
          </w:tcPr>
          <w:p w14:paraId="25FEB3E0" w14:textId="77777777" w:rsidR="00120717" w:rsidRPr="00EE1448" w:rsidRDefault="00120717" w:rsidP="00DA262F">
            <w:pPr>
              <w:ind w:right="113"/>
              <w:jc w:val="right"/>
              <w:rPr>
                <w:color w:val="000000"/>
                <w:sz w:val="16"/>
                <w:szCs w:val="16"/>
              </w:rPr>
            </w:pPr>
            <w:r w:rsidRPr="00EE1448">
              <w:rPr>
                <w:color w:val="000000"/>
                <w:sz w:val="16"/>
                <w:szCs w:val="16"/>
              </w:rPr>
              <w:t>1.6</w:t>
            </w:r>
          </w:p>
        </w:tc>
        <w:tc>
          <w:tcPr>
            <w:tcW w:w="446" w:type="pct"/>
            <w:noWrap/>
            <w:hideMark/>
          </w:tcPr>
          <w:p w14:paraId="37475E49" w14:textId="77777777" w:rsidR="00120717" w:rsidRPr="00EE1448" w:rsidRDefault="00120717" w:rsidP="00DA262F">
            <w:pPr>
              <w:ind w:right="113"/>
              <w:jc w:val="right"/>
              <w:rPr>
                <w:color w:val="000000"/>
                <w:sz w:val="16"/>
                <w:szCs w:val="16"/>
              </w:rPr>
            </w:pPr>
            <w:r w:rsidRPr="00EE1448">
              <w:rPr>
                <w:color w:val="000000"/>
                <w:sz w:val="16"/>
                <w:szCs w:val="16"/>
              </w:rPr>
              <w:t>1.6</w:t>
            </w:r>
          </w:p>
        </w:tc>
        <w:tc>
          <w:tcPr>
            <w:tcW w:w="446" w:type="pct"/>
            <w:noWrap/>
            <w:hideMark/>
          </w:tcPr>
          <w:p w14:paraId="47F8DC0E" w14:textId="77777777" w:rsidR="00120717" w:rsidRPr="00EE1448" w:rsidRDefault="00120717" w:rsidP="00DA262F">
            <w:pPr>
              <w:ind w:right="113"/>
              <w:jc w:val="right"/>
              <w:rPr>
                <w:color w:val="000000"/>
                <w:sz w:val="16"/>
                <w:szCs w:val="16"/>
              </w:rPr>
            </w:pPr>
            <w:r w:rsidRPr="00EE1448">
              <w:rPr>
                <w:color w:val="000000"/>
                <w:sz w:val="16"/>
                <w:szCs w:val="16"/>
              </w:rPr>
              <w:t>1.7</w:t>
            </w:r>
          </w:p>
        </w:tc>
        <w:tc>
          <w:tcPr>
            <w:tcW w:w="446" w:type="pct"/>
            <w:noWrap/>
            <w:hideMark/>
          </w:tcPr>
          <w:p w14:paraId="311ECE24" w14:textId="77777777" w:rsidR="00120717" w:rsidRPr="00EE1448" w:rsidRDefault="00120717" w:rsidP="00DA262F">
            <w:pPr>
              <w:ind w:right="113"/>
              <w:jc w:val="right"/>
              <w:rPr>
                <w:color w:val="000000"/>
                <w:sz w:val="16"/>
                <w:szCs w:val="16"/>
              </w:rPr>
            </w:pPr>
            <w:r w:rsidRPr="00EE1448">
              <w:rPr>
                <w:color w:val="000000"/>
                <w:sz w:val="16"/>
                <w:szCs w:val="16"/>
              </w:rPr>
              <w:t>1.6</w:t>
            </w:r>
          </w:p>
        </w:tc>
        <w:tc>
          <w:tcPr>
            <w:tcW w:w="441" w:type="pct"/>
            <w:noWrap/>
            <w:hideMark/>
          </w:tcPr>
          <w:p w14:paraId="05D718BE" w14:textId="77777777" w:rsidR="00120717" w:rsidRPr="00EE1448" w:rsidRDefault="00120717" w:rsidP="00DA262F">
            <w:pPr>
              <w:ind w:right="113"/>
              <w:jc w:val="right"/>
              <w:rPr>
                <w:color w:val="000000"/>
                <w:sz w:val="16"/>
                <w:szCs w:val="16"/>
              </w:rPr>
            </w:pPr>
            <w:r w:rsidRPr="00EE1448">
              <w:rPr>
                <w:color w:val="000000"/>
                <w:sz w:val="16"/>
                <w:szCs w:val="16"/>
              </w:rPr>
              <w:t>1.7</w:t>
            </w:r>
          </w:p>
        </w:tc>
      </w:tr>
      <w:tr w:rsidR="00120717" w:rsidRPr="00EE1448" w14:paraId="2278AB8A"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608190CF" w14:textId="77777777" w:rsidR="00120717" w:rsidRPr="00EE1448" w:rsidRDefault="00120717">
            <w:pPr>
              <w:jc w:val="left"/>
              <w:rPr>
                <w:sz w:val="16"/>
                <w:szCs w:val="16"/>
              </w:rPr>
            </w:pPr>
            <w:r w:rsidRPr="00EE1448">
              <w:rPr>
                <w:sz w:val="16"/>
                <w:szCs w:val="16"/>
              </w:rPr>
              <w:tab/>
              <w:t>Malaysia</w:t>
            </w:r>
          </w:p>
        </w:tc>
        <w:tc>
          <w:tcPr>
            <w:tcW w:w="446" w:type="pct"/>
            <w:noWrap/>
            <w:hideMark/>
          </w:tcPr>
          <w:p w14:paraId="659D3687" w14:textId="77777777" w:rsidR="00120717" w:rsidRPr="00EE1448" w:rsidRDefault="00120717" w:rsidP="00DA262F">
            <w:pPr>
              <w:ind w:right="113"/>
              <w:jc w:val="right"/>
              <w:rPr>
                <w:color w:val="000000"/>
                <w:sz w:val="16"/>
                <w:szCs w:val="16"/>
              </w:rPr>
            </w:pPr>
            <w:r w:rsidRPr="00EE1448">
              <w:rPr>
                <w:color w:val="000000"/>
                <w:sz w:val="16"/>
                <w:szCs w:val="16"/>
              </w:rPr>
              <w:t>1.9</w:t>
            </w:r>
          </w:p>
        </w:tc>
        <w:tc>
          <w:tcPr>
            <w:tcW w:w="446" w:type="pct"/>
            <w:noWrap/>
            <w:hideMark/>
          </w:tcPr>
          <w:p w14:paraId="5B41D75F" w14:textId="77777777" w:rsidR="00120717" w:rsidRPr="00EE1448" w:rsidRDefault="00120717" w:rsidP="00DA262F">
            <w:pPr>
              <w:ind w:right="113"/>
              <w:jc w:val="right"/>
              <w:rPr>
                <w:color w:val="000000"/>
                <w:sz w:val="16"/>
                <w:szCs w:val="16"/>
              </w:rPr>
            </w:pPr>
            <w:r w:rsidRPr="00EE1448">
              <w:rPr>
                <w:color w:val="000000"/>
                <w:sz w:val="16"/>
                <w:szCs w:val="16"/>
              </w:rPr>
              <w:t>1.6</w:t>
            </w:r>
          </w:p>
        </w:tc>
        <w:tc>
          <w:tcPr>
            <w:tcW w:w="446" w:type="pct"/>
            <w:noWrap/>
            <w:hideMark/>
          </w:tcPr>
          <w:p w14:paraId="07F03ACC" w14:textId="77777777" w:rsidR="00120717" w:rsidRPr="00EE1448" w:rsidRDefault="00120717" w:rsidP="00DA262F">
            <w:pPr>
              <w:ind w:right="113"/>
              <w:jc w:val="right"/>
              <w:rPr>
                <w:color w:val="000000"/>
                <w:sz w:val="16"/>
                <w:szCs w:val="16"/>
              </w:rPr>
            </w:pPr>
            <w:r w:rsidRPr="00EE1448">
              <w:rPr>
                <w:color w:val="000000"/>
                <w:sz w:val="16"/>
                <w:szCs w:val="16"/>
              </w:rPr>
              <w:t>1.9</w:t>
            </w:r>
          </w:p>
        </w:tc>
        <w:tc>
          <w:tcPr>
            <w:tcW w:w="446" w:type="pct"/>
            <w:noWrap/>
            <w:hideMark/>
          </w:tcPr>
          <w:p w14:paraId="260C4B13" w14:textId="77777777" w:rsidR="00120717" w:rsidRPr="00EE1448" w:rsidRDefault="00120717" w:rsidP="00DA262F">
            <w:pPr>
              <w:ind w:right="113"/>
              <w:jc w:val="right"/>
              <w:rPr>
                <w:color w:val="000000"/>
                <w:sz w:val="16"/>
                <w:szCs w:val="16"/>
              </w:rPr>
            </w:pPr>
            <w:r w:rsidRPr="00EE1448">
              <w:rPr>
                <w:color w:val="000000"/>
                <w:sz w:val="16"/>
                <w:szCs w:val="16"/>
              </w:rPr>
              <w:t>1.8</w:t>
            </w:r>
          </w:p>
        </w:tc>
        <w:tc>
          <w:tcPr>
            <w:tcW w:w="446" w:type="pct"/>
            <w:noWrap/>
            <w:hideMark/>
          </w:tcPr>
          <w:p w14:paraId="40A8DCC3" w14:textId="77777777" w:rsidR="00120717" w:rsidRPr="00EE1448" w:rsidRDefault="00120717" w:rsidP="00DA262F">
            <w:pPr>
              <w:ind w:right="113"/>
              <w:jc w:val="right"/>
              <w:rPr>
                <w:color w:val="000000"/>
                <w:sz w:val="16"/>
                <w:szCs w:val="16"/>
              </w:rPr>
            </w:pPr>
            <w:r w:rsidRPr="00EE1448">
              <w:rPr>
                <w:color w:val="000000"/>
                <w:sz w:val="16"/>
                <w:szCs w:val="16"/>
              </w:rPr>
              <w:t>1.8</w:t>
            </w:r>
          </w:p>
        </w:tc>
        <w:tc>
          <w:tcPr>
            <w:tcW w:w="446" w:type="pct"/>
            <w:noWrap/>
            <w:hideMark/>
          </w:tcPr>
          <w:p w14:paraId="2929FBE9" w14:textId="77777777" w:rsidR="00120717" w:rsidRPr="00EE1448" w:rsidRDefault="00120717" w:rsidP="00DA262F">
            <w:pPr>
              <w:ind w:right="113"/>
              <w:jc w:val="right"/>
              <w:rPr>
                <w:color w:val="000000"/>
                <w:sz w:val="16"/>
                <w:szCs w:val="16"/>
              </w:rPr>
            </w:pPr>
            <w:r w:rsidRPr="00EE1448">
              <w:rPr>
                <w:color w:val="000000"/>
                <w:sz w:val="16"/>
                <w:szCs w:val="16"/>
              </w:rPr>
              <w:t>1.8</w:t>
            </w:r>
          </w:p>
        </w:tc>
        <w:tc>
          <w:tcPr>
            <w:tcW w:w="441" w:type="pct"/>
            <w:noWrap/>
            <w:hideMark/>
          </w:tcPr>
          <w:p w14:paraId="4AB1CFAB" w14:textId="77777777" w:rsidR="00120717" w:rsidRPr="00EE1448" w:rsidRDefault="00120717" w:rsidP="00DA262F">
            <w:pPr>
              <w:ind w:right="113"/>
              <w:jc w:val="right"/>
              <w:rPr>
                <w:color w:val="000000"/>
                <w:sz w:val="16"/>
                <w:szCs w:val="16"/>
              </w:rPr>
            </w:pPr>
            <w:r w:rsidRPr="00EE1448">
              <w:rPr>
                <w:color w:val="000000"/>
                <w:sz w:val="16"/>
                <w:szCs w:val="16"/>
              </w:rPr>
              <w:t>1.6</w:t>
            </w:r>
          </w:p>
        </w:tc>
      </w:tr>
      <w:tr w:rsidR="00120717" w:rsidRPr="00EE1448" w14:paraId="70CAFBF6" w14:textId="77777777" w:rsidTr="004E187B">
        <w:trPr>
          <w:trHeight w:val="60"/>
        </w:trPr>
        <w:tc>
          <w:tcPr>
            <w:tcW w:w="1883" w:type="pct"/>
            <w:noWrap/>
            <w:hideMark/>
          </w:tcPr>
          <w:p w14:paraId="0A598D80" w14:textId="77777777" w:rsidR="00120717" w:rsidRPr="00EE1448" w:rsidRDefault="00120717">
            <w:pPr>
              <w:jc w:val="left"/>
              <w:rPr>
                <w:sz w:val="16"/>
                <w:szCs w:val="16"/>
              </w:rPr>
            </w:pPr>
            <w:r w:rsidRPr="00EE1448">
              <w:rPr>
                <w:sz w:val="16"/>
                <w:szCs w:val="16"/>
              </w:rPr>
              <w:tab/>
              <w:t>Viet Nam</w:t>
            </w:r>
          </w:p>
        </w:tc>
        <w:tc>
          <w:tcPr>
            <w:tcW w:w="446" w:type="pct"/>
            <w:noWrap/>
            <w:hideMark/>
          </w:tcPr>
          <w:p w14:paraId="28961C1A" w14:textId="77777777" w:rsidR="00120717" w:rsidRPr="00EE1448" w:rsidRDefault="00120717" w:rsidP="00DA262F">
            <w:pPr>
              <w:ind w:right="113"/>
              <w:jc w:val="right"/>
              <w:rPr>
                <w:color w:val="000000"/>
                <w:sz w:val="16"/>
                <w:szCs w:val="16"/>
              </w:rPr>
            </w:pPr>
            <w:r w:rsidRPr="00EE1448">
              <w:rPr>
                <w:color w:val="000000"/>
                <w:sz w:val="16"/>
                <w:szCs w:val="16"/>
              </w:rPr>
              <w:t>1.1</w:t>
            </w:r>
          </w:p>
        </w:tc>
        <w:tc>
          <w:tcPr>
            <w:tcW w:w="446" w:type="pct"/>
            <w:noWrap/>
            <w:hideMark/>
          </w:tcPr>
          <w:p w14:paraId="21C0D88E" w14:textId="77777777" w:rsidR="00120717" w:rsidRPr="00EE1448" w:rsidRDefault="00120717" w:rsidP="00DA262F">
            <w:pPr>
              <w:ind w:right="113"/>
              <w:jc w:val="right"/>
              <w:rPr>
                <w:color w:val="000000"/>
                <w:sz w:val="16"/>
                <w:szCs w:val="16"/>
              </w:rPr>
            </w:pPr>
            <w:r w:rsidRPr="00EE1448">
              <w:rPr>
                <w:color w:val="000000"/>
                <w:sz w:val="16"/>
                <w:szCs w:val="16"/>
              </w:rPr>
              <w:t>1.1</w:t>
            </w:r>
          </w:p>
        </w:tc>
        <w:tc>
          <w:tcPr>
            <w:tcW w:w="446" w:type="pct"/>
            <w:noWrap/>
            <w:hideMark/>
          </w:tcPr>
          <w:p w14:paraId="7E408185"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0BB5C587" w14:textId="77777777" w:rsidR="00120717" w:rsidRPr="00EE1448" w:rsidRDefault="00120717" w:rsidP="00DA262F">
            <w:pPr>
              <w:ind w:right="113"/>
              <w:jc w:val="right"/>
              <w:rPr>
                <w:color w:val="000000"/>
                <w:sz w:val="16"/>
                <w:szCs w:val="16"/>
              </w:rPr>
            </w:pPr>
            <w:r w:rsidRPr="00EE1448">
              <w:rPr>
                <w:color w:val="000000"/>
                <w:sz w:val="16"/>
                <w:szCs w:val="16"/>
              </w:rPr>
              <w:t>1.2</w:t>
            </w:r>
          </w:p>
        </w:tc>
        <w:tc>
          <w:tcPr>
            <w:tcW w:w="446" w:type="pct"/>
            <w:noWrap/>
            <w:hideMark/>
          </w:tcPr>
          <w:p w14:paraId="57678968"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3A0F51EB" w14:textId="77777777" w:rsidR="00120717" w:rsidRPr="00EE1448" w:rsidRDefault="00120717" w:rsidP="00DA262F">
            <w:pPr>
              <w:ind w:right="113"/>
              <w:jc w:val="right"/>
              <w:rPr>
                <w:color w:val="000000"/>
                <w:sz w:val="16"/>
                <w:szCs w:val="16"/>
              </w:rPr>
            </w:pPr>
            <w:r w:rsidRPr="00EE1448">
              <w:rPr>
                <w:color w:val="000000"/>
                <w:sz w:val="16"/>
                <w:szCs w:val="16"/>
              </w:rPr>
              <w:t>1.4</w:t>
            </w:r>
          </w:p>
        </w:tc>
        <w:tc>
          <w:tcPr>
            <w:tcW w:w="441" w:type="pct"/>
            <w:noWrap/>
            <w:hideMark/>
          </w:tcPr>
          <w:p w14:paraId="78C676DD" w14:textId="77777777" w:rsidR="00120717" w:rsidRPr="00EE1448" w:rsidRDefault="00120717" w:rsidP="00DA262F">
            <w:pPr>
              <w:ind w:right="113"/>
              <w:jc w:val="right"/>
              <w:rPr>
                <w:color w:val="000000"/>
                <w:sz w:val="16"/>
                <w:szCs w:val="16"/>
              </w:rPr>
            </w:pPr>
            <w:r w:rsidRPr="00EE1448">
              <w:rPr>
                <w:color w:val="000000"/>
                <w:sz w:val="16"/>
                <w:szCs w:val="16"/>
              </w:rPr>
              <w:t>1.3</w:t>
            </w:r>
          </w:p>
        </w:tc>
      </w:tr>
      <w:tr w:rsidR="00120717" w:rsidRPr="00EE1448" w14:paraId="29F2C2AD"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3630F9FD" w14:textId="77777777" w:rsidR="00120717" w:rsidRPr="00EE1448" w:rsidRDefault="00120717">
            <w:pPr>
              <w:jc w:val="left"/>
              <w:rPr>
                <w:sz w:val="16"/>
                <w:szCs w:val="16"/>
              </w:rPr>
            </w:pPr>
            <w:r w:rsidRPr="00EE1448">
              <w:rPr>
                <w:sz w:val="16"/>
                <w:szCs w:val="16"/>
              </w:rPr>
              <w:tab/>
              <w:t>Philippines</w:t>
            </w:r>
          </w:p>
        </w:tc>
        <w:tc>
          <w:tcPr>
            <w:tcW w:w="446" w:type="pct"/>
            <w:noWrap/>
            <w:hideMark/>
          </w:tcPr>
          <w:p w14:paraId="0FF32EDD"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7F59807D"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27A3420F"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3D29FCA9"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0ECEB69D" w14:textId="77777777" w:rsidR="00120717" w:rsidRPr="00EE1448" w:rsidRDefault="00120717" w:rsidP="00DA262F">
            <w:pPr>
              <w:ind w:right="113"/>
              <w:jc w:val="right"/>
              <w:rPr>
                <w:color w:val="000000"/>
                <w:sz w:val="16"/>
                <w:szCs w:val="16"/>
              </w:rPr>
            </w:pPr>
            <w:r w:rsidRPr="00EE1448">
              <w:rPr>
                <w:color w:val="000000"/>
                <w:sz w:val="16"/>
                <w:szCs w:val="16"/>
              </w:rPr>
              <w:t>1.5</w:t>
            </w:r>
          </w:p>
        </w:tc>
        <w:tc>
          <w:tcPr>
            <w:tcW w:w="446" w:type="pct"/>
            <w:noWrap/>
            <w:hideMark/>
          </w:tcPr>
          <w:p w14:paraId="2B4068FF" w14:textId="77777777" w:rsidR="00120717" w:rsidRPr="00EE1448" w:rsidRDefault="00120717" w:rsidP="00DA262F">
            <w:pPr>
              <w:ind w:right="113"/>
              <w:jc w:val="right"/>
              <w:rPr>
                <w:color w:val="000000"/>
                <w:sz w:val="16"/>
                <w:szCs w:val="16"/>
              </w:rPr>
            </w:pPr>
            <w:r w:rsidRPr="00EE1448">
              <w:rPr>
                <w:color w:val="000000"/>
                <w:sz w:val="16"/>
                <w:szCs w:val="16"/>
              </w:rPr>
              <w:t>1.2</w:t>
            </w:r>
          </w:p>
        </w:tc>
        <w:tc>
          <w:tcPr>
            <w:tcW w:w="441" w:type="pct"/>
            <w:noWrap/>
            <w:hideMark/>
          </w:tcPr>
          <w:p w14:paraId="6108CECF" w14:textId="77777777" w:rsidR="00120717" w:rsidRPr="00EE1448" w:rsidRDefault="00120717" w:rsidP="00DA262F">
            <w:pPr>
              <w:ind w:right="113"/>
              <w:jc w:val="right"/>
              <w:rPr>
                <w:color w:val="000000"/>
                <w:sz w:val="16"/>
                <w:szCs w:val="16"/>
              </w:rPr>
            </w:pPr>
            <w:r w:rsidRPr="00EE1448">
              <w:rPr>
                <w:color w:val="000000"/>
                <w:sz w:val="16"/>
                <w:szCs w:val="16"/>
              </w:rPr>
              <w:t>1.1</w:t>
            </w:r>
          </w:p>
        </w:tc>
      </w:tr>
      <w:tr w:rsidR="00120717" w:rsidRPr="00EE1448" w14:paraId="7A9952D7" w14:textId="77777777" w:rsidTr="004E187B">
        <w:trPr>
          <w:trHeight w:val="60"/>
        </w:trPr>
        <w:tc>
          <w:tcPr>
            <w:tcW w:w="1883" w:type="pct"/>
            <w:noWrap/>
            <w:hideMark/>
          </w:tcPr>
          <w:p w14:paraId="61233AC4" w14:textId="77777777" w:rsidR="00120717" w:rsidRPr="00EE1448" w:rsidRDefault="00120717">
            <w:pPr>
              <w:jc w:val="left"/>
              <w:rPr>
                <w:sz w:val="16"/>
                <w:szCs w:val="16"/>
              </w:rPr>
            </w:pPr>
            <w:r w:rsidRPr="00EE1448">
              <w:rPr>
                <w:sz w:val="16"/>
                <w:szCs w:val="16"/>
              </w:rPr>
              <w:tab/>
              <w:t>India</w:t>
            </w:r>
          </w:p>
        </w:tc>
        <w:tc>
          <w:tcPr>
            <w:tcW w:w="446" w:type="pct"/>
            <w:noWrap/>
            <w:hideMark/>
          </w:tcPr>
          <w:p w14:paraId="1F925BD4"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4CD999B3"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52EA3F05" w14:textId="77777777" w:rsidR="00120717" w:rsidRPr="00EE1448" w:rsidRDefault="00120717" w:rsidP="00DA262F">
            <w:pPr>
              <w:ind w:right="113"/>
              <w:jc w:val="right"/>
              <w:rPr>
                <w:color w:val="000000"/>
                <w:sz w:val="16"/>
                <w:szCs w:val="16"/>
              </w:rPr>
            </w:pPr>
            <w:r w:rsidRPr="00EE1448">
              <w:rPr>
                <w:color w:val="000000"/>
                <w:sz w:val="16"/>
                <w:szCs w:val="16"/>
              </w:rPr>
              <w:t>1.3</w:t>
            </w:r>
          </w:p>
        </w:tc>
        <w:tc>
          <w:tcPr>
            <w:tcW w:w="446" w:type="pct"/>
            <w:noWrap/>
            <w:hideMark/>
          </w:tcPr>
          <w:p w14:paraId="7F80783B" w14:textId="77777777" w:rsidR="00120717" w:rsidRPr="00EE1448" w:rsidRDefault="00120717" w:rsidP="00DA262F">
            <w:pPr>
              <w:ind w:right="113"/>
              <w:jc w:val="right"/>
              <w:rPr>
                <w:color w:val="000000"/>
                <w:sz w:val="16"/>
                <w:szCs w:val="16"/>
              </w:rPr>
            </w:pPr>
            <w:r w:rsidRPr="00EE1448">
              <w:rPr>
                <w:color w:val="000000"/>
                <w:sz w:val="16"/>
                <w:szCs w:val="16"/>
              </w:rPr>
              <w:t>1.2</w:t>
            </w:r>
          </w:p>
        </w:tc>
        <w:tc>
          <w:tcPr>
            <w:tcW w:w="446" w:type="pct"/>
            <w:noWrap/>
            <w:hideMark/>
          </w:tcPr>
          <w:p w14:paraId="7E917254" w14:textId="77777777" w:rsidR="00120717" w:rsidRPr="00EE1448" w:rsidRDefault="00120717" w:rsidP="00DA262F">
            <w:pPr>
              <w:ind w:right="113"/>
              <w:jc w:val="right"/>
              <w:rPr>
                <w:color w:val="000000"/>
                <w:sz w:val="16"/>
                <w:szCs w:val="16"/>
              </w:rPr>
            </w:pPr>
            <w:r w:rsidRPr="00EE1448">
              <w:rPr>
                <w:color w:val="000000"/>
                <w:sz w:val="16"/>
                <w:szCs w:val="16"/>
              </w:rPr>
              <w:t>1.2</w:t>
            </w:r>
          </w:p>
        </w:tc>
        <w:tc>
          <w:tcPr>
            <w:tcW w:w="446" w:type="pct"/>
            <w:noWrap/>
            <w:hideMark/>
          </w:tcPr>
          <w:p w14:paraId="2CDC0D4F" w14:textId="77777777" w:rsidR="00120717" w:rsidRPr="00EE1448" w:rsidRDefault="00120717" w:rsidP="00DA262F">
            <w:pPr>
              <w:ind w:right="113"/>
              <w:jc w:val="right"/>
              <w:rPr>
                <w:color w:val="000000"/>
                <w:sz w:val="16"/>
                <w:szCs w:val="16"/>
              </w:rPr>
            </w:pPr>
            <w:r w:rsidRPr="00EE1448">
              <w:rPr>
                <w:color w:val="000000"/>
                <w:sz w:val="16"/>
                <w:szCs w:val="16"/>
              </w:rPr>
              <w:t>0.8</w:t>
            </w:r>
          </w:p>
        </w:tc>
        <w:tc>
          <w:tcPr>
            <w:tcW w:w="441" w:type="pct"/>
            <w:noWrap/>
            <w:hideMark/>
          </w:tcPr>
          <w:p w14:paraId="10F74EDE" w14:textId="77777777" w:rsidR="00120717" w:rsidRPr="00EE1448" w:rsidRDefault="00120717" w:rsidP="00DA262F">
            <w:pPr>
              <w:ind w:right="113"/>
              <w:jc w:val="right"/>
              <w:rPr>
                <w:color w:val="000000"/>
                <w:sz w:val="16"/>
                <w:szCs w:val="16"/>
              </w:rPr>
            </w:pPr>
            <w:r w:rsidRPr="00EE1448">
              <w:rPr>
                <w:color w:val="000000"/>
                <w:sz w:val="16"/>
                <w:szCs w:val="16"/>
              </w:rPr>
              <w:t>0.7</w:t>
            </w:r>
          </w:p>
        </w:tc>
      </w:tr>
      <w:tr w:rsidR="00120717" w:rsidRPr="00EE1448" w14:paraId="449CB553" w14:textId="77777777" w:rsidTr="004E187B">
        <w:trPr>
          <w:cnfStyle w:val="000000010000" w:firstRow="0" w:lastRow="0" w:firstColumn="0" w:lastColumn="0" w:oddVBand="0" w:evenVBand="0" w:oddHBand="0" w:evenHBand="1" w:firstRowFirstColumn="0" w:firstRowLastColumn="0" w:lastRowFirstColumn="0" w:lastRowLastColumn="0"/>
          <w:trHeight w:val="94"/>
        </w:trPr>
        <w:tc>
          <w:tcPr>
            <w:tcW w:w="1883" w:type="pct"/>
            <w:noWrap/>
            <w:hideMark/>
          </w:tcPr>
          <w:p w14:paraId="670C0B26" w14:textId="77777777" w:rsidR="00120717" w:rsidRPr="00EE1448" w:rsidRDefault="00120717">
            <w:pPr>
              <w:jc w:val="left"/>
              <w:rPr>
                <w:sz w:val="16"/>
                <w:szCs w:val="16"/>
              </w:rPr>
            </w:pPr>
            <w:r w:rsidRPr="00EE1448">
              <w:rPr>
                <w:sz w:val="16"/>
                <w:szCs w:val="16"/>
              </w:rPr>
              <w:tab/>
              <w:t>Bangladesh</w:t>
            </w:r>
          </w:p>
        </w:tc>
        <w:tc>
          <w:tcPr>
            <w:tcW w:w="446" w:type="pct"/>
            <w:noWrap/>
            <w:hideMark/>
          </w:tcPr>
          <w:p w14:paraId="5414932F" w14:textId="77777777" w:rsidR="00120717" w:rsidRPr="00EE1448" w:rsidRDefault="00120717" w:rsidP="00DA262F">
            <w:pPr>
              <w:ind w:right="113"/>
              <w:jc w:val="right"/>
              <w:rPr>
                <w:color w:val="000000"/>
                <w:sz w:val="16"/>
                <w:szCs w:val="16"/>
              </w:rPr>
            </w:pPr>
            <w:r w:rsidRPr="00EE1448">
              <w:rPr>
                <w:color w:val="000000"/>
                <w:sz w:val="16"/>
                <w:szCs w:val="16"/>
              </w:rPr>
              <w:t>0.4</w:t>
            </w:r>
          </w:p>
        </w:tc>
        <w:tc>
          <w:tcPr>
            <w:tcW w:w="446" w:type="pct"/>
            <w:noWrap/>
            <w:hideMark/>
          </w:tcPr>
          <w:p w14:paraId="345F5EDF" w14:textId="77777777" w:rsidR="00120717" w:rsidRPr="00EE1448" w:rsidRDefault="00120717" w:rsidP="00DA262F">
            <w:pPr>
              <w:ind w:right="113"/>
              <w:jc w:val="right"/>
              <w:rPr>
                <w:color w:val="000000"/>
                <w:sz w:val="16"/>
                <w:szCs w:val="16"/>
              </w:rPr>
            </w:pPr>
            <w:r w:rsidRPr="00EE1448">
              <w:rPr>
                <w:color w:val="000000"/>
                <w:sz w:val="16"/>
                <w:szCs w:val="16"/>
              </w:rPr>
              <w:t>0.4</w:t>
            </w:r>
          </w:p>
        </w:tc>
        <w:tc>
          <w:tcPr>
            <w:tcW w:w="446" w:type="pct"/>
            <w:noWrap/>
            <w:hideMark/>
          </w:tcPr>
          <w:p w14:paraId="49C760F6"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00DF8FF1"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6" w:type="pct"/>
            <w:noWrap/>
            <w:hideMark/>
          </w:tcPr>
          <w:p w14:paraId="1BA1CA79" w14:textId="77777777" w:rsidR="00120717" w:rsidRPr="00EE1448" w:rsidRDefault="00120717" w:rsidP="00DA262F">
            <w:pPr>
              <w:ind w:right="113"/>
              <w:jc w:val="right"/>
              <w:rPr>
                <w:color w:val="000000"/>
                <w:sz w:val="16"/>
                <w:szCs w:val="16"/>
              </w:rPr>
            </w:pPr>
            <w:r w:rsidRPr="00EE1448">
              <w:rPr>
                <w:color w:val="000000"/>
                <w:sz w:val="16"/>
                <w:szCs w:val="16"/>
              </w:rPr>
              <w:t>0.7</w:t>
            </w:r>
          </w:p>
        </w:tc>
        <w:tc>
          <w:tcPr>
            <w:tcW w:w="446" w:type="pct"/>
            <w:noWrap/>
            <w:hideMark/>
          </w:tcPr>
          <w:p w14:paraId="28E14718"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1" w:type="pct"/>
            <w:noWrap/>
            <w:hideMark/>
          </w:tcPr>
          <w:p w14:paraId="65713F77" w14:textId="77777777" w:rsidR="00120717" w:rsidRPr="00EE1448" w:rsidRDefault="00120717" w:rsidP="00DA262F">
            <w:pPr>
              <w:ind w:right="113"/>
              <w:jc w:val="right"/>
              <w:rPr>
                <w:color w:val="000000"/>
                <w:sz w:val="16"/>
                <w:szCs w:val="16"/>
              </w:rPr>
            </w:pPr>
            <w:r w:rsidRPr="00EE1448">
              <w:rPr>
                <w:color w:val="000000"/>
                <w:sz w:val="16"/>
                <w:szCs w:val="16"/>
              </w:rPr>
              <w:t>0.7</w:t>
            </w:r>
          </w:p>
        </w:tc>
      </w:tr>
      <w:tr w:rsidR="00120717" w:rsidRPr="00EE1448" w14:paraId="16DB3240" w14:textId="77777777" w:rsidTr="004E187B">
        <w:trPr>
          <w:trHeight w:val="60"/>
        </w:trPr>
        <w:tc>
          <w:tcPr>
            <w:tcW w:w="1883" w:type="pct"/>
            <w:noWrap/>
            <w:hideMark/>
          </w:tcPr>
          <w:p w14:paraId="4AE50153" w14:textId="77777777" w:rsidR="00120717" w:rsidRPr="00EE1448" w:rsidRDefault="00120717">
            <w:pPr>
              <w:jc w:val="left"/>
              <w:rPr>
                <w:sz w:val="16"/>
                <w:szCs w:val="16"/>
              </w:rPr>
            </w:pPr>
            <w:r w:rsidRPr="00EE1448">
              <w:rPr>
                <w:sz w:val="16"/>
                <w:szCs w:val="16"/>
              </w:rPr>
              <w:tab/>
              <w:t>Fiji</w:t>
            </w:r>
          </w:p>
        </w:tc>
        <w:tc>
          <w:tcPr>
            <w:tcW w:w="446" w:type="pct"/>
            <w:noWrap/>
            <w:hideMark/>
          </w:tcPr>
          <w:p w14:paraId="4E70B4A1" w14:textId="77777777" w:rsidR="00120717" w:rsidRPr="00EE1448" w:rsidRDefault="00120717" w:rsidP="00DA262F">
            <w:pPr>
              <w:ind w:right="113"/>
              <w:jc w:val="right"/>
              <w:rPr>
                <w:color w:val="000000"/>
                <w:sz w:val="16"/>
                <w:szCs w:val="16"/>
              </w:rPr>
            </w:pPr>
            <w:r w:rsidRPr="00EE1448">
              <w:rPr>
                <w:color w:val="000000"/>
                <w:sz w:val="16"/>
                <w:szCs w:val="16"/>
              </w:rPr>
              <w:t>0.9</w:t>
            </w:r>
          </w:p>
        </w:tc>
        <w:tc>
          <w:tcPr>
            <w:tcW w:w="446" w:type="pct"/>
            <w:noWrap/>
            <w:hideMark/>
          </w:tcPr>
          <w:p w14:paraId="54CE5868" w14:textId="77777777" w:rsidR="00120717" w:rsidRPr="00EE1448" w:rsidRDefault="00120717" w:rsidP="00DA262F">
            <w:pPr>
              <w:ind w:right="113"/>
              <w:jc w:val="right"/>
              <w:rPr>
                <w:color w:val="000000"/>
                <w:sz w:val="16"/>
                <w:szCs w:val="16"/>
              </w:rPr>
            </w:pPr>
            <w:r w:rsidRPr="00EE1448">
              <w:rPr>
                <w:color w:val="000000"/>
                <w:sz w:val="16"/>
                <w:szCs w:val="16"/>
              </w:rPr>
              <w:t>1.0</w:t>
            </w:r>
          </w:p>
        </w:tc>
        <w:tc>
          <w:tcPr>
            <w:tcW w:w="446" w:type="pct"/>
            <w:noWrap/>
            <w:hideMark/>
          </w:tcPr>
          <w:p w14:paraId="0B227868" w14:textId="77777777" w:rsidR="00120717" w:rsidRPr="00EE1448" w:rsidRDefault="00120717" w:rsidP="00DA262F">
            <w:pPr>
              <w:ind w:right="113"/>
              <w:jc w:val="right"/>
              <w:rPr>
                <w:color w:val="000000"/>
                <w:sz w:val="16"/>
                <w:szCs w:val="16"/>
              </w:rPr>
            </w:pPr>
            <w:r w:rsidRPr="00EE1448">
              <w:rPr>
                <w:color w:val="000000"/>
                <w:sz w:val="16"/>
                <w:szCs w:val="16"/>
              </w:rPr>
              <w:t>0.9</w:t>
            </w:r>
          </w:p>
        </w:tc>
        <w:tc>
          <w:tcPr>
            <w:tcW w:w="446" w:type="pct"/>
            <w:noWrap/>
            <w:hideMark/>
          </w:tcPr>
          <w:p w14:paraId="4471F377" w14:textId="77777777" w:rsidR="00120717" w:rsidRPr="00EE1448" w:rsidRDefault="00120717" w:rsidP="00DA262F">
            <w:pPr>
              <w:ind w:right="113"/>
              <w:jc w:val="right"/>
              <w:rPr>
                <w:color w:val="000000"/>
                <w:sz w:val="16"/>
                <w:szCs w:val="16"/>
              </w:rPr>
            </w:pPr>
            <w:r w:rsidRPr="00EE1448">
              <w:rPr>
                <w:color w:val="000000"/>
                <w:sz w:val="16"/>
                <w:szCs w:val="16"/>
              </w:rPr>
              <w:t>0.9</w:t>
            </w:r>
          </w:p>
        </w:tc>
        <w:tc>
          <w:tcPr>
            <w:tcW w:w="446" w:type="pct"/>
            <w:noWrap/>
            <w:hideMark/>
          </w:tcPr>
          <w:p w14:paraId="6295F338" w14:textId="77777777" w:rsidR="00120717" w:rsidRPr="00EE1448" w:rsidRDefault="00120717" w:rsidP="00DA262F">
            <w:pPr>
              <w:ind w:right="113"/>
              <w:jc w:val="right"/>
              <w:rPr>
                <w:color w:val="000000"/>
                <w:sz w:val="16"/>
                <w:szCs w:val="16"/>
              </w:rPr>
            </w:pPr>
            <w:r w:rsidRPr="00EE1448">
              <w:rPr>
                <w:color w:val="000000"/>
                <w:sz w:val="16"/>
                <w:szCs w:val="16"/>
              </w:rPr>
              <w:t>0.7</w:t>
            </w:r>
          </w:p>
        </w:tc>
        <w:tc>
          <w:tcPr>
            <w:tcW w:w="446" w:type="pct"/>
            <w:noWrap/>
            <w:hideMark/>
          </w:tcPr>
          <w:p w14:paraId="2DA0A720" w14:textId="77777777" w:rsidR="00120717" w:rsidRPr="00EE1448" w:rsidRDefault="00120717" w:rsidP="00DA262F">
            <w:pPr>
              <w:ind w:right="113"/>
              <w:jc w:val="right"/>
              <w:rPr>
                <w:color w:val="000000"/>
                <w:sz w:val="16"/>
                <w:szCs w:val="16"/>
              </w:rPr>
            </w:pPr>
            <w:r w:rsidRPr="00EE1448">
              <w:rPr>
                <w:color w:val="000000"/>
                <w:sz w:val="16"/>
                <w:szCs w:val="16"/>
              </w:rPr>
              <w:t>0.7</w:t>
            </w:r>
          </w:p>
        </w:tc>
        <w:tc>
          <w:tcPr>
            <w:tcW w:w="441" w:type="pct"/>
            <w:noWrap/>
            <w:hideMark/>
          </w:tcPr>
          <w:p w14:paraId="0738532A" w14:textId="77777777" w:rsidR="00120717" w:rsidRPr="00EE1448" w:rsidRDefault="00120717" w:rsidP="00DA262F">
            <w:pPr>
              <w:ind w:right="113"/>
              <w:jc w:val="right"/>
              <w:rPr>
                <w:color w:val="000000"/>
                <w:sz w:val="16"/>
                <w:szCs w:val="16"/>
              </w:rPr>
            </w:pPr>
            <w:r w:rsidRPr="00EE1448">
              <w:rPr>
                <w:color w:val="000000"/>
                <w:sz w:val="16"/>
                <w:szCs w:val="16"/>
              </w:rPr>
              <w:t>0.6</w:t>
            </w:r>
          </w:p>
        </w:tc>
      </w:tr>
      <w:tr w:rsidR="00120717" w:rsidRPr="00EE1448" w14:paraId="254A1512"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7223795E" w14:textId="77777777" w:rsidR="00120717" w:rsidRPr="00EE1448" w:rsidRDefault="00120717">
            <w:pPr>
              <w:jc w:val="left"/>
              <w:rPr>
                <w:sz w:val="16"/>
                <w:szCs w:val="16"/>
              </w:rPr>
            </w:pPr>
            <w:r w:rsidRPr="00EE1448">
              <w:rPr>
                <w:sz w:val="16"/>
                <w:szCs w:val="16"/>
              </w:rPr>
              <w:tab/>
              <w:t>Sri Lanka</w:t>
            </w:r>
          </w:p>
        </w:tc>
        <w:tc>
          <w:tcPr>
            <w:tcW w:w="446" w:type="pct"/>
            <w:noWrap/>
            <w:hideMark/>
          </w:tcPr>
          <w:p w14:paraId="55F40D39" w14:textId="77777777" w:rsidR="00120717" w:rsidRPr="00EE1448" w:rsidRDefault="00120717" w:rsidP="00DA262F">
            <w:pPr>
              <w:ind w:right="113"/>
              <w:jc w:val="right"/>
              <w:rPr>
                <w:color w:val="000000"/>
                <w:sz w:val="16"/>
                <w:szCs w:val="16"/>
              </w:rPr>
            </w:pPr>
            <w:r w:rsidRPr="00EE1448">
              <w:rPr>
                <w:color w:val="000000"/>
                <w:sz w:val="16"/>
                <w:szCs w:val="16"/>
              </w:rPr>
              <w:t>0.5</w:t>
            </w:r>
          </w:p>
        </w:tc>
        <w:tc>
          <w:tcPr>
            <w:tcW w:w="446" w:type="pct"/>
            <w:noWrap/>
            <w:hideMark/>
          </w:tcPr>
          <w:p w14:paraId="0EAC2A23" w14:textId="77777777" w:rsidR="00120717" w:rsidRPr="00EE1448" w:rsidRDefault="00120717" w:rsidP="00DA262F">
            <w:pPr>
              <w:ind w:right="113"/>
              <w:jc w:val="right"/>
              <w:rPr>
                <w:color w:val="000000"/>
                <w:sz w:val="16"/>
                <w:szCs w:val="16"/>
              </w:rPr>
            </w:pPr>
            <w:r w:rsidRPr="00EE1448">
              <w:rPr>
                <w:color w:val="000000"/>
                <w:sz w:val="16"/>
                <w:szCs w:val="16"/>
              </w:rPr>
              <w:t>0.5</w:t>
            </w:r>
          </w:p>
        </w:tc>
        <w:tc>
          <w:tcPr>
            <w:tcW w:w="446" w:type="pct"/>
            <w:noWrap/>
            <w:hideMark/>
          </w:tcPr>
          <w:p w14:paraId="7DD93FCD" w14:textId="77777777" w:rsidR="00120717" w:rsidRPr="00EE1448" w:rsidRDefault="00120717" w:rsidP="00DA262F">
            <w:pPr>
              <w:ind w:right="113"/>
              <w:jc w:val="right"/>
              <w:rPr>
                <w:color w:val="000000"/>
                <w:sz w:val="16"/>
                <w:szCs w:val="16"/>
              </w:rPr>
            </w:pPr>
            <w:r w:rsidRPr="00EE1448">
              <w:rPr>
                <w:color w:val="000000"/>
                <w:sz w:val="16"/>
                <w:szCs w:val="16"/>
              </w:rPr>
              <w:t>0.7</w:t>
            </w:r>
          </w:p>
        </w:tc>
        <w:tc>
          <w:tcPr>
            <w:tcW w:w="446" w:type="pct"/>
            <w:noWrap/>
            <w:hideMark/>
          </w:tcPr>
          <w:p w14:paraId="1271996E" w14:textId="77777777" w:rsidR="00120717" w:rsidRPr="00EE1448" w:rsidRDefault="00120717" w:rsidP="00DA262F">
            <w:pPr>
              <w:ind w:right="113"/>
              <w:jc w:val="right"/>
              <w:rPr>
                <w:color w:val="000000"/>
                <w:sz w:val="16"/>
                <w:szCs w:val="16"/>
              </w:rPr>
            </w:pPr>
            <w:r w:rsidRPr="00EE1448">
              <w:rPr>
                <w:color w:val="000000"/>
                <w:sz w:val="16"/>
                <w:szCs w:val="16"/>
              </w:rPr>
              <w:t>0.7</w:t>
            </w:r>
          </w:p>
        </w:tc>
        <w:tc>
          <w:tcPr>
            <w:tcW w:w="446" w:type="pct"/>
            <w:noWrap/>
            <w:hideMark/>
          </w:tcPr>
          <w:p w14:paraId="2B17D17A" w14:textId="77777777" w:rsidR="00120717" w:rsidRPr="00EE1448" w:rsidRDefault="00120717" w:rsidP="00DA262F">
            <w:pPr>
              <w:ind w:right="113"/>
              <w:jc w:val="right"/>
              <w:rPr>
                <w:color w:val="000000"/>
                <w:sz w:val="16"/>
                <w:szCs w:val="16"/>
              </w:rPr>
            </w:pPr>
            <w:r w:rsidRPr="00EE1448">
              <w:rPr>
                <w:color w:val="000000"/>
                <w:sz w:val="16"/>
                <w:szCs w:val="16"/>
              </w:rPr>
              <w:t>0.7</w:t>
            </w:r>
          </w:p>
        </w:tc>
        <w:tc>
          <w:tcPr>
            <w:tcW w:w="446" w:type="pct"/>
            <w:noWrap/>
            <w:hideMark/>
          </w:tcPr>
          <w:p w14:paraId="4BCBF7DB" w14:textId="77777777" w:rsidR="00120717" w:rsidRPr="00EE1448" w:rsidRDefault="00120717" w:rsidP="00DA262F">
            <w:pPr>
              <w:ind w:right="113"/>
              <w:jc w:val="right"/>
              <w:rPr>
                <w:color w:val="000000"/>
                <w:sz w:val="16"/>
                <w:szCs w:val="16"/>
              </w:rPr>
            </w:pPr>
            <w:r w:rsidRPr="00EE1448">
              <w:rPr>
                <w:color w:val="000000"/>
                <w:sz w:val="16"/>
                <w:szCs w:val="16"/>
              </w:rPr>
              <w:t>0.7</w:t>
            </w:r>
          </w:p>
        </w:tc>
        <w:tc>
          <w:tcPr>
            <w:tcW w:w="441" w:type="pct"/>
            <w:noWrap/>
            <w:hideMark/>
          </w:tcPr>
          <w:p w14:paraId="6AF071C9" w14:textId="77777777" w:rsidR="00120717" w:rsidRPr="00EE1448" w:rsidRDefault="00120717" w:rsidP="00DA262F">
            <w:pPr>
              <w:ind w:right="113"/>
              <w:jc w:val="right"/>
              <w:rPr>
                <w:color w:val="000000"/>
                <w:sz w:val="16"/>
                <w:szCs w:val="16"/>
              </w:rPr>
            </w:pPr>
            <w:r w:rsidRPr="00EE1448">
              <w:rPr>
                <w:color w:val="000000"/>
                <w:sz w:val="16"/>
                <w:szCs w:val="16"/>
              </w:rPr>
              <w:t>0.6</w:t>
            </w:r>
          </w:p>
        </w:tc>
      </w:tr>
      <w:tr w:rsidR="00120717" w:rsidRPr="00EE1448" w14:paraId="1B88D126" w14:textId="77777777" w:rsidTr="004E187B">
        <w:trPr>
          <w:trHeight w:val="60"/>
        </w:trPr>
        <w:tc>
          <w:tcPr>
            <w:tcW w:w="1883" w:type="pct"/>
            <w:noWrap/>
            <w:hideMark/>
          </w:tcPr>
          <w:p w14:paraId="2617207E" w14:textId="77777777" w:rsidR="00120717" w:rsidRPr="00EE1448" w:rsidRDefault="00120717">
            <w:pPr>
              <w:jc w:val="left"/>
              <w:rPr>
                <w:sz w:val="16"/>
                <w:szCs w:val="16"/>
              </w:rPr>
            </w:pPr>
            <w:r w:rsidRPr="00EE1448">
              <w:rPr>
                <w:sz w:val="16"/>
                <w:szCs w:val="16"/>
              </w:rPr>
              <w:t>Other</w:t>
            </w:r>
          </w:p>
        </w:tc>
        <w:tc>
          <w:tcPr>
            <w:tcW w:w="446" w:type="pct"/>
            <w:noWrap/>
            <w:hideMark/>
          </w:tcPr>
          <w:p w14:paraId="60464A27" w14:textId="77777777" w:rsidR="00120717" w:rsidRPr="00EE1448" w:rsidRDefault="00120717" w:rsidP="00DA262F">
            <w:pPr>
              <w:ind w:right="113"/>
              <w:jc w:val="right"/>
              <w:rPr>
                <w:color w:val="000000"/>
                <w:sz w:val="16"/>
                <w:szCs w:val="16"/>
              </w:rPr>
            </w:pPr>
            <w:r w:rsidRPr="00EE1448">
              <w:rPr>
                <w:color w:val="000000"/>
                <w:sz w:val="16"/>
                <w:szCs w:val="16"/>
              </w:rPr>
              <w:t>1.0</w:t>
            </w:r>
          </w:p>
        </w:tc>
        <w:tc>
          <w:tcPr>
            <w:tcW w:w="446" w:type="pct"/>
            <w:noWrap/>
            <w:hideMark/>
          </w:tcPr>
          <w:p w14:paraId="0397A5D8" w14:textId="77777777" w:rsidR="00120717" w:rsidRPr="00EE1448" w:rsidRDefault="00120717" w:rsidP="00DA262F">
            <w:pPr>
              <w:ind w:right="113"/>
              <w:jc w:val="right"/>
              <w:rPr>
                <w:color w:val="000000"/>
                <w:sz w:val="16"/>
                <w:szCs w:val="16"/>
              </w:rPr>
            </w:pPr>
            <w:r w:rsidRPr="00EE1448">
              <w:rPr>
                <w:color w:val="000000"/>
                <w:sz w:val="16"/>
                <w:szCs w:val="16"/>
              </w:rPr>
              <w:t>1.1</w:t>
            </w:r>
          </w:p>
        </w:tc>
        <w:tc>
          <w:tcPr>
            <w:tcW w:w="446" w:type="pct"/>
            <w:noWrap/>
            <w:hideMark/>
          </w:tcPr>
          <w:p w14:paraId="6BC2039E" w14:textId="77777777" w:rsidR="00120717" w:rsidRPr="00EE1448" w:rsidRDefault="00120717" w:rsidP="00DA262F">
            <w:pPr>
              <w:ind w:right="113"/>
              <w:jc w:val="right"/>
              <w:rPr>
                <w:color w:val="000000"/>
                <w:sz w:val="16"/>
                <w:szCs w:val="16"/>
              </w:rPr>
            </w:pPr>
            <w:r w:rsidRPr="00EE1448">
              <w:rPr>
                <w:color w:val="000000"/>
                <w:sz w:val="16"/>
                <w:szCs w:val="16"/>
              </w:rPr>
              <w:t>1.0</w:t>
            </w:r>
          </w:p>
        </w:tc>
        <w:tc>
          <w:tcPr>
            <w:tcW w:w="446" w:type="pct"/>
            <w:noWrap/>
            <w:hideMark/>
          </w:tcPr>
          <w:p w14:paraId="0D11AE6D" w14:textId="77777777" w:rsidR="00120717" w:rsidRPr="00EE1448" w:rsidRDefault="00120717" w:rsidP="00DA262F">
            <w:pPr>
              <w:ind w:right="113"/>
              <w:jc w:val="right"/>
              <w:rPr>
                <w:color w:val="000000"/>
                <w:sz w:val="16"/>
                <w:szCs w:val="16"/>
              </w:rPr>
            </w:pPr>
            <w:r w:rsidRPr="00EE1448">
              <w:rPr>
                <w:color w:val="000000"/>
                <w:sz w:val="16"/>
                <w:szCs w:val="16"/>
              </w:rPr>
              <w:t>1.0</w:t>
            </w:r>
          </w:p>
        </w:tc>
        <w:tc>
          <w:tcPr>
            <w:tcW w:w="446" w:type="pct"/>
            <w:noWrap/>
            <w:hideMark/>
          </w:tcPr>
          <w:p w14:paraId="7A5D3FF8" w14:textId="77777777" w:rsidR="00120717" w:rsidRPr="00EE1448" w:rsidRDefault="00120717" w:rsidP="00DA262F">
            <w:pPr>
              <w:ind w:right="113"/>
              <w:jc w:val="right"/>
              <w:rPr>
                <w:color w:val="000000"/>
                <w:sz w:val="16"/>
                <w:szCs w:val="16"/>
              </w:rPr>
            </w:pPr>
            <w:r w:rsidRPr="00EE1448">
              <w:rPr>
                <w:color w:val="000000"/>
                <w:sz w:val="16"/>
                <w:szCs w:val="16"/>
              </w:rPr>
              <w:t>0.9</w:t>
            </w:r>
          </w:p>
        </w:tc>
        <w:tc>
          <w:tcPr>
            <w:tcW w:w="446" w:type="pct"/>
            <w:noWrap/>
            <w:hideMark/>
          </w:tcPr>
          <w:p w14:paraId="666C0C05" w14:textId="77777777" w:rsidR="00120717" w:rsidRPr="00EE1448" w:rsidRDefault="00120717" w:rsidP="00DA262F">
            <w:pPr>
              <w:ind w:right="113"/>
              <w:jc w:val="right"/>
              <w:rPr>
                <w:color w:val="000000"/>
                <w:sz w:val="16"/>
                <w:szCs w:val="16"/>
              </w:rPr>
            </w:pPr>
            <w:r w:rsidRPr="00EE1448">
              <w:rPr>
                <w:color w:val="000000"/>
                <w:sz w:val="16"/>
                <w:szCs w:val="16"/>
              </w:rPr>
              <w:t>0.6</w:t>
            </w:r>
          </w:p>
        </w:tc>
        <w:tc>
          <w:tcPr>
            <w:tcW w:w="441" w:type="pct"/>
            <w:noWrap/>
            <w:hideMark/>
          </w:tcPr>
          <w:p w14:paraId="5A1610A1" w14:textId="77777777" w:rsidR="00120717" w:rsidRPr="00EE1448" w:rsidRDefault="00120717" w:rsidP="00DA262F">
            <w:pPr>
              <w:ind w:right="113"/>
              <w:jc w:val="right"/>
              <w:rPr>
                <w:color w:val="000000"/>
                <w:sz w:val="16"/>
                <w:szCs w:val="16"/>
              </w:rPr>
            </w:pPr>
            <w:r w:rsidRPr="00EE1448">
              <w:rPr>
                <w:color w:val="000000"/>
                <w:sz w:val="16"/>
                <w:szCs w:val="16"/>
              </w:rPr>
              <w:t>0.5</w:t>
            </w:r>
          </w:p>
        </w:tc>
      </w:tr>
      <w:tr w:rsidR="00120717" w:rsidRPr="00EE1448" w14:paraId="3BC8AEF4" w14:textId="77777777" w:rsidTr="004E187B">
        <w:trPr>
          <w:cnfStyle w:val="000000010000" w:firstRow="0" w:lastRow="0" w:firstColumn="0" w:lastColumn="0" w:oddVBand="0" w:evenVBand="0" w:oddHBand="0" w:evenHBand="1" w:firstRowFirstColumn="0" w:firstRowLastColumn="0" w:lastRowFirstColumn="0" w:lastRowLastColumn="0"/>
          <w:trHeight w:val="76"/>
        </w:trPr>
        <w:tc>
          <w:tcPr>
            <w:tcW w:w="1883" w:type="pct"/>
            <w:noWrap/>
            <w:hideMark/>
          </w:tcPr>
          <w:p w14:paraId="6ACC5E6B" w14:textId="77777777" w:rsidR="00120717" w:rsidRPr="00EE1448" w:rsidRDefault="00120717">
            <w:pPr>
              <w:jc w:val="left"/>
              <w:rPr>
                <w:i/>
                <w:iCs/>
                <w:sz w:val="16"/>
                <w:szCs w:val="16"/>
              </w:rPr>
            </w:pPr>
            <w:r w:rsidRPr="00EE1448">
              <w:rPr>
                <w:i/>
                <w:iCs/>
                <w:sz w:val="16"/>
                <w:szCs w:val="16"/>
              </w:rPr>
              <w:t>Memorandum:</w:t>
            </w:r>
          </w:p>
        </w:tc>
        <w:tc>
          <w:tcPr>
            <w:tcW w:w="446" w:type="pct"/>
            <w:noWrap/>
            <w:hideMark/>
          </w:tcPr>
          <w:p w14:paraId="3D4F10E1" w14:textId="77777777" w:rsidR="00120717" w:rsidRPr="00EE1448" w:rsidRDefault="00120717" w:rsidP="00DA262F">
            <w:pPr>
              <w:ind w:right="113"/>
              <w:jc w:val="right"/>
              <w:rPr>
                <w:i/>
                <w:iCs/>
                <w:sz w:val="16"/>
                <w:szCs w:val="16"/>
              </w:rPr>
            </w:pPr>
          </w:p>
        </w:tc>
        <w:tc>
          <w:tcPr>
            <w:tcW w:w="446" w:type="pct"/>
            <w:noWrap/>
            <w:hideMark/>
          </w:tcPr>
          <w:p w14:paraId="1D4751B2" w14:textId="77777777" w:rsidR="00120717" w:rsidRPr="00EE1448" w:rsidRDefault="00120717" w:rsidP="00DA262F">
            <w:pPr>
              <w:ind w:right="113"/>
              <w:jc w:val="right"/>
              <w:rPr>
                <w:sz w:val="16"/>
                <w:szCs w:val="16"/>
              </w:rPr>
            </w:pPr>
          </w:p>
        </w:tc>
        <w:tc>
          <w:tcPr>
            <w:tcW w:w="446" w:type="pct"/>
            <w:noWrap/>
            <w:hideMark/>
          </w:tcPr>
          <w:p w14:paraId="5415D7DB" w14:textId="77777777" w:rsidR="00120717" w:rsidRPr="00EE1448" w:rsidRDefault="00120717" w:rsidP="00DA262F">
            <w:pPr>
              <w:ind w:right="113"/>
              <w:jc w:val="right"/>
              <w:rPr>
                <w:sz w:val="16"/>
                <w:szCs w:val="16"/>
              </w:rPr>
            </w:pPr>
          </w:p>
        </w:tc>
        <w:tc>
          <w:tcPr>
            <w:tcW w:w="446" w:type="pct"/>
            <w:noWrap/>
            <w:hideMark/>
          </w:tcPr>
          <w:p w14:paraId="6506BD41" w14:textId="77777777" w:rsidR="00120717" w:rsidRPr="00EE1448" w:rsidRDefault="00120717" w:rsidP="00DA262F">
            <w:pPr>
              <w:ind w:right="113"/>
              <w:jc w:val="right"/>
              <w:rPr>
                <w:sz w:val="16"/>
                <w:szCs w:val="16"/>
              </w:rPr>
            </w:pPr>
          </w:p>
        </w:tc>
        <w:tc>
          <w:tcPr>
            <w:tcW w:w="446" w:type="pct"/>
            <w:noWrap/>
            <w:hideMark/>
          </w:tcPr>
          <w:p w14:paraId="4E975881" w14:textId="77777777" w:rsidR="00120717" w:rsidRPr="00EE1448" w:rsidRDefault="00120717" w:rsidP="00DA262F">
            <w:pPr>
              <w:ind w:right="113"/>
              <w:jc w:val="right"/>
              <w:rPr>
                <w:sz w:val="16"/>
                <w:szCs w:val="16"/>
              </w:rPr>
            </w:pPr>
          </w:p>
        </w:tc>
        <w:tc>
          <w:tcPr>
            <w:tcW w:w="446" w:type="pct"/>
            <w:noWrap/>
            <w:hideMark/>
          </w:tcPr>
          <w:p w14:paraId="1F2B2A4D" w14:textId="77777777" w:rsidR="00120717" w:rsidRPr="00EE1448" w:rsidRDefault="00120717" w:rsidP="00DA262F">
            <w:pPr>
              <w:ind w:right="113"/>
              <w:jc w:val="right"/>
              <w:rPr>
                <w:sz w:val="16"/>
                <w:szCs w:val="16"/>
              </w:rPr>
            </w:pPr>
          </w:p>
        </w:tc>
        <w:tc>
          <w:tcPr>
            <w:tcW w:w="441" w:type="pct"/>
            <w:noWrap/>
            <w:hideMark/>
          </w:tcPr>
          <w:p w14:paraId="560292DB" w14:textId="77777777" w:rsidR="00120717" w:rsidRPr="00EE1448" w:rsidRDefault="00120717" w:rsidP="00DA262F">
            <w:pPr>
              <w:ind w:right="113"/>
              <w:jc w:val="right"/>
              <w:rPr>
                <w:sz w:val="16"/>
                <w:szCs w:val="16"/>
              </w:rPr>
            </w:pPr>
          </w:p>
        </w:tc>
      </w:tr>
      <w:tr w:rsidR="00120717" w:rsidRPr="00EE1448" w14:paraId="137F9E1E" w14:textId="77777777" w:rsidTr="004E187B">
        <w:trPr>
          <w:trHeight w:val="60"/>
        </w:trPr>
        <w:tc>
          <w:tcPr>
            <w:tcW w:w="1883" w:type="pct"/>
            <w:noWrap/>
            <w:hideMark/>
          </w:tcPr>
          <w:p w14:paraId="1CECA6DA" w14:textId="77777777" w:rsidR="00120717" w:rsidRPr="00EE1448" w:rsidRDefault="00120717">
            <w:pPr>
              <w:jc w:val="left"/>
              <w:rPr>
                <w:sz w:val="16"/>
                <w:szCs w:val="16"/>
              </w:rPr>
            </w:pPr>
            <w:r w:rsidRPr="00EE1448">
              <w:rPr>
                <w:sz w:val="16"/>
                <w:szCs w:val="16"/>
              </w:rPr>
              <w:t>EU-28</w:t>
            </w:r>
          </w:p>
        </w:tc>
        <w:tc>
          <w:tcPr>
            <w:tcW w:w="446" w:type="pct"/>
            <w:noWrap/>
            <w:hideMark/>
          </w:tcPr>
          <w:p w14:paraId="3DC9B55D" w14:textId="77777777" w:rsidR="00120717" w:rsidRPr="00EE1448" w:rsidRDefault="00120717" w:rsidP="00DA262F">
            <w:pPr>
              <w:ind w:right="113"/>
              <w:jc w:val="right"/>
              <w:rPr>
                <w:color w:val="000000"/>
                <w:sz w:val="16"/>
                <w:szCs w:val="16"/>
              </w:rPr>
            </w:pPr>
            <w:r w:rsidRPr="00EE1448">
              <w:rPr>
                <w:color w:val="000000"/>
                <w:sz w:val="16"/>
                <w:szCs w:val="16"/>
              </w:rPr>
              <w:t>10.2</w:t>
            </w:r>
          </w:p>
        </w:tc>
        <w:tc>
          <w:tcPr>
            <w:tcW w:w="446" w:type="pct"/>
            <w:noWrap/>
            <w:hideMark/>
          </w:tcPr>
          <w:p w14:paraId="7E3F8527" w14:textId="77777777" w:rsidR="00120717" w:rsidRPr="00EE1448" w:rsidRDefault="00120717" w:rsidP="00DA262F">
            <w:pPr>
              <w:ind w:right="113"/>
              <w:jc w:val="right"/>
              <w:rPr>
                <w:color w:val="000000"/>
                <w:sz w:val="16"/>
                <w:szCs w:val="16"/>
              </w:rPr>
            </w:pPr>
            <w:r w:rsidRPr="00EE1448">
              <w:rPr>
                <w:color w:val="000000"/>
                <w:sz w:val="16"/>
                <w:szCs w:val="16"/>
              </w:rPr>
              <w:t>9.7</w:t>
            </w:r>
          </w:p>
        </w:tc>
        <w:tc>
          <w:tcPr>
            <w:tcW w:w="446" w:type="pct"/>
            <w:noWrap/>
            <w:hideMark/>
          </w:tcPr>
          <w:p w14:paraId="65E4173C" w14:textId="77777777" w:rsidR="00120717" w:rsidRPr="00EE1448" w:rsidRDefault="00120717" w:rsidP="00DA262F">
            <w:pPr>
              <w:ind w:right="113"/>
              <w:jc w:val="right"/>
              <w:rPr>
                <w:color w:val="000000"/>
                <w:sz w:val="16"/>
                <w:szCs w:val="16"/>
              </w:rPr>
            </w:pPr>
            <w:r w:rsidRPr="00EE1448">
              <w:rPr>
                <w:color w:val="000000"/>
                <w:sz w:val="16"/>
                <w:szCs w:val="16"/>
              </w:rPr>
              <w:t>8.9</w:t>
            </w:r>
          </w:p>
        </w:tc>
        <w:tc>
          <w:tcPr>
            <w:tcW w:w="446" w:type="pct"/>
            <w:noWrap/>
            <w:hideMark/>
          </w:tcPr>
          <w:p w14:paraId="7A5C528D" w14:textId="77777777" w:rsidR="00120717" w:rsidRPr="00EE1448" w:rsidRDefault="00120717" w:rsidP="00DA262F">
            <w:pPr>
              <w:ind w:right="113"/>
              <w:jc w:val="right"/>
              <w:rPr>
                <w:color w:val="000000"/>
                <w:sz w:val="16"/>
                <w:szCs w:val="16"/>
              </w:rPr>
            </w:pPr>
            <w:r w:rsidRPr="00EE1448">
              <w:rPr>
                <w:color w:val="000000"/>
                <w:sz w:val="16"/>
                <w:szCs w:val="16"/>
              </w:rPr>
              <w:t>8.9</w:t>
            </w:r>
          </w:p>
        </w:tc>
        <w:tc>
          <w:tcPr>
            <w:tcW w:w="446" w:type="pct"/>
            <w:noWrap/>
            <w:hideMark/>
          </w:tcPr>
          <w:p w14:paraId="42D7F1CB" w14:textId="77777777" w:rsidR="00120717" w:rsidRPr="00EE1448" w:rsidRDefault="00120717" w:rsidP="00DA262F">
            <w:pPr>
              <w:ind w:right="113"/>
              <w:jc w:val="right"/>
              <w:rPr>
                <w:color w:val="000000"/>
                <w:sz w:val="16"/>
                <w:szCs w:val="16"/>
              </w:rPr>
            </w:pPr>
            <w:r w:rsidRPr="00EE1448">
              <w:rPr>
                <w:color w:val="000000"/>
                <w:sz w:val="16"/>
                <w:szCs w:val="16"/>
              </w:rPr>
              <w:t>8.0</w:t>
            </w:r>
          </w:p>
        </w:tc>
        <w:tc>
          <w:tcPr>
            <w:tcW w:w="446" w:type="pct"/>
            <w:noWrap/>
            <w:hideMark/>
          </w:tcPr>
          <w:p w14:paraId="7163DB46" w14:textId="77777777" w:rsidR="00120717" w:rsidRPr="00EE1448" w:rsidRDefault="00120717" w:rsidP="00DA262F">
            <w:pPr>
              <w:ind w:right="113"/>
              <w:jc w:val="right"/>
              <w:rPr>
                <w:color w:val="000000"/>
                <w:sz w:val="16"/>
                <w:szCs w:val="16"/>
              </w:rPr>
            </w:pPr>
            <w:r w:rsidRPr="00EE1448">
              <w:rPr>
                <w:color w:val="000000"/>
                <w:sz w:val="16"/>
                <w:szCs w:val="16"/>
              </w:rPr>
              <w:t>7.9</w:t>
            </w:r>
          </w:p>
        </w:tc>
        <w:tc>
          <w:tcPr>
            <w:tcW w:w="441" w:type="pct"/>
            <w:noWrap/>
            <w:hideMark/>
          </w:tcPr>
          <w:p w14:paraId="1EE0072A" w14:textId="77777777" w:rsidR="00120717" w:rsidRPr="00EE1448" w:rsidRDefault="00120717" w:rsidP="00DA262F">
            <w:pPr>
              <w:ind w:right="113"/>
              <w:jc w:val="right"/>
              <w:rPr>
                <w:color w:val="000000"/>
                <w:sz w:val="16"/>
                <w:szCs w:val="16"/>
              </w:rPr>
            </w:pPr>
            <w:r w:rsidRPr="00EE1448">
              <w:rPr>
                <w:color w:val="000000"/>
                <w:sz w:val="16"/>
                <w:szCs w:val="16"/>
              </w:rPr>
              <w:t>7.3</w:t>
            </w:r>
          </w:p>
        </w:tc>
      </w:tr>
      <w:tr w:rsidR="00120717" w:rsidRPr="00EE1448" w14:paraId="1AC976C9" w14:textId="77777777" w:rsidTr="004E187B">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21E19FCB" w14:textId="77777777" w:rsidR="00120717" w:rsidRPr="00EE1448" w:rsidRDefault="00120717">
            <w:pPr>
              <w:jc w:val="left"/>
              <w:rPr>
                <w:sz w:val="16"/>
                <w:szCs w:val="16"/>
              </w:rPr>
            </w:pPr>
            <w:r w:rsidRPr="00EE1448">
              <w:rPr>
                <w:sz w:val="16"/>
                <w:szCs w:val="16"/>
              </w:rPr>
              <w:t>APEC</w:t>
            </w:r>
          </w:p>
        </w:tc>
        <w:tc>
          <w:tcPr>
            <w:tcW w:w="446" w:type="pct"/>
            <w:noWrap/>
            <w:hideMark/>
          </w:tcPr>
          <w:p w14:paraId="67BBFFBE" w14:textId="77777777" w:rsidR="00120717" w:rsidRPr="00EE1448" w:rsidRDefault="00120717" w:rsidP="00DA262F">
            <w:pPr>
              <w:ind w:right="113"/>
              <w:jc w:val="right"/>
              <w:rPr>
                <w:color w:val="000000"/>
                <w:sz w:val="16"/>
                <w:szCs w:val="16"/>
              </w:rPr>
            </w:pPr>
            <w:r w:rsidRPr="00EE1448">
              <w:rPr>
                <w:color w:val="000000"/>
                <w:sz w:val="16"/>
                <w:szCs w:val="16"/>
              </w:rPr>
              <w:t>72.5</w:t>
            </w:r>
          </w:p>
        </w:tc>
        <w:tc>
          <w:tcPr>
            <w:tcW w:w="446" w:type="pct"/>
            <w:noWrap/>
            <w:hideMark/>
          </w:tcPr>
          <w:p w14:paraId="324F036D" w14:textId="77777777" w:rsidR="00120717" w:rsidRPr="00EE1448" w:rsidRDefault="00120717" w:rsidP="00DA262F">
            <w:pPr>
              <w:ind w:right="113"/>
              <w:jc w:val="right"/>
              <w:rPr>
                <w:color w:val="000000"/>
                <w:sz w:val="16"/>
                <w:szCs w:val="16"/>
              </w:rPr>
            </w:pPr>
            <w:r w:rsidRPr="00EE1448">
              <w:rPr>
                <w:color w:val="000000"/>
                <w:sz w:val="16"/>
                <w:szCs w:val="16"/>
              </w:rPr>
              <w:t>73.8</w:t>
            </w:r>
          </w:p>
        </w:tc>
        <w:tc>
          <w:tcPr>
            <w:tcW w:w="446" w:type="pct"/>
            <w:noWrap/>
            <w:hideMark/>
          </w:tcPr>
          <w:p w14:paraId="1C43398D" w14:textId="77777777" w:rsidR="00120717" w:rsidRPr="00EE1448" w:rsidRDefault="00120717" w:rsidP="00DA262F">
            <w:pPr>
              <w:ind w:right="113"/>
              <w:jc w:val="right"/>
              <w:rPr>
                <w:color w:val="000000"/>
                <w:sz w:val="16"/>
                <w:szCs w:val="16"/>
              </w:rPr>
            </w:pPr>
            <w:r w:rsidRPr="00EE1448">
              <w:rPr>
                <w:color w:val="000000"/>
                <w:sz w:val="16"/>
                <w:szCs w:val="16"/>
              </w:rPr>
              <w:t>75.2</w:t>
            </w:r>
          </w:p>
        </w:tc>
        <w:tc>
          <w:tcPr>
            <w:tcW w:w="446" w:type="pct"/>
            <w:noWrap/>
            <w:hideMark/>
          </w:tcPr>
          <w:p w14:paraId="5A039E9A" w14:textId="77777777" w:rsidR="00120717" w:rsidRPr="00EE1448" w:rsidRDefault="00120717" w:rsidP="00DA262F">
            <w:pPr>
              <w:ind w:right="113"/>
              <w:jc w:val="right"/>
              <w:rPr>
                <w:color w:val="000000"/>
                <w:sz w:val="16"/>
                <w:szCs w:val="16"/>
              </w:rPr>
            </w:pPr>
            <w:r w:rsidRPr="00EE1448">
              <w:rPr>
                <w:color w:val="000000"/>
                <w:sz w:val="16"/>
                <w:szCs w:val="16"/>
              </w:rPr>
              <w:t>75.9</w:t>
            </w:r>
          </w:p>
        </w:tc>
        <w:tc>
          <w:tcPr>
            <w:tcW w:w="446" w:type="pct"/>
            <w:noWrap/>
            <w:hideMark/>
          </w:tcPr>
          <w:p w14:paraId="57E8659E" w14:textId="77777777" w:rsidR="00120717" w:rsidRPr="00EE1448" w:rsidRDefault="00120717" w:rsidP="00DA262F">
            <w:pPr>
              <w:ind w:right="113"/>
              <w:jc w:val="right"/>
              <w:rPr>
                <w:color w:val="000000"/>
                <w:sz w:val="16"/>
                <w:szCs w:val="16"/>
              </w:rPr>
            </w:pPr>
            <w:r w:rsidRPr="00EE1448">
              <w:rPr>
                <w:color w:val="000000"/>
                <w:sz w:val="16"/>
                <w:szCs w:val="16"/>
              </w:rPr>
              <w:t>77.5</w:t>
            </w:r>
          </w:p>
        </w:tc>
        <w:tc>
          <w:tcPr>
            <w:tcW w:w="446" w:type="pct"/>
            <w:noWrap/>
            <w:hideMark/>
          </w:tcPr>
          <w:p w14:paraId="098F38EA" w14:textId="77777777" w:rsidR="00120717" w:rsidRPr="00EE1448" w:rsidRDefault="00120717" w:rsidP="00DA262F">
            <w:pPr>
              <w:ind w:right="113"/>
              <w:jc w:val="right"/>
              <w:rPr>
                <w:color w:val="000000"/>
                <w:sz w:val="16"/>
                <w:szCs w:val="16"/>
              </w:rPr>
            </w:pPr>
            <w:r w:rsidRPr="00EE1448">
              <w:rPr>
                <w:color w:val="000000"/>
                <w:sz w:val="16"/>
                <w:szCs w:val="16"/>
              </w:rPr>
              <w:t>78.1</w:t>
            </w:r>
          </w:p>
        </w:tc>
        <w:tc>
          <w:tcPr>
            <w:tcW w:w="441" w:type="pct"/>
            <w:noWrap/>
            <w:hideMark/>
          </w:tcPr>
          <w:p w14:paraId="56872CAB" w14:textId="77777777" w:rsidR="00120717" w:rsidRPr="00EE1448" w:rsidRDefault="00120717" w:rsidP="00DA262F">
            <w:pPr>
              <w:ind w:right="113"/>
              <w:jc w:val="right"/>
              <w:rPr>
                <w:color w:val="000000"/>
                <w:sz w:val="16"/>
                <w:szCs w:val="16"/>
              </w:rPr>
            </w:pPr>
            <w:r w:rsidRPr="00EE1448">
              <w:rPr>
                <w:color w:val="000000"/>
                <w:sz w:val="16"/>
                <w:szCs w:val="16"/>
              </w:rPr>
              <w:t>80.2</w:t>
            </w:r>
          </w:p>
        </w:tc>
      </w:tr>
    </w:tbl>
    <w:p w14:paraId="3DDECE9E" w14:textId="77777777" w:rsidR="00120717" w:rsidRPr="00B93EE1" w:rsidRDefault="00120717" w:rsidP="006B1D61">
      <w:pPr>
        <w:pStyle w:val="NoteText"/>
        <w:spacing w:before="120"/>
      </w:pPr>
      <w:r w:rsidRPr="00B93EE1">
        <w:t>a</w:t>
      </w:r>
      <w:r w:rsidRPr="00B93EE1">
        <w:tab/>
        <w:t>Commonwealth of Independent States, including certain associate and former member States.</w:t>
      </w:r>
    </w:p>
    <w:p w14:paraId="27A955D2" w14:textId="77777777" w:rsidR="00120717" w:rsidRPr="00B93EE1" w:rsidRDefault="00120717" w:rsidP="006B1D61">
      <w:pPr>
        <w:pStyle w:val="NoteText"/>
        <w:spacing w:before="120"/>
      </w:pPr>
      <w:r w:rsidRPr="00B93EE1">
        <w:t>Source:</w:t>
      </w:r>
      <w:r w:rsidRPr="00B93EE1">
        <w:tab/>
        <w:t>WTO Secretariat calculations, based on UN Comtrade database.</w:t>
      </w:r>
    </w:p>
    <w:p w14:paraId="264E2BA3" w14:textId="77777777" w:rsidR="00120717" w:rsidRPr="00B93EE1" w:rsidRDefault="00120717" w:rsidP="00E7313E">
      <w:pPr>
        <w:pStyle w:val="NoteText"/>
        <w:rPr>
          <w:lang w:eastAsia="en-GB"/>
        </w:rPr>
      </w:pPr>
    </w:p>
    <w:p w14:paraId="1FECD798" w14:textId="77777777" w:rsidR="00120717" w:rsidRPr="00B93EE1" w:rsidRDefault="00120717" w:rsidP="00E7313E">
      <w:pPr>
        <w:jc w:val="left"/>
        <w:rPr>
          <w:sz w:val="16"/>
          <w:lang w:eastAsia="en-GB"/>
        </w:rPr>
      </w:pPr>
      <w:r w:rsidRPr="00B93EE1">
        <w:rPr>
          <w:lang w:eastAsia="en-GB"/>
        </w:rPr>
        <w:br w:type="page"/>
      </w:r>
    </w:p>
    <w:p w14:paraId="5C17B1B7" w14:textId="060C5402" w:rsidR="00120717" w:rsidRPr="00B93EE1" w:rsidRDefault="009327F6" w:rsidP="009327F6">
      <w:pPr>
        <w:pStyle w:val="Caption"/>
      </w:pPr>
      <w:bookmarkStart w:id="260" w:name="_Toc97803824"/>
      <w:r>
        <w:lastRenderedPageBreak/>
        <w:t>Table A1.</w:t>
      </w:r>
      <w:r w:rsidR="0012793B">
        <w:fldChar w:fldCharType="begin"/>
      </w:r>
      <w:r w:rsidR="0012793B">
        <w:instrText xml:space="preserve"> SEQ Table_A1. \* ARABIC </w:instrText>
      </w:r>
      <w:r w:rsidR="0012793B">
        <w:fldChar w:fldCharType="separate"/>
      </w:r>
      <w:r w:rsidR="00DE713E">
        <w:rPr>
          <w:noProof/>
        </w:rPr>
        <w:t>3</w:t>
      </w:r>
      <w:r w:rsidR="0012793B">
        <w:rPr>
          <w:noProof/>
        </w:rPr>
        <w:fldChar w:fldCharType="end"/>
      </w:r>
      <w:r w:rsidR="00120717" w:rsidRPr="00B93EE1">
        <w:t xml:space="preserve"> Merchandise imports by HS section and major chapter/subheading,</w:t>
      </w:r>
      <w:r w:rsidR="00120717" w:rsidRPr="00B93EE1">
        <w:br/>
        <w:t>2015-21</w:t>
      </w:r>
      <w:bookmarkEnd w:id="260"/>
    </w:p>
    <w:tbl>
      <w:tblPr>
        <w:tblStyle w:val="WTOTable1"/>
        <w:tblW w:w="5000" w:type="pct"/>
        <w:tblLayout w:type="fixed"/>
        <w:tblLook w:val="04A0" w:firstRow="1" w:lastRow="0" w:firstColumn="1" w:lastColumn="0" w:noHBand="0" w:noVBand="1"/>
      </w:tblPr>
      <w:tblGrid>
        <w:gridCol w:w="4329"/>
        <w:gridCol w:w="669"/>
        <w:gridCol w:w="671"/>
        <w:gridCol w:w="669"/>
        <w:gridCol w:w="671"/>
        <w:gridCol w:w="669"/>
        <w:gridCol w:w="671"/>
        <w:gridCol w:w="667"/>
      </w:tblGrid>
      <w:tr w:rsidR="00120717" w:rsidRPr="007A4ECB" w14:paraId="5FC6D664" w14:textId="77777777" w:rsidTr="00A94807">
        <w:trPr>
          <w:cnfStyle w:val="100000000000" w:firstRow="1" w:lastRow="0" w:firstColumn="0" w:lastColumn="0" w:oddVBand="0" w:evenVBand="0" w:oddHBand="0" w:evenHBand="0" w:firstRowFirstColumn="0" w:firstRowLastColumn="0" w:lastRowFirstColumn="0" w:lastRowLastColumn="0"/>
        </w:trPr>
        <w:tc>
          <w:tcPr>
            <w:tcW w:w="2401" w:type="pct"/>
            <w:hideMark/>
          </w:tcPr>
          <w:p w14:paraId="1409AEF9" w14:textId="5EE3235A" w:rsidR="00120717" w:rsidRPr="007A4ECB" w:rsidRDefault="00120717" w:rsidP="00075C8B">
            <w:pPr>
              <w:jc w:val="left"/>
              <w:rPr>
                <w:rFonts w:cs="Calibri"/>
                <w:sz w:val="15"/>
                <w:szCs w:val="15"/>
              </w:rPr>
            </w:pPr>
            <w:r w:rsidRPr="007A4ECB">
              <w:rPr>
                <w:rFonts w:cs="Calibri"/>
                <w:sz w:val="15"/>
                <w:szCs w:val="15"/>
              </w:rPr>
              <w:t>HS Section/chapter/subheading</w:t>
            </w:r>
          </w:p>
        </w:tc>
        <w:tc>
          <w:tcPr>
            <w:tcW w:w="371" w:type="pct"/>
            <w:noWrap/>
            <w:hideMark/>
          </w:tcPr>
          <w:p w14:paraId="528A32BD" w14:textId="77777777" w:rsidR="00120717" w:rsidRPr="007A4ECB" w:rsidRDefault="00120717" w:rsidP="00075C8B">
            <w:pPr>
              <w:jc w:val="right"/>
              <w:rPr>
                <w:rFonts w:cs="Calibri"/>
                <w:sz w:val="15"/>
                <w:szCs w:val="15"/>
              </w:rPr>
            </w:pPr>
            <w:r w:rsidRPr="007A4ECB">
              <w:rPr>
                <w:rFonts w:cs="Calibri"/>
                <w:sz w:val="15"/>
                <w:szCs w:val="15"/>
              </w:rPr>
              <w:t>2015</w:t>
            </w:r>
          </w:p>
        </w:tc>
        <w:tc>
          <w:tcPr>
            <w:tcW w:w="372" w:type="pct"/>
            <w:noWrap/>
            <w:hideMark/>
          </w:tcPr>
          <w:p w14:paraId="1AC963EA" w14:textId="77777777" w:rsidR="00120717" w:rsidRPr="007A4ECB" w:rsidRDefault="00120717" w:rsidP="00075C8B">
            <w:pPr>
              <w:jc w:val="right"/>
              <w:rPr>
                <w:rFonts w:cs="Calibri"/>
                <w:sz w:val="15"/>
                <w:szCs w:val="15"/>
              </w:rPr>
            </w:pPr>
            <w:r w:rsidRPr="007A4ECB">
              <w:rPr>
                <w:rFonts w:cs="Calibri"/>
                <w:sz w:val="15"/>
                <w:szCs w:val="15"/>
              </w:rPr>
              <w:t>2016</w:t>
            </w:r>
          </w:p>
        </w:tc>
        <w:tc>
          <w:tcPr>
            <w:tcW w:w="371" w:type="pct"/>
            <w:noWrap/>
            <w:hideMark/>
          </w:tcPr>
          <w:p w14:paraId="3B0AC706" w14:textId="77777777" w:rsidR="00120717" w:rsidRPr="007A4ECB" w:rsidRDefault="00120717" w:rsidP="00075C8B">
            <w:pPr>
              <w:jc w:val="right"/>
              <w:rPr>
                <w:rFonts w:cs="Calibri"/>
                <w:sz w:val="15"/>
                <w:szCs w:val="15"/>
              </w:rPr>
            </w:pPr>
            <w:r w:rsidRPr="007A4ECB">
              <w:rPr>
                <w:rFonts w:cs="Calibri"/>
                <w:sz w:val="15"/>
                <w:szCs w:val="15"/>
              </w:rPr>
              <w:t>2017</w:t>
            </w:r>
          </w:p>
        </w:tc>
        <w:tc>
          <w:tcPr>
            <w:tcW w:w="372" w:type="pct"/>
            <w:noWrap/>
            <w:hideMark/>
          </w:tcPr>
          <w:p w14:paraId="278201CE" w14:textId="77777777" w:rsidR="00120717" w:rsidRPr="007A4ECB" w:rsidRDefault="00120717" w:rsidP="00075C8B">
            <w:pPr>
              <w:jc w:val="right"/>
              <w:rPr>
                <w:rFonts w:cs="Calibri"/>
                <w:sz w:val="15"/>
                <w:szCs w:val="15"/>
              </w:rPr>
            </w:pPr>
            <w:r w:rsidRPr="007A4ECB">
              <w:rPr>
                <w:rFonts w:cs="Calibri"/>
                <w:sz w:val="15"/>
                <w:szCs w:val="15"/>
              </w:rPr>
              <w:t>2018</w:t>
            </w:r>
          </w:p>
        </w:tc>
        <w:tc>
          <w:tcPr>
            <w:tcW w:w="371" w:type="pct"/>
            <w:noWrap/>
            <w:hideMark/>
          </w:tcPr>
          <w:p w14:paraId="418C0065" w14:textId="77777777" w:rsidR="00120717" w:rsidRPr="007A4ECB" w:rsidRDefault="00120717" w:rsidP="00075C8B">
            <w:pPr>
              <w:jc w:val="right"/>
              <w:rPr>
                <w:rFonts w:cs="Calibri"/>
                <w:sz w:val="15"/>
                <w:szCs w:val="15"/>
              </w:rPr>
            </w:pPr>
            <w:r w:rsidRPr="007A4ECB">
              <w:rPr>
                <w:rFonts w:cs="Calibri"/>
                <w:sz w:val="15"/>
                <w:szCs w:val="15"/>
              </w:rPr>
              <w:t>2019</w:t>
            </w:r>
          </w:p>
        </w:tc>
        <w:tc>
          <w:tcPr>
            <w:tcW w:w="372" w:type="pct"/>
            <w:noWrap/>
            <w:hideMark/>
          </w:tcPr>
          <w:p w14:paraId="32F80440" w14:textId="77777777" w:rsidR="00120717" w:rsidRPr="007A4ECB" w:rsidRDefault="00120717" w:rsidP="00075C8B">
            <w:pPr>
              <w:jc w:val="right"/>
              <w:rPr>
                <w:rFonts w:cs="Calibri"/>
                <w:sz w:val="15"/>
                <w:szCs w:val="15"/>
              </w:rPr>
            </w:pPr>
            <w:r w:rsidRPr="007A4ECB">
              <w:rPr>
                <w:rFonts w:cs="Calibri"/>
                <w:sz w:val="15"/>
                <w:szCs w:val="15"/>
              </w:rPr>
              <w:t>2020</w:t>
            </w:r>
          </w:p>
        </w:tc>
        <w:tc>
          <w:tcPr>
            <w:tcW w:w="370" w:type="pct"/>
          </w:tcPr>
          <w:p w14:paraId="6FC7D1C1" w14:textId="77777777" w:rsidR="00120717" w:rsidRPr="007A4ECB" w:rsidRDefault="00120717" w:rsidP="00075C8B">
            <w:pPr>
              <w:jc w:val="right"/>
              <w:rPr>
                <w:rFonts w:cs="Calibri"/>
                <w:sz w:val="15"/>
                <w:szCs w:val="15"/>
              </w:rPr>
            </w:pPr>
            <w:r w:rsidRPr="007A4ECB">
              <w:rPr>
                <w:rFonts w:cs="Calibri"/>
                <w:sz w:val="15"/>
                <w:szCs w:val="15"/>
              </w:rPr>
              <w:t>2021</w:t>
            </w:r>
          </w:p>
        </w:tc>
      </w:tr>
      <w:tr w:rsidR="00120717" w:rsidRPr="007A4ECB" w14:paraId="68FD62AF" w14:textId="77777777" w:rsidTr="00A94807">
        <w:tc>
          <w:tcPr>
            <w:tcW w:w="2401" w:type="pct"/>
            <w:noWrap/>
            <w:hideMark/>
          </w:tcPr>
          <w:p w14:paraId="6A1BAF24" w14:textId="77777777" w:rsidR="00120717" w:rsidRPr="007A4ECB" w:rsidRDefault="00120717" w:rsidP="00075C8B">
            <w:pPr>
              <w:jc w:val="left"/>
              <w:rPr>
                <w:rFonts w:cs="Calibri"/>
                <w:color w:val="000000"/>
                <w:sz w:val="15"/>
                <w:szCs w:val="15"/>
              </w:rPr>
            </w:pPr>
            <w:r w:rsidRPr="007A4ECB">
              <w:rPr>
                <w:rFonts w:cs="Calibri"/>
                <w:color w:val="000000"/>
                <w:sz w:val="15"/>
                <w:szCs w:val="15"/>
              </w:rPr>
              <w:t>Total imports (USD billion)</w:t>
            </w:r>
          </w:p>
        </w:tc>
        <w:tc>
          <w:tcPr>
            <w:tcW w:w="371" w:type="pct"/>
            <w:noWrap/>
            <w:hideMark/>
          </w:tcPr>
          <w:p w14:paraId="431AD8BC" w14:textId="77777777" w:rsidR="00120717" w:rsidRPr="007A4ECB" w:rsidRDefault="00120717" w:rsidP="00075C8B">
            <w:pPr>
              <w:jc w:val="right"/>
              <w:rPr>
                <w:rFonts w:cs="Calibri"/>
                <w:color w:val="000000"/>
                <w:sz w:val="15"/>
                <w:szCs w:val="15"/>
              </w:rPr>
            </w:pPr>
            <w:r w:rsidRPr="007A4ECB">
              <w:rPr>
                <w:rFonts w:cs="Calibri"/>
                <w:color w:val="000000"/>
                <w:sz w:val="15"/>
                <w:szCs w:val="15"/>
              </w:rPr>
              <w:t>36.5</w:t>
            </w:r>
          </w:p>
        </w:tc>
        <w:tc>
          <w:tcPr>
            <w:tcW w:w="372" w:type="pct"/>
            <w:noWrap/>
            <w:hideMark/>
          </w:tcPr>
          <w:p w14:paraId="77F98A45" w14:textId="77777777" w:rsidR="00120717" w:rsidRPr="007A4ECB" w:rsidRDefault="00120717" w:rsidP="00075C8B">
            <w:pPr>
              <w:jc w:val="right"/>
              <w:rPr>
                <w:rFonts w:cs="Calibri"/>
                <w:color w:val="000000"/>
                <w:sz w:val="15"/>
                <w:szCs w:val="15"/>
              </w:rPr>
            </w:pPr>
            <w:r w:rsidRPr="007A4ECB">
              <w:rPr>
                <w:rFonts w:cs="Calibri"/>
                <w:color w:val="000000"/>
                <w:sz w:val="15"/>
                <w:szCs w:val="15"/>
              </w:rPr>
              <w:t>36.0</w:t>
            </w:r>
          </w:p>
        </w:tc>
        <w:tc>
          <w:tcPr>
            <w:tcW w:w="371" w:type="pct"/>
            <w:noWrap/>
            <w:hideMark/>
          </w:tcPr>
          <w:p w14:paraId="3B3A8170" w14:textId="77777777" w:rsidR="00120717" w:rsidRPr="007A4ECB" w:rsidRDefault="00120717" w:rsidP="00075C8B">
            <w:pPr>
              <w:jc w:val="right"/>
              <w:rPr>
                <w:rFonts w:cs="Calibri"/>
                <w:color w:val="000000"/>
                <w:sz w:val="15"/>
                <w:szCs w:val="15"/>
              </w:rPr>
            </w:pPr>
            <w:r w:rsidRPr="007A4ECB">
              <w:rPr>
                <w:rFonts w:cs="Calibri"/>
                <w:color w:val="000000"/>
                <w:sz w:val="15"/>
                <w:szCs w:val="15"/>
              </w:rPr>
              <w:t>40.1</w:t>
            </w:r>
          </w:p>
        </w:tc>
        <w:tc>
          <w:tcPr>
            <w:tcW w:w="372" w:type="pct"/>
            <w:noWrap/>
            <w:hideMark/>
          </w:tcPr>
          <w:p w14:paraId="4E846FA4" w14:textId="77777777" w:rsidR="00120717" w:rsidRPr="007A4ECB" w:rsidRDefault="00120717" w:rsidP="00075C8B">
            <w:pPr>
              <w:jc w:val="right"/>
              <w:rPr>
                <w:rFonts w:cs="Calibri"/>
                <w:color w:val="000000"/>
                <w:sz w:val="15"/>
                <w:szCs w:val="15"/>
              </w:rPr>
            </w:pPr>
            <w:r w:rsidRPr="007A4ECB">
              <w:rPr>
                <w:rFonts w:cs="Calibri"/>
                <w:color w:val="000000"/>
                <w:sz w:val="15"/>
                <w:szCs w:val="15"/>
              </w:rPr>
              <w:t>43.7</w:t>
            </w:r>
          </w:p>
        </w:tc>
        <w:tc>
          <w:tcPr>
            <w:tcW w:w="371" w:type="pct"/>
            <w:noWrap/>
            <w:hideMark/>
          </w:tcPr>
          <w:p w14:paraId="49BBCB22" w14:textId="77777777" w:rsidR="00120717" w:rsidRPr="007A4ECB" w:rsidRDefault="00120717" w:rsidP="00075C8B">
            <w:pPr>
              <w:jc w:val="right"/>
              <w:rPr>
                <w:rFonts w:cs="Calibri"/>
                <w:color w:val="000000"/>
                <w:sz w:val="15"/>
                <w:szCs w:val="15"/>
              </w:rPr>
            </w:pPr>
            <w:r w:rsidRPr="007A4ECB">
              <w:rPr>
                <w:rFonts w:cs="Calibri"/>
                <w:color w:val="000000"/>
                <w:sz w:val="15"/>
                <w:szCs w:val="15"/>
              </w:rPr>
              <w:t>42.3</w:t>
            </w:r>
          </w:p>
        </w:tc>
        <w:tc>
          <w:tcPr>
            <w:tcW w:w="372" w:type="pct"/>
            <w:noWrap/>
            <w:hideMark/>
          </w:tcPr>
          <w:p w14:paraId="446CA80D" w14:textId="77777777" w:rsidR="00120717" w:rsidRPr="007A4ECB" w:rsidRDefault="00120717" w:rsidP="00075C8B">
            <w:pPr>
              <w:jc w:val="right"/>
              <w:rPr>
                <w:rFonts w:cs="Calibri"/>
                <w:color w:val="000000"/>
                <w:sz w:val="15"/>
                <w:szCs w:val="15"/>
              </w:rPr>
            </w:pPr>
            <w:r w:rsidRPr="007A4ECB">
              <w:rPr>
                <w:rFonts w:cs="Calibri"/>
                <w:color w:val="000000"/>
                <w:sz w:val="15"/>
                <w:szCs w:val="15"/>
              </w:rPr>
              <w:t>37.1</w:t>
            </w:r>
          </w:p>
        </w:tc>
        <w:tc>
          <w:tcPr>
            <w:tcW w:w="370" w:type="pct"/>
          </w:tcPr>
          <w:p w14:paraId="1777C641" w14:textId="77777777" w:rsidR="00120717" w:rsidRPr="007A4ECB" w:rsidRDefault="00120717" w:rsidP="00075C8B">
            <w:pPr>
              <w:jc w:val="right"/>
              <w:rPr>
                <w:rFonts w:cs="Calibri"/>
                <w:color w:val="000000"/>
                <w:sz w:val="15"/>
                <w:szCs w:val="15"/>
              </w:rPr>
            </w:pPr>
            <w:r w:rsidRPr="007A4ECB">
              <w:rPr>
                <w:rFonts w:cs="Calibri"/>
                <w:color w:val="000000"/>
                <w:sz w:val="15"/>
                <w:szCs w:val="15"/>
              </w:rPr>
              <w:t>49.4</w:t>
            </w:r>
          </w:p>
        </w:tc>
      </w:tr>
      <w:tr w:rsidR="00120717" w:rsidRPr="007A4ECB" w14:paraId="67AE18C8"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5BBFC0D1" w14:textId="77777777" w:rsidR="00120717" w:rsidRPr="007A4ECB" w:rsidRDefault="00120717" w:rsidP="00075C8B">
            <w:pPr>
              <w:jc w:val="left"/>
              <w:rPr>
                <w:sz w:val="15"/>
                <w:szCs w:val="15"/>
              </w:rPr>
            </w:pPr>
          </w:p>
        </w:tc>
        <w:tc>
          <w:tcPr>
            <w:tcW w:w="2599" w:type="pct"/>
            <w:gridSpan w:val="7"/>
            <w:hideMark/>
          </w:tcPr>
          <w:p w14:paraId="66550BAF" w14:textId="77777777" w:rsidR="00120717" w:rsidRPr="007A4ECB" w:rsidRDefault="00120717" w:rsidP="00075C8B">
            <w:pPr>
              <w:jc w:val="center"/>
              <w:rPr>
                <w:rFonts w:cs="Calibri"/>
                <w:b/>
                <w:bCs/>
                <w:color w:val="000000"/>
                <w:sz w:val="15"/>
                <w:szCs w:val="15"/>
              </w:rPr>
            </w:pPr>
            <w:r w:rsidRPr="007A4ECB">
              <w:rPr>
                <w:rFonts w:cs="Calibri"/>
                <w:b/>
                <w:bCs/>
                <w:color w:val="000000"/>
                <w:sz w:val="15"/>
                <w:szCs w:val="15"/>
              </w:rPr>
              <w:t>(% of total imports)</w:t>
            </w:r>
          </w:p>
        </w:tc>
      </w:tr>
      <w:tr w:rsidR="00120717" w:rsidRPr="007A4ECB" w14:paraId="4861770C" w14:textId="77777777" w:rsidTr="00A94807">
        <w:tc>
          <w:tcPr>
            <w:tcW w:w="2401" w:type="pct"/>
            <w:noWrap/>
            <w:hideMark/>
          </w:tcPr>
          <w:p w14:paraId="1CF99330" w14:textId="77777777" w:rsidR="00120717" w:rsidRPr="007A4ECB" w:rsidRDefault="00120717" w:rsidP="00A94807">
            <w:pPr>
              <w:jc w:val="left"/>
              <w:rPr>
                <w:rFonts w:cs="Calibri"/>
                <w:color w:val="000000"/>
                <w:sz w:val="15"/>
                <w:szCs w:val="15"/>
              </w:rPr>
            </w:pPr>
            <w:r w:rsidRPr="007A4ECB">
              <w:rPr>
                <w:rFonts w:cs="Calibri"/>
                <w:color w:val="000000"/>
                <w:sz w:val="15"/>
                <w:szCs w:val="15"/>
              </w:rPr>
              <w:t>01 Live animals and products</w:t>
            </w:r>
          </w:p>
        </w:tc>
        <w:tc>
          <w:tcPr>
            <w:tcW w:w="371" w:type="pct"/>
            <w:noWrap/>
            <w:hideMark/>
          </w:tcPr>
          <w:p w14:paraId="2D906CCF" w14:textId="77777777" w:rsidR="00120717" w:rsidRPr="007A4ECB" w:rsidRDefault="00120717" w:rsidP="00A94807">
            <w:pPr>
              <w:jc w:val="right"/>
              <w:rPr>
                <w:rFonts w:cs="Calibri"/>
                <w:color w:val="000000"/>
                <w:sz w:val="15"/>
                <w:szCs w:val="15"/>
              </w:rPr>
            </w:pPr>
            <w:r w:rsidRPr="007A4ECB">
              <w:rPr>
                <w:rFonts w:cs="Calibri"/>
                <w:color w:val="000000"/>
                <w:sz w:val="15"/>
                <w:szCs w:val="15"/>
              </w:rPr>
              <w:t>1.5</w:t>
            </w:r>
          </w:p>
        </w:tc>
        <w:tc>
          <w:tcPr>
            <w:tcW w:w="372" w:type="pct"/>
            <w:noWrap/>
            <w:hideMark/>
          </w:tcPr>
          <w:p w14:paraId="18AB08E9" w14:textId="77777777" w:rsidR="00120717" w:rsidRPr="007A4ECB" w:rsidRDefault="00120717" w:rsidP="00A94807">
            <w:pPr>
              <w:jc w:val="right"/>
              <w:rPr>
                <w:rFonts w:cs="Calibri"/>
                <w:color w:val="000000"/>
                <w:sz w:val="15"/>
                <w:szCs w:val="15"/>
              </w:rPr>
            </w:pPr>
            <w:r w:rsidRPr="007A4ECB">
              <w:rPr>
                <w:rFonts w:cs="Calibri"/>
                <w:color w:val="000000"/>
                <w:sz w:val="15"/>
                <w:szCs w:val="15"/>
              </w:rPr>
              <w:t>1.4</w:t>
            </w:r>
          </w:p>
        </w:tc>
        <w:tc>
          <w:tcPr>
            <w:tcW w:w="371" w:type="pct"/>
            <w:noWrap/>
            <w:hideMark/>
          </w:tcPr>
          <w:p w14:paraId="74817F99" w14:textId="77777777" w:rsidR="00120717" w:rsidRPr="007A4ECB" w:rsidRDefault="00120717" w:rsidP="00A94807">
            <w:pPr>
              <w:jc w:val="right"/>
              <w:rPr>
                <w:rFonts w:cs="Calibri"/>
                <w:color w:val="000000"/>
                <w:sz w:val="15"/>
                <w:szCs w:val="15"/>
              </w:rPr>
            </w:pPr>
            <w:r w:rsidRPr="007A4ECB">
              <w:rPr>
                <w:rFonts w:cs="Calibri"/>
                <w:color w:val="000000"/>
                <w:sz w:val="15"/>
                <w:szCs w:val="15"/>
              </w:rPr>
              <w:t>1.4</w:t>
            </w:r>
          </w:p>
        </w:tc>
        <w:tc>
          <w:tcPr>
            <w:tcW w:w="372" w:type="pct"/>
            <w:noWrap/>
            <w:hideMark/>
          </w:tcPr>
          <w:p w14:paraId="27091030" w14:textId="77777777" w:rsidR="00120717" w:rsidRPr="007A4ECB" w:rsidRDefault="00120717" w:rsidP="00A94807">
            <w:pPr>
              <w:jc w:val="right"/>
              <w:rPr>
                <w:rFonts w:cs="Calibri"/>
                <w:color w:val="000000"/>
                <w:sz w:val="15"/>
                <w:szCs w:val="15"/>
              </w:rPr>
            </w:pPr>
            <w:r w:rsidRPr="007A4ECB">
              <w:rPr>
                <w:rFonts w:cs="Calibri"/>
                <w:color w:val="000000"/>
                <w:sz w:val="15"/>
                <w:szCs w:val="15"/>
              </w:rPr>
              <w:t>1.4</w:t>
            </w:r>
          </w:p>
        </w:tc>
        <w:tc>
          <w:tcPr>
            <w:tcW w:w="371" w:type="pct"/>
            <w:noWrap/>
            <w:hideMark/>
          </w:tcPr>
          <w:p w14:paraId="21BEC1CE" w14:textId="77777777" w:rsidR="00120717" w:rsidRPr="007A4ECB" w:rsidRDefault="00120717" w:rsidP="00A94807">
            <w:pPr>
              <w:jc w:val="right"/>
              <w:rPr>
                <w:rFonts w:cs="Calibri"/>
                <w:color w:val="000000"/>
                <w:sz w:val="15"/>
                <w:szCs w:val="15"/>
              </w:rPr>
            </w:pPr>
            <w:r w:rsidRPr="007A4ECB">
              <w:rPr>
                <w:rFonts w:cs="Calibri"/>
                <w:color w:val="000000"/>
                <w:sz w:val="15"/>
                <w:szCs w:val="15"/>
              </w:rPr>
              <w:t>1.6</w:t>
            </w:r>
          </w:p>
        </w:tc>
        <w:tc>
          <w:tcPr>
            <w:tcW w:w="372" w:type="pct"/>
            <w:noWrap/>
            <w:hideMark/>
          </w:tcPr>
          <w:p w14:paraId="2E1DB070" w14:textId="77777777" w:rsidR="00120717" w:rsidRPr="007A4ECB" w:rsidRDefault="00120717" w:rsidP="00A94807">
            <w:pPr>
              <w:jc w:val="right"/>
              <w:rPr>
                <w:rFonts w:cs="Calibri"/>
                <w:color w:val="000000"/>
                <w:sz w:val="15"/>
                <w:szCs w:val="15"/>
              </w:rPr>
            </w:pPr>
            <w:r w:rsidRPr="007A4ECB">
              <w:rPr>
                <w:rFonts w:cs="Calibri"/>
                <w:color w:val="000000"/>
                <w:sz w:val="15"/>
                <w:szCs w:val="15"/>
              </w:rPr>
              <w:t>1.8</w:t>
            </w:r>
          </w:p>
        </w:tc>
        <w:tc>
          <w:tcPr>
            <w:tcW w:w="370" w:type="pct"/>
          </w:tcPr>
          <w:p w14:paraId="44067FCB" w14:textId="77777777" w:rsidR="00120717" w:rsidRPr="007A4ECB" w:rsidRDefault="00120717" w:rsidP="00A94807">
            <w:pPr>
              <w:jc w:val="right"/>
              <w:rPr>
                <w:rFonts w:cs="Calibri"/>
                <w:color w:val="000000"/>
                <w:sz w:val="15"/>
                <w:szCs w:val="15"/>
              </w:rPr>
            </w:pPr>
            <w:r w:rsidRPr="007A4ECB">
              <w:rPr>
                <w:rFonts w:cs="Calibri"/>
                <w:color w:val="000000"/>
                <w:sz w:val="15"/>
                <w:szCs w:val="15"/>
              </w:rPr>
              <w:t>1.3</w:t>
            </w:r>
          </w:p>
        </w:tc>
      </w:tr>
      <w:tr w:rsidR="00120717" w:rsidRPr="007A4ECB" w14:paraId="396E9DAC"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5E20DB34" w14:textId="77777777" w:rsidR="00120717" w:rsidRPr="007A4ECB" w:rsidRDefault="00120717" w:rsidP="00A94807">
            <w:pPr>
              <w:jc w:val="left"/>
              <w:rPr>
                <w:rFonts w:cs="Calibri"/>
                <w:color w:val="000000"/>
                <w:sz w:val="15"/>
                <w:szCs w:val="15"/>
              </w:rPr>
            </w:pPr>
            <w:r w:rsidRPr="007A4ECB">
              <w:rPr>
                <w:rFonts w:cs="Calibri"/>
                <w:color w:val="000000"/>
                <w:sz w:val="15"/>
                <w:szCs w:val="15"/>
              </w:rPr>
              <w:t>02 Vegetable products</w:t>
            </w:r>
          </w:p>
        </w:tc>
        <w:tc>
          <w:tcPr>
            <w:tcW w:w="371" w:type="pct"/>
            <w:noWrap/>
            <w:hideMark/>
          </w:tcPr>
          <w:p w14:paraId="2D863D8C" w14:textId="77777777" w:rsidR="00120717" w:rsidRPr="007A4ECB" w:rsidRDefault="00120717" w:rsidP="00A94807">
            <w:pPr>
              <w:jc w:val="right"/>
              <w:rPr>
                <w:rFonts w:cs="Calibri"/>
                <w:color w:val="000000"/>
                <w:sz w:val="15"/>
                <w:szCs w:val="15"/>
              </w:rPr>
            </w:pPr>
            <w:r w:rsidRPr="007A4ECB">
              <w:rPr>
                <w:rFonts w:cs="Calibri"/>
                <w:color w:val="000000"/>
                <w:sz w:val="15"/>
                <w:szCs w:val="15"/>
              </w:rPr>
              <w:t>2.4</w:t>
            </w:r>
          </w:p>
        </w:tc>
        <w:tc>
          <w:tcPr>
            <w:tcW w:w="372" w:type="pct"/>
            <w:noWrap/>
            <w:hideMark/>
          </w:tcPr>
          <w:p w14:paraId="11F3EDAB" w14:textId="77777777" w:rsidR="00120717" w:rsidRPr="007A4ECB" w:rsidRDefault="00120717" w:rsidP="00A94807">
            <w:pPr>
              <w:jc w:val="right"/>
              <w:rPr>
                <w:rFonts w:cs="Calibri"/>
                <w:color w:val="000000"/>
                <w:sz w:val="15"/>
                <w:szCs w:val="15"/>
              </w:rPr>
            </w:pPr>
            <w:r w:rsidRPr="007A4ECB">
              <w:rPr>
                <w:rFonts w:cs="Calibri"/>
                <w:color w:val="000000"/>
                <w:sz w:val="15"/>
                <w:szCs w:val="15"/>
              </w:rPr>
              <w:t>2.3</w:t>
            </w:r>
          </w:p>
        </w:tc>
        <w:tc>
          <w:tcPr>
            <w:tcW w:w="371" w:type="pct"/>
            <w:noWrap/>
            <w:hideMark/>
          </w:tcPr>
          <w:p w14:paraId="55F16960" w14:textId="77777777" w:rsidR="00120717" w:rsidRPr="007A4ECB" w:rsidRDefault="00120717" w:rsidP="00A94807">
            <w:pPr>
              <w:jc w:val="right"/>
              <w:rPr>
                <w:rFonts w:cs="Calibri"/>
                <w:color w:val="000000"/>
                <w:sz w:val="15"/>
                <w:szCs w:val="15"/>
              </w:rPr>
            </w:pPr>
            <w:r w:rsidRPr="007A4ECB">
              <w:rPr>
                <w:rFonts w:cs="Calibri"/>
                <w:color w:val="000000"/>
                <w:sz w:val="15"/>
                <w:szCs w:val="15"/>
              </w:rPr>
              <w:t>2.3</w:t>
            </w:r>
          </w:p>
        </w:tc>
        <w:tc>
          <w:tcPr>
            <w:tcW w:w="372" w:type="pct"/>
            <w:noWrap/>
            <w:hideMark/>
          </w:tcPr>
          <w:p w14:paraId="296460D1" w14:textId="77777777" w:rsidR="00120717" w:rsidRPr="007A4ECB" w:rsidRDefault="00120717" w:rsidP="00A94807">
            <w:pPr>
              <w:jc w:val="right"/>
              <w:rPr>
                <w:rFonts w:cs="Calibri"/>
                <w:color w:val="000000"/>
                <w:sz w:val="15"/>
                <w:szCs w:val="15"/>
              </w:rPr>
            </w:pPr>
            <w:r w:rsidRPr="007A4ECB">
              <w:rPr>
                <w:rFonts w:cs="Calibri"/>
                <w:color w:val="000000"/>
                <w:sz w:val="15"/>
                <w:szCs w:val="15"/>
              </w:rPr>
              <w:t>2.2</w:t>
            </w:r>
          </w:p>
        </w:tc>
        <w:tc>
          <w:tcPr>
            <w:tcW w:w="371" w:type="pct"/>
            <w:noWrap/>
            <w:hideMark/>
          </w:tcPr>
          <w:p w14:paraId="0AE2FCB5" w14:textId="77777777" w:rsidR="00120717" w:rsidRPr="007A4ECB" w:rsidRDefault="00120717" w:rsidP="00A94807">
            <w:pPr>
              <w:jc w:val="right"/>
              <w:rPr>
                <w:rFonts w:cs="Calibri"/>
                <w:color w:val="000000"/>
                <w:sz w:val="15"/>
                <w:szCs w:val="15"/>
              </w:rPr>
            </w:pPr>
            <w:r w:rsidRPr="007A4ECB">
              <w:rPr>
                <w:rFonts w:cs="Calibri"/>
                <w:color w:val="000000"/>
                <w:sz w:val="15"/>
                <w:szCs w:val="15"/>
              </w:rPr>
              <w:t>2.3</w:t>
            </w:r>
          </w:p>
        </w:tc>
        <w:tc>
          <w:tcPr>
            <w:tcW w:w="372" w:type="pct"/>
            <w:noWrap/>
            <w:hideMark/>
          </w:tcPr>
          <w:p w14:paraId="410569DF" w14:textId="77777777" w:rsidR="00120717" w:rsidRPr="007A4ECB" w:rsidRDefault="00120717" w:rsidP="00A94807">
            <w:pPr>
              <w:jc w:val="right"/>
              <w:rPr>
                <w:rFonts w:cs="Calibri"/>
                <w:color w:val="000000"/>
                <w:sz w:val="15"/>
                <w:szCs w:val="15"/>
              </w:rPr>
            </w:pPr>
            <w:r w:rsidRPr="007A4ECB">
              <w:rPr>
                <w:rFonts w:cs="Calibri"/>
                <w:color w:val="000000"/>
                <w:sz w:val="15"/>
                <w:szCs w:val="15"/>
              </w:rPr>
              <w:t>2.5</w:t>
            </w:r>
          </w:p>
        </w:tc>
        <w:tc>
          <w:tcPr>
            <w:tcW w:w="370" w:type="pct"/>
          </w:tcPr>
          <w:p w14:paraId="07BB59BF" w14:textId="77777777" w:rsidR="00120717" w:rsidRPr="007A4ECB" w:rsidRDefault="00120717" w:rsidP="00A94807">
            <w:pPr>
              <w:jc w:val="right"/>
              <w:rPr>
                <w:rFonts w:cs="Calibri"/>
                <w:color w:val="000000"/>
                <w:sz w:val="15"/>
                <w:szCs w:val="15"/>
              </w:rPr>
            </w:pPr>
            <w:r w:rsidRPr="007A4ECB">
              <w:rPr>
                <w:rFonts w:cs="Calibri"/>
                <w:color w:val="000000"/>
                <w:sz w:val="15"/>
                <w:szCs w:val="15"/>
              </w:rPr>
              <w:t>2.0</w:t>
            </w:r>
          </w:p>
        </w:tc>
      </w:tr>
      <w:tr w:rsidR="00120717" w:rsidRPr="007A4ECB" w14:paraId="314BE2EE" w14:textId="77777777" w:rsidTr="00A94807">
        <w:tc>
          <w:tcPr>
            <w:tcW w:w="2401" w:type="pct"/>
            <w:noWrap/>
            <w:hideMark/>
          </w:tcPr>
          <w:p w14:paraId="63A3AC8B" w14:textId="77777777" w:rsidR="00120717" w:rsidRPr="007A4ECB" w:rsidRDefault="00120717" w:rsidP="00A94807">
            <w:pPr>
              <w:jc w:val="left"/>
              <w:rPr>
                <w:rFonts w:cs="Calibri"/>
                <w:color w:val="000000"/>
                <w:sz w:val="15"/>
                <w:szCs w:val="15"/>
              </w:rPr>
            </w:pPr>
            <w:r w:rsidRPr="007A4ECB">
              <w:rPr>
                <w:rFonts w:cs="Calibri"/>
                <w:color w:val="000000"/>
                <w:sz w:val="15"/>
                <w:szCs w:val="15"/>
              </w:rPr>
              <w:t>03 Fats and oils</w:t>
            </w:r>
          </w:p>
        </w:tc>
        <w:tc>
          <w:tcPr>
            <w:tcW w:w="371" w:type="pct"/>
            <w:noWrap/>
            <w:hideMark/>
          </w:tcPr>
          <w:p w14:paraId="191F4144"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2" w:type="pct"/>
            <w:noWrap/>
            <w:hideMark/>
          </w:tcPr>
          <w:p w14:paraId="5F178F57"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1" w:type="pct"/>
            <w:noWrap/>
            <w:hideMark/>
          </w:tcPr>
          <w:p w14:paraId="25E2DAF1"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2" w:type="pct"/>
            <w:noWrap/>
            <w:hideMark/>
          </w:tcPr>
          <w:p w14:paraId="0AF61D54"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1" w:type="pct"/>
            <w:noWrap/>
            <w:hideMark/>
          </w:tcPr>
          <w:p w14:paraId="1ECFE7D3"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2" w:type="pct"/>
            <w:noWrap/>
            <w:hideMark/>
          </w:tcPr>
          <w:p w14:paraId="28FD47FF" w14:textId="77777777" w:rsidR="00120717" w:rsidRPr="007A4ECB" w:rsidRDefault="00120717" w:rsidP="00A94807">
            <w:pPr>
              <w:jc w:val="right"/>
              <w:rPr>
                <w:rFonts w:cs="Calibri"/>
                <w:color w:val="000000"/>
                <w:sz w:val="15"/>
                <w:szCs w:val="15"/>
              </w:rPr>
            </w:pPr>
            <w:r w:rsidRPr="007A4ECB">
              <w:rPr>
                <w:rFonts w:cs="Calibri"/>
                <w:color w:val="000000"/>
                <w:sz w:val="15"/>
                <w:szCs w:val="15"/>
              </w:rPr>
              <w:t>0.7</w:t>
            </w:r>
          </w:p>
        </w:tc>
        <w:tc>
          <w:tcPr>
            <w:tcW w:w="370" w:type="pct"/>
          </w:tcPr>
          <w:p w14:paraId="17BFB9E9"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r>
      <w:tr w:rsidR="00120717" w:rsidRPr="007A4ECB" w14:paraId="24403AFF"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474DA2A5" w14:textId="77777777" w:rsidR="00120717" w:rsidRPr="007A4ECB" w:rsidRDefault="00120717" w:rsidP="00A94807">
            <w:pPr>
              <w:jc w:val="left"/>
              <w:rPr>
                <w:rFonts w:cs="Calibri"/>
                <w:color w:val="000000"/>
                <w:sz w:val="15"/>
                <w:szCs w:val="15"/>
              </w:rPr>
            </w:pPr>
            <w:r w:rsidRPr="007A4ECB">
              <w:rPr>
                <w:rFonts w:cs="Calibri"/>
                <w:color w:val="000000"/>
                <w:sz w:val="15"/>
                <w:szCs w:val="15"/>
              </w:rPr>
              <w:t>04 Prepared food, beverages, and tobacco</w:t>
            </w:r>
          </w:p>
        </w:tc>
        <w:tc>
          <w:tcPr>
            <w:tcW w:w="371" w:type="pct"/>
            <w:noWrap/>
            <w:hideMark/>
          </w:tcPr>
          <w:p w14:paraId="08657A26" w14:textId="77777777" w:rsidR="00120717" w:rsidRPr="007A4ECB" w:rsidRDefault="00120717" w:rsidP="00A94807">
            <w:pPr>
              <w:jc w:val="right"/>
              <w:rPr>
                <w:rFonts w:cs="Calibri"/>
                <w:color w:val="000000"/>
                <w:sz w:val="15"/>
                <w:szCs w:val="15"/>
              </w:rPr>
            </w:pPr>
            <w:r w:rsidRPr="007A4ECB">
              <w:rPr>
                <w:rFonts w:cs="Calibri"/>
                <w:color w:val="000000"/>
                <w:sz w:val="15"/>
                <w:szCs w:val="15"/>
              </w:rPr>
              <w:t>7.3</w:t>
            </w:r>
          </w:p>
        </w:tc>
        <w:tc>
          <w:tcPr>
            <w:tcW w:w="372" w:type="pct"/>
            <w:noWrap/>
            <w:hideMark/>
          </w:tcPr>
          <w:p w14:paraId="380BADFD" w14:textId="77777777" w:rsidR="00120717" w:rsidRPr="007A4ECB" w:rsidRDefault="00120717" w:rsidP="00A94807">
            <w:pPr>
              <w:jc w:val="right"/>
              <w:rPr>
                <w:rFonts w:cs="Calibri"/>
                <w:color w:val="000000"/>
                <w:sz w:val="15"/>
                <w:szCs w:val="15"/>
              </w:rPr>
            </w:pPr>
            <w:r w:rsidRPr="007A4ECB">
              <w:rPr>
                <w:rFonts w:cs="Calibri"/>
                <w:color w:val="000000"/>
                <w:sz w:val="15"/>
                <w:szCs w:val="15"/>
              </w:rPr>
              <w:t>7.7</w:t>
            </w:r>
          </w:p>
        </w:tc>
        <w:tc>
          <w:tcPr>
            <w:tcW w:w="371" w:type="pct"/>
            <w:noWrap/>
            <w:hideMark/>
          </w:tcPr>
          <w:p w14:paraId="331EA6DE" w14:textId="77777777" w:rsidR="00120717" w:rsidRPr="007A4ECB" w:rsidRDefault="00120717" w:rsidP="00A94807">
            <w:pPr>
              <w:jc w:val="right"/>
              <w:rPr>
                <w:rFonts w:cs="Calibri"/>
                <w:color w:val="000000"/>
                <w:sz w:val="15"/>
                <w:szCs w:val="15"/>
              </w:rPr>
            </w:pPr>
            <w:r w:rsidRPr="007A4ECB">
              <w:rPr>
                <w:rFonts w:cs="Calibri"/>
                <w:color w:val="000000"/>
                <w:sz w:val="15"/>
                <w:szCs w:val="15"/>
              </w:rPr>
              <w:t>7.7</w:t>
            </w:r>
          </w:p>
        </w:tc>
        <w:tc>
          <w:tcPr>
            <w:tcW w:w="372" w:type="pct"/>
            <w:noWrap/>
            <w:hideMark/>
          </w:tcPr>
          <w:p w14:paraId="39F451F7" w14:textId="77777777" w:rsidR="00120717" w:rsidRPr="007A4ECB" w:rsidRDefault="00120717" w:rsidP="00A94807">
            <w:pPr>
              <w:jc w:val="right"/>
              <w:rPr>
                <w:rFonts w:cs="Calibri"/>
                <w:color w:val="000000"/>
                <w:sz w:val="15"/>
                <w:szCs w:val="15"/>
              </w:rPr>
            </w:pPr>
            <w:r w:rsidRPr="007A4ECB">
              <w:rPr>
                <w:rFonts w:cs="Calibri"/>
                <w:color w:val="000000"/>
                <w:sz w:val="15"/>
                <w:szCs w:val="15"/>
              </w:rPr>
              <w:t>7.5</w:t>
            </w:r>
          </w:p>
        </w:tc>
        <w:tc>
          <w:tcPr>
            <w:tcW w:w="371" w:type="pct"/>
            <w:noWrap/>
            <w:hideMark/>
          </w:tcPr>
          <w:p w14:paraId="6CF936DC" w14:textId="77777777" w:rsidR="00120717" w:rsidRPr="007A4ECB" w:rsidRDefault="00120717" w:rsidP="00A94807">
            <w:pPr>
              <w:jc w:val="right"/>
              <w:rPr>
                <w:rFonts w:cs="Calibri"/>
                <w:color w:val="000000"/>
                <w:sz w:val="15"/>
                <w:szCs w:val="15"/>
              </w:rPr>
            </w:pPr>
            <w:r w:rsidRPr="007A4ECB">
              <w:rPr>
                <w:rFonts w:cs="Calibri"/>
                <w:color w:val="000000"/>
                <w:sz w:val="15"/>
                <w:szCs w:val="15"/>
              </w:rPr>
              <w:t>7.5</w:t>
            </w:r>
          </w:p>
        </w:tc>
        <w:tc>
          <w:tcPr>
            <w:tcW w:w="372" w:type="pct"/>
            <w:noWrap/>
            <w:hideMark/>
          </w:tcPr>
          <w:p w14:paraId="2FBA96BA" w14:textId="77777777" w:rsidR="00120717" w:rsidRPr="007A4ECB" w:rsidRDefault="00120717" w:rsidP="00A94807">
            <w:pPr>
              <w:jc w:val="right"/>
              <w:rPr>
                <w:rFonts w:cs="Calibri"/>
                <w:color w:val="000000"/>
                <w:sz w:val="15"/>
                <w:szCs w:val="15"/>
              </w:rPr>
            </w:pPr>
            <w:r w:rsidRPr="007A4ECB">
              <w:rPr>
                <w:rFonts w:cs="Calibri"/>
                <w:color w:val="000000"/>
                <w:sz w:val="15"/>
                <w:szCs w:val="15"/>
              </w:rPr>
              <w:t>8.9</w:t>
            </w:r>
          </w:p>
        </w:tc>
        <w:tc>
          <w:tcPr>
            <w:tcW w:w="370" w:type="pct"/>
          </w:tcPr>
          <w:p w14:paraId="24351A57" w14:textId="77777777" w:rsidR="00120717" w:rsidRPr="007A4ECB" w:rsidRDefault="00120717" w:rsidP="00A94807">
            <w:pPr>
              <w:jc w:val="right"/>
              <w:rPr>
                <w:rFonts w:cs="Calibri"/>
                <w:color w:val="000000"/>
                <w:sz w:val="15"/>
                <w:szCs w:val="15"/>
              </w:rPr>
            </w:pPr>
            <w:r w:rsidRPr="007A4ECB">
              <w:rPr>
                <w:rFonts w:cs="Calibri"/>
                <w:color w:val="000000"/>
                <w:sz w:val="15"/>
                <w:szCs w:val="15"/>
              </w:rPr>
              <w:t>7.8</w:t>
            </w:r>
          </w:p>
        </w:tc>
      </w:tr>
      <w:tr w:rsidR="00120717" w:rsidRPr="007A4ECB" w14:paraId="4594D7E8" w14:textId="77777777" w:rsidTr="00A94807">
        <w:tc>
          <w:tcPr>
            <w:tcW w:w="2401" w:type="pct"/>
            <w:noWrap/>
            <w:hideMark/>
          </w:tcPr>
          <w:p w14:paraId="4F2415BD" w14:textId="77777777" w:rsidR="00120717" w:rsidRPr="007A4ECB" w:rsidRDefault="00120717" w:rsidP="00A94807">
            <w:pPr>
              <w:ind w:left="227"/>
              <w:jc w:val="left"/>
              <w:rPr>
                <w:rFonts w:cs="Calibri"/>
                <w:color w:val="000000"/>
                <w:sz w:val="15"/>
                <w:szCs w:val="15"/>
              </w:rPr>
            </w:pPr>
            <w:r w:rsidRPr="007A4ECB">
              <w:rPr>
                <w:rFonts w:cs="Calibri"/>
                <w:color w:val="000000"/>
                <w:sz w:val="15"/>
                <w:szCs w:val="15"/>
              </w:rPr>
              <w:t>23 Residues, wastes of food industry, animal fodder</w:t>
            </w:r>
          </w:p>
        </w:tc>
        <w:tc>
          <w:tcPr>
            <w:tcW w:w="371" w:type="pct"/>
            <w:noWrap/>
            <w:hideMark/>
          </w:tcPr>
          <w:p w14:paraId="3662C9FA" w14:textId="77777777" w:rsidR="00120717" w:rsidRPr="007A4ECB" w:rsidRDefault="00120717" w:rsidP="00A94807">
            <w:pPr>
              <w:jc w:val="right"/>
              <w:rPr>
                <w:rFonts w:cs="Calibri"/>
                <w:color w:val="000000"/>
                <w:sz w:val="15"/>
                <w:szCs w:val="15"/>
              </w:rPr>
            </w:pPr>
            <w:r w:rsidRPr="007A4ECB">
              <w:rPr>
                <w:rFonts w:cs="Calibri"/>
                <w:color w:val="000000"/>
                <w:sz w:val="15"/>
                <w:szCs w:val="15"/>
              </w:rPr>
              <w:t>1.6</w:t>
            </w:r>
          </w:p>
        </w:tc>
        <w:tc>
          <w:tcPr>
            <w:tcW w:w="372" w:type="pct"/>
            <w:noWrap/>
            <w:hideMark/>
          </w:tcPr>
          <w:p w14:paraId="06EB5F41" w14:textId="77777777" w:rsidR="00120717" w:rsidRPr="007A4ECB" w:rsidRDefault="00120717" w:rsidP="00A94807">
            <w:pPr>
              <w:jc w:val="right"/>
              <w:rPr>
                <w:rFonts w:cs="Calibri"/>
                <w:color w:val="000000"/>
                <w:sz w:val="15"/>
                <w:szCs w:val="15"/>
              </w:rPr>
            </w:pPr>
            <w:r w:rsidRPr="007A4ECB">
              <w:rPr>
                <w:rFonts w:cs="Calibri"/>
                <w:color w:val="000000"/>
                <w:sz w:val="15"/>
                <w:szCs w:val="15"/>
              </w:rPr>
              <w:t>1.4</w:t>
            </w:r>
          </w:p>
        </w:tc>
        <w:tc>
          <w:tcPr>
            <w:tcW w:w="371" w:type="pct"/>
            <w:noWrap/>
            <w:hideMark/>
          </w:tcPr>
          <w:p w14:paraId="0EB1F584" w14:textId="77777777" w:rsidR="00120717" w:rsidRPr="007A4ECB" w:rsidRDefault="00120717" w:rsidP="00A94807">
            <w:pPr>
              <w:jc w:val="right"/>
              <w:rPr>
                <w:rFonts w:cs="Calibri"/>
                <w:color w:val="000000"/>
                <w:sz w:val="15"/>
                <w:szCs w:val="15"/>
              </w:rPr>
            </w:pPr>
            <w:r w:rsidRPr="007A4ECB">
              <w:rPr>
                <w:rFonts w:cs="Calibri"/>
                <w:color w:val="000000"/>
                <w:sz w:val="15"/>
                <w:szCs w:val="15"/>
              </w:rPr>
              <w:t>1.6</w:t>
            </w:r>
          </w:p>
        </w:tc>
        <w:tc>
          <w:tcPr>
            <w:tcW w:w="372" w:type="pct"/>
            <w:noWrap/>
            <w:hideMark/>
          </w:tcPr>
          <w:p w14:paraId="5C248592" w14:textId="77777777" w:rsidR="00120717" w:rsidRPr="007A4ECB" w:rsidRDefault="00120717" w:rsidP="00A94807">
            <w:pPr>
              <w:jc w:val="right"/>
              <w:rPr>
                <w:rFonts w:cs="Calibri"/>
                <w:color w:val="000000"/>
                <w:sz w:val="15"/>
                <w:szCs w:val="15"/>
              </w:rPr>
            </w:pPr>
            <w:r w:rsidRPr="007A4ECB">
              <w:rPr>
                <w:rFonts w:cs="Calibri"/>
                <w:color w:val="000000"/>
                <w:sz w:val="15"/>
                <w:szCs w:val="15"/>
              </w:rPr>
              <w:t>1.8</w:t>
            </w:r>
          </w:p>
        </w:tc>
        <w:tc>
          <w:tcPr>
            <w:tcW w:w="371" w:type="pct"/>
            <w:noWrap/>
            <w:hideMark/>
          </w:tcPr>
          <w:p w14:paraId="002509DC" w14:textId="77777777" w:rsidR="00120717" w:rsidRPr="007A4ECB" w:rsidRDefault="00120717" w:rsidP="00A94807">
            <w:pPr>
              <w:jc w:val="right"/>
              <w:rPr>
                <w:rFonts w:cs="Calibri"/>
                <w:color w:val="000000"/>
                <w:sz w:val="15"/>
                <w:szCs w:val="15"/>
              </w:rPr>
            </w:pPr>
            <w:r w:rsidRPr="007A4ECB">
              <w:rPr>
                <w:rFonts w:cs="Calibri"/>
                <w:color w:val="000000"/>
                <w:sz w:val="15"/>
                <w:szCs w:val="15"/>
              </w:rPr>
              <w:t>1.6</w:t>
            </w:r>
          </w:p>
        </w:tc>
        <w:tc>
          <w:tcPr>
            <w:tcW w:w="372" w:type="pct"/>
            <w:noWrap/>
            <w:hideMark/>
          </w:tcPr>
          <w:p w14:paraId="27F7EBE7" w14:textId="77777777" w:rsidR="00120717" w:rsidRPr="007A4ECB" w:rsidRDefault="00120717" w:rsidP="00A94807">
            <w:pPr>
              <w:jc w:val="right"/>
              <w:rPr>
                <w:rFonts w:cs="Calibri"/>
                <w:color w:val="000000"/>
                <w:sz w:val="15"/>
                <w:szCs w:val="15"/>
              </w:rPr>
            </w:pPr>
            <w:r w:rsidRPr="007A4ECB">
              <w:rPr>
                <w:rFonts w:cs="Calibri"/>
                <w:color w:val="000000"/>
                <w:sz w:val="15"/>
                <w:szCs w:val="15"/>
              </w:rPr>
              <w:t>2.2</w:t>
            </w:r>
          </w:p>
        </w:tc>
        <w:tc>
          <w:tcPr>
            <w:tcW w:w="370" w:type="pct"/>
          </w:tcPr>
          <w:p w14:paraId="6D21D27C" w14:textId="77777777" w:rsidR="00120717" w:rsidRPr="007A4ECB" w:rsidRDefault="00120717" w:rsidP="00A94807">
            <w:pPr>
              <w:jc w:val="right"/>
              <w:rPr>
                <w:rFonts w:cs="Calibri"/>
                <w:color w:val="000000"/>
                <w:sz w:val="15"/>
                <w:szCs w:val="15"/>
              </w:rPr>
            </w:pPr>
            <w:r w:rsidRPr="007A4ECB">
              <w:rPr>
                <w:rFonts w:cs="Calibri"/>
                <w:color w:val="000000"/>
                <w:sz w:val="15"/>
                <w:szCs w:val="15"/>
              </w:rPr>
              <w:t>2.0</w:t>
            </w:r>
          </w:p>
        </w:tc>
      </w:tr>
      <w:tr w:rsidR="00120717" w:rsidRPr="007A4ECB" w14:paraId="7ABC500A"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7A2BB8AB" w14:textId="77777777" w:rsidR="00120717" w:rsidRPr="007A4ECB" w:rsidRDefault="00120717" w:rsidP="00A94807">
            <w:pPr>
              <w:jc w:val="left"/>
              <w:rPr>
                <w:rFonts w:cs="Calibri"/>
                <w:color w:val="000000"/>
                <w:sz w:val="15"/>
                <w:szCs w:val="15"/>
              </w:rPr>
            </w:pPr>
            <w:r w:rsidRPr="007A4ECB">
              <w:rPr>
                <w:rFonts w:cs="Calibri"/>
                <w:color w:val="000000"/>
                <w:sz w:val="15"/>
                <w:szCs w:val="15"/>
              </w:rPr>
              <w:t>05 Mineral products</w:t>
            </w:r>
          </w:p>
        </w:tc>
        <w:tc>
          <w:tcPr>
            <w:tcW w:w="371" w:type="pct"/>
            <w:noWrap/>
            <w:hideMark/>
          </w:tcPr>
          <w:p w14:paraId="7A586CB5" w14:textId="77777777" w:rsidR="00120717" w:rsidRPr="007A4ECB" w:rsidRDefault="00120717" w:rsidP="00A94807">
            <w:pPr>
              <w:jc w:val="right"/>
              <w:rPr>
                <w:rFonts w:cs="Calibri"/>
                <w:color w:val="000000"/>
                <w:sz w:val="15"/>
                <w:szCs w:val="15"/>
              </w:rPr>
            </w:pPr>
            <w:r w:rsidRPr="007A4ECB">
              <w:rPr>
                <w:rFonts w:cs="Calibri"/>
                <w:color w:val="000000"/>
                <w:sz w:val="15"/>
                <w:szCs w:val="15"/>
              </w:rPr>
              <w:t>10.6</w:t>
            </w:r>
          </w:p>
        </w:tc>
        <w:tc>
          <w:tcPr>
            <w:tcW w:w="372" w:type="pct"/>
            <w:noWrap/>
            <w:hideMark/>
          </w:tcPr>
          <w:p w14:paraId="2D4F4DDF" w14:textId="77777777" w:rsidR="00120717" w:rsidRPr="007A4ECB" w:rsidRDefault="00120717" w:rsidP="00A94807">
            <w:pPr>
              <w:jc w:val="right"/>
              <w:rPr>
                <w:rFonts w:cs="Calibri"/>
                <w:color w:val="000000"/>
                <w:sz w:val="15"/>
                <w:szCs w:val="15"/>
              </w:rPr>
            </w:pPr>
            <w:r w:rsidRPr="007A4ECB">
              <w:rPr>
                <w:rFonts w:cs="Calibri"/>
                <w:color w:val="000000"/>
                <w:sz w:val="15"/>
                <w:szCs w:val="15"/>
              </w:rPr>
              <w:t>9.0</w:t>
            </w:r>
          </w:p>
        </w:tc>
        <w:tc>
          <w:tcPr>
            <w:tcW w:w="371" w:type="pct"/>
            <w:noWrap/>
            <w:hideMark/>
          </w:tcPr>
          <w:p w14:paraId="566B3010" w14:textId="77777777" w:rsidR="00120717" w:rsidRPr="007A4ECB" w:rsidRDefault="00120717" w:rsidP="00A94807">
            <w:pPr>
              <w:jc w:val="right"/>
              <w:rPr>
                <w:rFonts w:cs="Calibri"/>
                <w:color w:val="000000"/>
                <w:sz w:val="15"/>
                <w:szCs w:val="15"/>
              </w:rPr>
            </w:pPr>
            <w:r w:rsidRPr="007A4ECB">
              <w:rPr>
                <w:rFonts w:cs="Calibri"/>
                <w:color w:val="000000"/>
                <w:sz w:val="15"/>
                <w:szCs w:val="15"/>
              </w:rPr>
              <w:t>9.8</w:t>
            </w:r>
          </w:p>
        </w:tc>
        <w:tc>
          <w:tcPr>
            <w:tcW w:w="372" w:type="pct"/>
            <w:noWrap/>
            <w:hideMark/>
          </w:tcPr>
          <w:p w14:paraId="691FBDA9" w14:textId="77777777" w:rsidR="00120717" w:rsidRPr="007A4ECB" w:rsidRDefault="00120717" w:rsidP="00A94807">
            <w:pPr>
              <w:jc w:val="right"/>
              <w:rPr>
                <w:rFonts w:cs="Calibri"/>
                <w:color w:val="000000"/>
                <w:sz w:val="15"/>
                <w:szCs w:val="15"/>
              </w:rPr>
            </w:pPr>
            <w:r w:rsidRPr="007A4ECB">
              <w:rPr>
                <w:rFonts w:cs="Calibri"/>
                <w:color w:val="000000"/>
                <w:sz w:val="15"/>
                <w:szCs w:val="15"/>
              </w:rPr>
              <w:t>12.6</w:t>
            </w:r>
          </w:p>
        </w:tc>
        <w:tc>
          <w:tcPr>
            <w:tcW w:w="371" w:type="pct"/>
            <w:noWrap/>
            <w:hideMark/>
          </w:tcPr>
          <w:p w14:paraId="01BBF329" w14:textId="77777777" w:rsidR="00120717" w:rsidRPr="007A4ECB" w:rsidRDefault="00120717" w:rsidP="00A94807">
            <w:pPr>
              <w:jc w:val="right"/>
              <w:rPr>
                <w:rFonts w:cs="Calibri"/>
                <w:color w:val="000000"/>
                <w:sz w:val="15"/>
                <w:szCs w:val="15"/>
              </w:rPr>
            </w:pPr>
            <w:r w:rsidRPr="007A4ECB">
              <w:rPr>
                <w:rFonts w:cs="Calibri"/>
                <w:color w:val="000000"/>
                <w:sz w:val="15"/>
                <w:szCs w:val="15"/>
              </w:rPr>
              <w:t>11.4</w:t>
            </w:r>
          </w:p>
        </w:tc>
        <w:tc>
          <w:tcPr>
            <w:tcW w:w="372" w:type="pct"/>
            <w:noWrap/>
            <w:hideMark/>
          </w:tcPr>
          <w:p w14:paraId="226C1B8D" w14:textId="77777777" w:rsidR="00120717" w:rsidRPr="007A4ECB" w:rsidRDefault="00120717" w:rsidP="00A94807">
            <w:pPr>
              <w:jc w:val="right"/>
              <w:rPr>
                <w:rFonts w:cs="Calibri"/>
                <w:color w:val="000000"/>
                <w:sz w:val="15"/>
                <w:szCs w:val="15"/>
              </w:rPr>
            </w:pPr>
            <w:r w:rsidRPr="007A4ECB">
              <w:rPr>
                <w:rFonts w:cs="Calibri"/>
                <w:color w:val="000000"/>
                <w:sz w:val="15"/>
                <w:szCs w:val="15"/>
              </w:rPr>
              <w:t>8.9</w:t>
            </w:r>
          </w:p>
        </w:tc>
        <w:tc>
          <w:tcPr>
            <w:tcW w:w="370" w:type="pct"/>
          </w:tcPr>
          <w:p w14:paraId="2869B7C9" w14:textId="77777777" w:rsidR="00120717" w:rsidRPr="007A4ECB" w:rsidRDefault="00120717" w:rsidP="00A94807">
            <w:pPr>
              <w:jc w:val="right"/>
              <w:rPr>
                <w:rFonts w:cs="Calibri"/>
                <w:color w:val="000000"/>
                <w:sz w:val="15"/>
                <w:szCs w:val="15"/>
              </w:rPr>
            </w:pPr>
            <w:r w:rsidRPr="007A4ECB">
              <w:rPr>
                <w:rFonts w:cs="Calibri"/>
                <w:color w:val="000000"/>
                <w:sz w:val="15"/>
                <w:szCs w:val="15"/>
              </w:rPr>
              <w:t>8.1</w:t>
            </w:r>
          </w:p>
        </w:tc>
      </w:tr>
      <w:tr w:rsidR="00120717" w:rsidRPr="007A4ECB" w14:paraId="67FF7B97" w14:textId="77777777" w:rsidTr="00A94807">
        <w:tc>
          <w:tcPr>
            <w:tcW w:w="2401" w:type="pct"/>
            <w:noWrap/>
            <w:hideMark/>
          </w:tcPr>
          <w:p w14:paraId="25578E6A" w14:textId="77777777" w:rsidR="00120717" w:rsidRPr="007A4ECB" w:rsidRDefault="00120717" w:rsidP="00A94807">
            <w:pPr>
              <w:ind w:left="227"/>
              <w:jc w:val="left"/>
              <w:rPr>
                <w:rFonts w:cs="Calibri"/>
                <w:color w:val="000000"/>
                <w:sz w:val="15"/>
                <w:szCs w:val="15"/>
              </w:rPr>
            </w:pPr>
            <w:r w:rsidRPr="007A4ECB">
              <w:rPr>
                <w:rFonts w:cs="Calibri"/>
                <w:color w:val="000000"/>
                <w:sz w:val="15"/>
                <w:szCs w:val="15"/>
              </w:rPr>
              <w:t>27 Mineral fuels and oils</w:t>
            </w:r>
          </w:p>
        </w:tc>
        <w:tc>
          <w:tcPr>
            <w:tcW w:w="371" w:type="pct"/>
            <w:noWrap/>
            <w:hideMark/>
          </w:tcPr>
          <w:p w14:paraId="2AFF38DF" w14:textId="77777777" w:rsidR="00120717" w:rsidRPr="007A4ECB" w:rsidRDefault="00120717" w:rsidP="00A94807">
            <w:pPr>
              <w:jc w:val="right"/>
              <w:rPr>
                <w:rFonts w:cs="Calibri"/>
                <w:color w:val="000000"/>
                <w:sz w:val="15"/>
                <w:szCs w:val="15"/>
              </w:rPr>
            </w:pPr>
            <w:r w:rsidRPr="007A4ECB">
              <w:rPr>
                <w:rFonts w:cs="Calibri"/>
                <w:color w:val="000000"/>
                <w:sz w:val="15"/>
                <w:szCs w:val="15"/>
              </w:rPr>
              <w:t>10.0</w:t>
            </w:r>
          </w:p>
        </w:tc>
        <w:tc>
          <w:tcPr>
            <w:tcW w:w="372" w:type="pct"/>
            <w:noWrap/>
            <w:hideMark/>
          </w:tcPr>
          <w:p w14:paraId="1C359DFA" w14:textId="77777777" w:rsidR="00120717" w:rsidRPr="007A4ECB" w:rsidRDefault="00120717" w:rsidP="00A94807">
            <w:pPr>
              <w:jc w:val="right"/>
              <w:rPr>
                <w:rFonts w:cs="Calibri"/>
                <w:color w:val="000000"/>
                <w:sz w:val="15"/>
                <w:szCs w:val="15"/>
              </w:rPr>
            </w:pPr>
            <w:r w:rsidRPr="007A4ECB">
              <w:rPr>
                <w:rFonts w:cs="Calibri"/>
                <w:color w:val="000000"/>
                <w:sz w:val="15"/>
                <w:szCs w:val="15"/>
              </w:rPr>
              <w:t>8.5</w:t>
            </w:r>
          </w:p>
        </w:tc>
        <w:tc>
          <w:tcPr>
            <w:tcW w:w="371" w:type="pct"/>
            <w:noWrap/>
            <w:hideMark/>
          </w:tcPr>
          <w:p w14:paraId="4FFA46ED" w14:textId="77777777" w:rsidR="00120717" w:rsidRPr="007A4ECB" w:rsidRDefault="00120717" w:rsidP="00A94807">
            <w:pPr>
              <w:jc w:val="right"/>
              <w:rPr>
                <w:rFonts w:cs="Calibri"/>
                <w:color w:val="000000"/>
                <w:sz w:val="15"/>
                <w:szCs w:val="15"/>
              </w:rPr>
            </w:pPr>
            <w:r w:rsidRPr="007A4ECB">
              <w:rPr>
                <w:rFonts w:cs="Calibri"/>
                <w:color w:val="000000"/>
                <w:sz w:val="15"/>
                <w:szCs w:val="15"/>
              </w:rPr>
              <w:t>9.4</w:t>
            </w:r>
          </w:p>
        </w:tc>
        <w:tc>
          <w:tcPr>
            <w:tcW w:w="372" w:type="pct"/>
            <w:noWrap/>
            <w:hideMark/>
          </w:tcPr>
          <w:p w14:paraId="4F7FDA66" w14:textId="77777777" w:rsidR="00120717" w:rsidRPr="007A4ECB" w:rsidRDefault="00120717" w:rsidP="00A94807">
            <w:pPr>
              <w:jc w:val="right"/>
              <w:rPr>
                <w:rFonts w:cs="Calibri"/>
                <w:color w:val="000000"/>
                <w:sz w:val="15"/>
                <w:szCs w:val="15"/>
              </w:rPr>
            </w:pPr>
            <w:r w:rsidRPr="007A4ECB">
              <w:rPr>
                <w:rFonts w:cs="Calibri"/>
                <w:color w:val="000000"/>
                <w:sz w:val="15"/>
                <w:szCs w:val="15"/>
              </w:rPr>
              <w:t>12.1</w:t>
            </w:r>
          </w:p>
        </w:tc>
        <w:tc>
          <w:tcPr>
            <w:tcW w:w="371" w:type="pct"/>
            <w:noWrap/>
            <w:hideMark/>
          </w:tcPr>
          <w:p w14:paraId="76EA4EE5" w14:textId="77777777" w:rsidR="00120717" w:rsidRPr="007A4ECB" w:rsidRDefault="00120717" w:rsidP="00A94807">
            <w:pPr>
              <w:jc w:val="right"/>
              <w:rPr>
                <w:rFonts w:cs="Calibri"/>
                <w:color w:val="000000"/>
                <w:sz w:val="15"/>
                <w:szCs w:val="15"/>
              </w:rPr>
            </w:pPr>
            <w:r w:rsidRPr="007A4ECB">
              <w:rPr>
                <w:rFonts w:cs="Calibri"/>
                <w:color w:val="000000"/>
                <w:sz w:val="15"/>
                <w:szCs w:val="15"/>
              </w:rPr>
              <w:t>11.1</w:t>
            </w:r>
          </w:p>
        </w:tc>
        <w:tc>
          <w:tcPr>
            <w:tcW w:w="372" w:type="pct"/>
            <w:noWrap/>
            <w:hideMark/>
          </w:tcPr>
          <w:p w14:paraId="15E1B136" w14:textId="77777777" w:rsidR="00120717" w:rsidRPr="007A4ECB" w:rsidRDefault="00120717" w:rsidP="00A94807">
            <w:pPr>
              <w:jc w:val="right"/>
              <w:rPr>
                <w:rFonts w:cs="Calibri"/>
                <w:color w:val="000000"/>
                <w:sz w:val="15"/>
                <w:szCs w:val="15"/>
              </w:rPr>
            </w:pPr>
            <w:r w:rsidRPr="007A4ECB">
              <w:rPr>
                <w:rFonts w:cs="Calibri"/>
                <w:color w:val="000000"/>
                <w:sz w:val="15"/>
                <w:szCs w:val="15"/>
              </w:rPr>
              <w:t>8.5</w:t>
            </w:r>
          </w:p>
        </w:tc>
        <w:tc>
          <w:tcPr>
            <w:tcW w:w="370" w:type="pct"/>
          </w:tcPr>
          <w:p w14:paraId="0E582E93" w14:textId="77777777" w:rsidR="00120717" w:rsidRPr="007A4ECB" w:rsidRDefault="00120717" w:rsidP="00A94807">
            <w:pPr>
              <w:jc w:val="right"/>
              <w:rPr>
                <w:rFonts w:cs="Calibri"/>
                <w:color w:val="000000"/>
                <w:sz w:val="15"/>
                <w:szCs w:val="15"/>
              </w:rPr>
            </w:pPr>
            <w:r w:rsidRPr="007A4ECB">
              <w:rPr>
                <w:rFonts w:cs="Calibri"/>
                <w:color w:val="000000"/>
                <w:sz w:val="15"/>
                <w:szCs w:val="15"/>
              </w:rPr>
              <w:t>7.7</w:t>
            </w:r>
          </w:p>
        </w:tc>
      </w:tr>
      <w:tr w:rsidR="00120717" w:rsidRPr="007A4ECB" w14:paraId="44104286"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4F3546EA" w14:textId="77777777" w:rsidR="00120717" w:rsidRPr="007A4ECB" w:rsidRDefault="00120717" w:rsidP="00A94807">
            <w:pPr>
              <w:tabs>
                <w:tab w:val="left" w:pos="227"/>
              </w:tabs>
              <w:ind w:left="454"/>
              <w:jc w:val="left"/>
              <w:rPr>
                <w:rFonts w:cs="Calibri"/>
                <w:color w:val="000000"/>
                <w:sz w:val="15"/>
                <w:szCs w:val="15"/>
              </w:rPr>
            </w:pPr>
            <w:r w:rsidRPr="007A4ECB">
              <w:rPr>
                <w:rFonts w:cs="Calibri"/>
                <w:color w:val="000000"/>
                <w:sz w:val="15"/>
                <w:szCs w:val="15"/>
              </w:rPr>
              <w:t>2709 Petroleum oils and oils obtained from bituminous minerals; crude</w:t>
            </w:r>
          </w:p>
        </w:tc>
        <w:tc>
          <w:tcPr>
            <w:tcW w:w="371" w:type="pct"/>
            <w:noWrap/>
            <w:hideMark/>
          </w:tcPr>
          <w:p w14:paraId="49EE70E6" w14:textId="77777777" w:rsidR="00120717" w:rsidRPr="007A4ECB" w:rsidRDefault="00120717" w:rsidP="00A94807">
            <w:pPr>
              <w:jc w:val="right"/>
              <w:rPr>
                <w:rFonts w:cs="Calibri"/>
                <w:color w:val="000000"/>
                <w:sz w:val="15"/>
                <w:szCs w:val="15"/>
              </w:rPr>
            </w:pPr>
            <w:r w:rsidRPr="007A4ECB">
              <w:rPr>
                <w:rFonts w:cs="Calibri"/>
                <w:color w:val="000000"/>
                <w:sz w:val="15"/>
                <w:szCs w:val="15"/>
              </w:rPr>
              <w:t>6.1</w:t>
            </w:r>
          </w:p>
        </w:tc>
        <w:tc>
          <w:tcPr>
            <w:tcW w:w="372" w:type="pct"/>
            <w:noWrap/>
            <w:hideMark/>
          </w:tcPr>
          <w:p w14:paraId="5B6E04FD" w14:textId="77777777" w:rsidR="00120717" w:rsidRPr="007A4ECB" w:rsidRDefault="00120717" w:rsidP="00A94807">
            <w:pPr>
              <w:jc w:val="right"/>
              <w:rPr>
                <w:rFonts w:cs="Calibri"/>
                <w:color w:val="000000"/>
                <w:sz w:val="15"/>
                <w:szCs w:val="15"/>
              </w:rPr>
            </w:pPr>
            <w:r w:rsidRPr="007A4ECB">
              <w:rPr>
                <w:rFonts w:cs="Calibri"/>
                <w:color w:val="000000"/>
                <w:sz w:val="15"/>
                <w:szCs w:val="15"/>
              </w:rPr>
              <w:t>4.9</w:t>
            </w:r>
          </w:p>
        </w:tc>
        <w:tc>
          <w:tcPr>
            <w:tcW w:w="371" w:type="pct"/>
            <w:noWrap/>
            <w:hideMark/>
          </w:tcPr>
          <w:p w14:paraId="26C24B28" w14:textId="77777777" w:rsidR="00120717" w:rsidRPr="007A4ECB" w:rsidRDefault="00120717" w:rsidP="00A94807">
            <w:pPr>
              <w:jc w:val="right"/>
              <w:rPr>
                <w:rFonts w:cs="Calibri"/>
                <w:color w:val="000000"/>
                <w:sz w:val="15"/>
                <w:szCs w:val="15"/>
              </w:rPr>
            </w:pPr>
            <w:r w:rsidRPr="007A4ECB">
              <w:rPr>
                <w:rFonts w:cs="Calibri"/>
                <w:color w:val="000000"/>
                <w:sz w:val="15"/>
                <w:szCs w:val="15"/>
              </w:rPr>
              <w:t>5.5</w:t>
            </w:r>
          </w:p>
        </w:tc>
        <w:tc>
          <w:tcPr>
            <w:tcW w:w="372" w:type="pct"/>
            <w:noWrap/>
            <w:hideMark/>
          </w:tcPr>
          <w:p w14:paraId="06CA10EE" w14:textId="77777777" w:rsidR="00120717" w:rsidRPr="007A4ECB" w:rsidRDefault="00120717" w:rsidP="00A94807">
            <w:pPr>
              <w:jc w:val="right"/>
              <w:rPr>
                <w:rFonts w:cs="Calibri"/>
                <w:color w:val="000000"/>
                <w:sz w:val="15"/>
                <w:szCs w:val="15"/>
              </w:rPr>
            </w:pPr>
            <w:r w:rsidRPr="007A4ECB">
              <w:rPr>
                <w:rFonts w:cs="Calibri"/>
                <w:color w:val="000000"/>
                <w:sz w:val="15"/>
                <w:szCs w:val="15"/>
              </w:rPr>
              <w:t>6.7</w:t>
            </w:r>
          </w:p>
        </w:tc>
        <w:tc>
          <w:tcPr>
            <w:tcW w:w="371" w:type="pct"/>
            <w:noWrap/>
            <w:hideMark/>
          </w:tcPr>
          <w:p w14:paraId="10F8344F" w14:textId="77777777" w:rsidR="00120717" w:rsidRPr="007A4ECB" w:rsidRDefault="00120717" w:rsidP="00A94807">
            <w:pPr>
              <w:jc w:val="right"/>
              <w:rPr>
                <w:rFonts w:cs="Calibri"/>
                <w:color w:val="000000"/>
                <w:sz w:val="15"/>
                <w:szCs w:val="15"/>
              </w:rPr>
            </w:pPr>
            <w:r w:rsidRPr="007A4ECB">
              <w:rPr>
                <w:rFonts w:cs="Calibri"/>
                <w:color w:val="000000"/>
                <w:sz w:val="15"/>
                <w:szCs w:val="15"/>
              </w:rPr>
              <w:t>6.6</w:t>
            </w:r>
          </w:p>
        </w:tc>
        <w:tc>
          <w:tcPr>
            <w:tcW w:w="372" w:type="pct"/>
            <w:noWrap/>
            <w:hideMark/>
          </w:tcPr>
          <w:p w14:paraId="1CFB76DE" w14:textId="77777777" w:rsidR="00120717" w:rsidRPr="007A4ECB" w:rsidRDefault="00120717" w:rsidP="00A94807">
            <w:pPr>
              <w:jc w:val="right"/>
              <w:rPr>
                <w:rFonts w:cs="Calibri"/>
                <w:color w:val="000000"/>
                <w:sz w:val="15"/>
                <w:szCs w:val="15"/>
              </w:rPr>
            </w:pPr>
            <w:r w:rsidRPr="007A4ECB">
              <w:rPr>
                <w:rFonts w:cs="Calibri"/>
                <w:color w:val="000000"/>
                <w:sz w:val="15"/>
                <w:szCs w:val="15"/>
              </w:rPr>
              <w:t>4.2</w:t>
            </w:r>
          </w:p>
        </w:tc>
        <w:tc>
          <w:tcPr>
            <w:tcW w:w="370" w:type="pct"/>
          </w:tcPr>
          <w:p w14:paraId="760BF704" w14:textId="77777777" w:rsidR="00120717" w:rsidRPr="007A4ECB" w:rsidRDefault="00120717" w:rsidP="00A94807">
            <w:pPr>
              <w:jc w:val="right"/>
              <w:rPr>
                <w:rFonts w:cs="Calibri"/>
                <w:color w:val="000000"/>
                <w:sz w:val="15"/>
                <w:szCs w:val="15"/>
              </w:rPr>
            </w:pPr>
            <w:r w:rsidRPr="007A4ECB">
              <w:rPr>
                <w:rFonts w:cs="Calibri"/>
                <w:color w:val="000000"/>
                <w:sz w:val="15"/>
                <w:szCs w:val="15"/>
              </w:rPr>
              <w:t>3.7</w:t>
            </w:r>
          </w:p>
        </w:tc>
      </w:tr>
      <w:tr w:rsidR="00120717" w:rsidRPr="007A4ECB" w14:paraId="58290574" w14:textId="77777777" w:rsidTr="00A94807">
        <w:tc>
          <w:tcPr>
            <w:tcW w:w="2401" w:type="pct"/>
            <w:noWrap/>
            <w:hideMark/>
          </w:tcPr>
          <w:p w14:paraId="3ED4E213" w14:textId="77777777" w:rsidR="00120717" w:rsidRPr="007A4ECB" w:rsidRDefault="00120717" w:rsidP="00A94807">
            <w:pPr>
              <w:tabs>
                <w:tab w:val="left" w:pos="227"/>
              </w:tabs>
              <w:ind w:left="454"/>
              <w:jc w:val="left"/>
              <w:rPr>
                <w:rFonts w:cs="Calibri"/>
                <w:color w:val="000000"/>
                <w:sz w:val="15"/>
                <w:szCs w:val="15"/>
              </w:rPr>
            </w:pPr>
            <w:r w:rsidRPr="007A4ECB">
              <w:rPr>
                <w:rFonts w:cs="Calibri"/>
                <w:color w:val="000000"/>
                <w:sz w:val="15"/>
                <w:szCs w:val="15"/>
              </w:rPr>
              <w:t>2710 Petroleum oils and oils from bituminous minerals, not crude</w:t>
            </w:r>
          </w:p>
        </w:tc>
        <w:tc>
          <w:tcPr>
            <w:tcW w:w="371" w:type="pct"/>
            <w:noWrap/>
            <w:hideMark/>
          </w:tcPr>
          <w:p w14:paraId="07F1D31D" w14:textId="77777777" w:rsidR="00120717" w:rsidRPr="007A4ECB" w:rsidRDefault="00120717" w:rsidP="00A94807">
            <w:pPr>
              <w:jc w:val="right"/>
              <w:rPr>
                <w:rFonts w:cs="Calibri"/>
                <w:color w:val="000000"/>
                <w:sz w:val="15"/>
                <w:szCs w:val="15"/>
              </w:rPr>
            </w:pPr>
            <w:r w:rsidRPr="007A4ECB">
              <w:rPr>
                <w:rFonts w:cs="Calibri"/>
                <w:color w:val="000000"/>
                <w:sz w:val="15"/>
                <w:szCs w:val="15"/>
              </w:rPr>
              <w:t>3.6</w:t>
            </w:r>
          </w:p>
        </w:tc>
        <w:tc>
          <w:tcPr>
            <w:tcW w:w="372" w:type="pct"/>
            <w:noWrap/>
            <w:hideMark/>
          </w:tcPr>
          <w:p w14:paraId="633CBBB3" w14:textId="77777777" w:rsidR="00120717" w:rsidRPr="007A4ECB" w:rsidRDefault="00120717" w:rsidP="00A94807">
            <w:pPr>
              <w:jc w:val="right"/>
              <w:rPr>
                <w:rFonts w:cs="Calibri"/>
                <w:color w:val="000000"/>
                <w:sz w:val="15"/>
                <w:szCs w:val="15"/>
              </w:rPr>
            </w:pPr>
            <w:r w:rsidRPr="007A4ECB">
              <w:rPr>
                <w:rFonts w:cs="Calibri"/>
                <w:color w:val="000000"/>
                <w:sz w:val="15"/>
                <w:szCs w:val="15"/>
              </w:rPr>
              <w:t>3.3</w:t>
            </w:r>
          </w:p>
        </w:tc>
        <w:tc>
          <w:tcPr>
            <w:tcW w:w="371" w:type="pct"/>
            <w:noWrap/>
            <w:hideMark/>
          </w:tcPr>
          <w:p w14:paraId="2BF9BCC3" w14:textId="77777777" w:rsidR="00120717" w:rsidRPr="007A4ECB" w:rsidRDefault="00120717" w:rsidP="00A94807">
            <w:pPr>
              <w:jc w:val="right"/>
              <w:rPr>
                <w:rFonts w:cs="Calibri"/>
                <w:color w:val="000000"/>
                <w:sz w:val="15"/>
                <w:szCs w:val="15"/>
              </w:rPr>
            </w:pPr>
            <w:r w:rsidRPr="007A4ECB">
              <w:rPr>
                <w:rFonts w:cs="Calibri"/>
                <w:color w:val="000000"/>
                <w:sz w:val="15"/>
                <w:szCs w:val="15"/>
              </w:rPr>
              <w:t>3.7</w:t>
            </w:r>
          </w:p>
        </w:tc>
        <w:tc>
          <w:tcPr>
            <w:tcW w:w="372" w:type="pct"/>
            <w:noWrap/>
            <w:hideMark/>
          </w:tcPr>
          <w:p w14:paraId="26CB4C8C" w14:textId="77777777" w:rsidR="00120717" w:rsidRPr="007A4ECB" w:rsidRDefault="00120717" w:rsidP="00A94807">
            <w:pPr>
              <w:jc w:val="right"/>
              <w:rPr>
                <w:rFonts w:cs="Calibri"/>
                <w:color w:val="000000"/>
                <w:sz w:val="15"/>
                <w:szCs w:val="15"/>
              </w:rPr>
            </w:pPr>
            <w:r w:rsidRPr="007A4ECB">
              <w:rPr>
                <w:rFonts w:cs="Calibri"/>
                <w:color w:val="000000"/>
                <w:sz w:val="15"/>
                <w:szCs w:val="15"/>
              </w:rPr>
              <w:t>5.1</w:t>
            </w:r>
          </w:p>
        </w:tc>
        <w:tc>
          <w:tcPr>
            <w:tcW w:w="371" w:type="pct"/>
            <w:noWrap/>
            <w:hideMark/>
          </w:tcPr>
          <w:p w14:paraId="60446A2E" w14:textId="77777777" w:rsidR="00120717" w:rsidRPr="007A4ECB" w:rsidRDefault="00120717" w:rsidP="00A94807">
            <w:pPr>
              <w:jc w:val="right"/>
              <w:rPr>
                <w:rFonts w:cs="Calibri"/>
                <w:color w:val="000000"/>
                <w:sz w:val="15"/>
                <w:szCs w:val="15"/>
              </w:rPr>
            </w:pPr>
            <w:r w:rsidRPr="007A4ECB">
              <w:rPr>
                <w:rFonts w:cs="Calibri"/>
                <w:color w:val="000000"/>
                <w:sz w:val="15"/>
                <w:szCs w:val="15"/>
              </w:rPr>
              <w:t>4.1</w:t>
            </w:r>
          </w:p>
        </w:tc>
        <w:tc>
          <w:tcPr>
            <w:tcW w:w="372" w:type="pct"/>
            <w:noWrap/>
            <w:hideMark/>
          </w:tcPr>
          <w:p w14:paraId="3BAA3FF3" w14:textId="77777777" w:rsidR="00120717" w:rsidRPr="007A4ECB" w:rsidRDefault="00120717" w:rsidP="00A94807">
            <w:pPr>
              <w:jc w:val="right"/>
              <w:rPr>
                <w:rFonts w:cs="Calibri"/>
                <w:color w:val="000000"/>
                <w:sz w:val="15"/>
                <w:szCs w:val="15"/>
              </w:rPr>
            </w:pPr>
            <w:r w:rsidRPr="007A4ECB">
              <w:rPr>
                <w:rFonts w:cs="Calibri"/>
                <w:color w:val="000000"/>
                <w:sz w:val="15"/>
                <w:szCs w:val="15"/>
              </w:rPr>
              <w:t>4.0</w:t>
            </w:r>
          </w:p>
        </w:tc>
        <w:tc>
          <w:tcPr>
            <w:tcW w:w="370" w:type="pct"/>
          </w:tcPr>
          <w:p w14:paraId="0D6433EF" w14:textId="77777777" w:rsidR="00120717" w:rsidRPr="007A4ECB" w:rsidRDefault="00120717" w:rsidP="00A94807">
            <w:pPr>
              <w:jc w:val="right"/>
              <w:rPr>
                <w:rFonts w:cs="Calibri"/>
                <w:color w:val="000000"/>
                <w:sz w:val="15"/>
                <w:szCs w:val="15"/>
              </w:rPr>
            </w:pPr>
            <w:r w:rsidRPr="007A4ECB">
              <w:rPr>
                <w:rFonts w:cs="Calibri"/>
                <w:color w:val="000000"/>
                <w:sz w:val="15"/>
                <w:szCs w:val="15"/>
              </w:rPr>
              <w:t>3.6</w:t>
            </w:r>
          </w:p>
        </w:tc>
      </w:tr>
      <w:tr w:rsidR="00120717" w:rsidRPr="007A4ECB" w14:paraId="46F54431"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38C324BC" w14:textId="77777777" w:rsidR="00120717" w:rsidRPr="007A4ECB" w:rsidRDefault="00120717" w:rsidP="00A94807">
            <w:pPr>
              <w:jc w:val="left"/>
              <w:rPr>
                <w:rFonts w:cs="Calibri"/>
                <w:color w:val="000000"/>
                <w:sz w:val="15"/>
                <w:szCs w:val="15"/>
              </w:rPr>
            </w:pPr>
            <w:r w:rsidRPr="007A4ECB">
              <w:rPr>
                <w:rFonts w:cs="Calibri"/>
                <w:color w:val="000000"/>
                <w:sz w:val="15"/>
                <w:szCs w:val="15"/>
              </w:rPr>
              <w:t>06 Chemicals and products thereof</w:t>
            </w:r>
          </w:p>
        </w:tc>
        <w:tc>
          <w:tcPr>
            <w:tcW w:w="371" w:type="pct"/>
            <w:noWrap/>
            <w:hideMark/>
          </w:tcPr>
          <w:p w14:paraId="316501DC" w14:textId="77777777" w:rsidR="00120717" w:rsidRPr="007A4ECB" w:rsidRDefault="00120717" w:rsidP="00A94807">
            <w:pPr>
              <w:jc w:val="right"/>
              <w:rPr>
                <w:rFonts w:cs="Calibri"/>
                <w:color w:val="000000"/>
                <w:sz w:val="15"/>
                <w:szCs w:val="15"/>
              </w:rPr>
            </w:pPr>
            <w:r w:rsidRPr="007A4ECB">
              <w:rPr>
                <w:rFonts w:cs="Calibri"/>
                <w:color w:val="000000"/>
                <w:sz w:val="15"/>
                <w:szCs w:val="15"/>
              </w:rPr>
              <w:t>9.2</w:t>
            </w:r>
          </w:p>
        </w:tc>
        <w:tc>
          <w:tcPr>
            <w:tcW w:w="372" w:type="pct"/>
            <w:noWrap/>
            <w:hideMark/>
          </w:tcPr>
          <w:p w14:paraId="0B052C4B" w14:textId="77777777" w:rsidR="00120717" w:rsidRPr="007A4ECB" w:rsidRDefault="00120717" w:rsidP="00A94807">
            <w:pPr>
              <w:jc w:val="right"/>
              <w:rPr>
                <w:rFonts w:cs="Calibri"/>
                <w:color w:val="000000"/>
                <w:sz w:val="15"/>
                <w:szCs w:val="15"/>
              </w:rPr>
            </w:pPr>
            <w:r w:rsidRPr="007A4ECB">
              <w:rPr>
                <w:rFonts w:cs="Calibri"/>
                <w:color w:val="000000"/>
                <w:sz w:val="15"/>
                <w:szCs w:val="15"/>
              </w:rPr>
              <w:t>9.0</w:t>
            </w:r>
          </w:p>
        </w:tc>
        <w:tc>
          <w:tcPr>
            <w:tcW w:w="371" w:type="pct"/>
            <w:noWrap/>
            <w:hideMark/>
          </w:tcPr>
          <w:p w14:paraId="6080E4C7" w14:textId="77777777" w:rsidR="00120717" w:rsidRPr="007A4ECB" w:rsidRDefault="00120717" w:rsidP="00A94807">
            <w:pPr>
              <w:jc w:val="right"/>
              <w:rPr>
                <w:rFonts w:cs="Calibri"/>
                <w:color w:val="000000"/>
                <w:sz w:val="15"/>
                <w:szCs w:val="15"/>
              </w:rPr>
            </w:pPr>
            <w:r w:rsidRPr="007A4ECB">
              <w:rPr>
                <w:rFonts w:cs="Calibri"/>
                <w:color w:val="000000"/>
                <w:sz w:val="15"/>
                <w:szCs w:val="15"/>
              </w:rPr>
              <w:t>8.8</w:t>
            </w:r>
          </w:p>
        </w:tc>
        <w:tc>
          <w:tcPr>
            <w:tcW w:w="372" w:type="pct"/>
            <w:noWrap/>
            <w:hideMark/>
          </w:tcPr>
          <w:p w14:paraId="4BD59496" w14:textId="77777777" w:rsidR="00120717" w:rsidRPr="007A4ECB" w:rsidRDefault="00120717" w:rsidP="00A94807">
            <w:pPr>
              <w:jc w:val="right"/>
              <w:rPr>
                <w:rFonts w:cs="Calibri"/>
                <w:color w:val="000000"/>
                <w:sz w:val="15"/>
                <w:szCs w:val="15"/>
              </w:rPr>
            </w:pPr>
            <w:r w:rsidRPr="007A4ECB">
              <w:rPr>
                <w:rFonts w:cs="Calibri"/>
                <w:color w:val="000000"/>
                <w:sz w:val="15"/>
                <w:szCs w:val="15"/>
              </w:rPr>
              <w:t>9.1</w:t>
            </w:r>
          </w:p>
        </w:tc>
        <w:tc>
          <w:tcPr>
            <w:tcW w:w="371" w:type="pct"/>
            <w:noWrap/>
            <w:hideMark/>
          </w:tcPr>
          <w:p w14:paraId="5BB226B7" w14:textId="77777777" w:rsidR="00120717" w:rsidRPr="007A4ECB" w:rsidRDefault="00120717" w:rsidP="00A94807">
            <w:pPr>
              <w:jc w:val="right"/>
              <w:rPr>
                <w:rFonts w:cs="Calibri"/>
                <w:color w:val="000000"/>
                <w:sz w:val="15"/>
                <w:szCs w:val="15"/>
              </w:rPr>
            </w:pPr>
            <w:r w:rsidRPr="007A4ECB">
              <w:rPr>
                <w:rFonts w:cs="Calibri"/>
                <w:color w:val="000000"/>
                <w:sz w:val="15"/>
                <w:szCs w:val="15"/>
              </w:rPr>
              <w:t>8.9</w:t>
            </w:r>
          </w:p>
        </w:tc>
        <w:tc>
          <w:tcPr>
            <w:tcW w:w="372" w:type="pct"/>
            <w:noWrap/>
            <w:hideMark/>
          </w:tcPr>
          <w:p w14:paraId="5C842DB8" w14:textId="77777777" w:rsidR="00120717" w:rsidRPr="007A4ECB" w:rsidRDefault="00120717" w:rsidP="00A94807">
            <w:pPr>
              <w:jc w:val="right"/>
              <w:rPr>
                <w:rFonts w:cs="Calibri"/>
                <w:color w:val="000000"/>
                <w:sz w:val="15"/>
                <w:szCs w:val="15"/>
              </w:rPr>
            </w:pPr>
            <w:r w:rsidRPr="007A4ECB">
              <w:rPr>
                <w:rFonts w:cs="Calibri"/>
                <w:color w:val="000000"/>
                <w:sz w:val="15"/>
                <w:szCs w:val="15"/>
              </w:rPr>
              <w:t>10.0</w:t>
            </w:r>
          </w:p>
        </w:tc>
        <w:tc>
          <w:tcPr>
            <w:tcW w:w="370" w:type="pct"/>
          </w:tcPr>
          <w:p w14:paraId="55DAD39E" w14:textId="77777777" w:rsidR="00120717" w:rsidRPr="007A4ECB" w:rsidRDefault="00120717" w:rsidP="00A94807">
            <w:pPr>
              <w:jc w:val="right"/>
              <w:rPr>
                <w:rFonts w:cs="Calibri"/>
                <w:color w:val="000000"/>
                <w:sz w:val="15"/>
                <w:szCs w:val="15"/>
              </w:rPr>
            </w:pPr>
            <w:r w:rsidRPr="007A4ECB">
              <w:rPr>
                <w:rFonts w:cs="Calibri"/>
                <w:color w:val="000000"/>
                <w:sz w:val="15"/>
                <w:szCs w:val="15"/>
              </w:rPr>
              <w:t>9.8</w:t>
            </w:r>
          </w:p>
        </w:tc>
      </w:tr>
      <w:tr w:rsidR="00120717" w:rsidRPr="007A4ECB" w14:paraId="79A06AA9" w14:textId="77777777" w:rsidTr="00A94807">
        <w:tc>
          <w:tcPr>
            <w:tcW w:w="2401" w:type="pct"/>
            <w:noWrap/>
            <w:hideMark/>
          </w:tcPr>
          <w:p w14:paraId="4A45E5F0" w14:textId="77777777" w:rsidR="00120717" w:rsidRPr="007A4ECB" w:rsidRDefault="00120717" w:rsidP="00A94807">
            <w:pPr>
              <w:ind w:left="227"/>
              <w:jc w:val="left"/>
              <w:rPr>
                <w:rFonts w:cs="Calibri"/>
                <w:color w:val="000000"/>
                <w:sz w:val="15"/>
                <w:szCs w:val="15"/>
              </w:rPr>
            </w:pPr>
            <w:r w:rsidRPr="007A4ECB">
              <w:rPr>
                <w:rFonts w:cs="Calibri"/>
                <w:color w:val="000000"/>
                <w:sz w:val="15"/>
                <w:szCs w:val="15"/>
              </w:rPr>
              <w:t>30 Pharmaceutical products</w:t>
            </w:r>
          </w:p>
        </w:tc>
        <w:tc>
          <w:tcPr>
            <w:tcW w:w="371" w:type="pct"/>
            <w:noWrap/>
            <w:hideMark/>
          </w:tcPr>
          <w:p w14:paraId="769315BB" w14:textId="77777777" w:rsidR="00120717" w:rsidRPr="007A4ECB" w:rsidRDefault="00120717" w:rsidP="00A94807">
            <w:pPr>
              <w:jc w:val="right"/>
              <w:rPr>
                <w:rFonts w:cs="Calibri"/>
                <w:color w:val="000000"/>
                <w:sz w:val="15"/>
                <w:szCs w:val="15"/>
              </w:rPr>
            </w:pPr>
            <w:r w:rsidRPr="007A4ECB">
              <w:rPr>
                <w:rFonts w:cs="Calibri"/>
                <w:color w:val="000000"/>
                <w:sz w:val="15"/>
                <w:szCs w:val="15"/>
              </w:rPr>
              <w:t>2.4</w:t>
            </w:r>
          </w:p>
        </w:tc>
        <w:tc>
          <w:tcPr>
            <w:tcW w:w="372" w:type="pct"/>
            <w:noWrap/>
            <w:hideMark/>
          </w:tcPr>
          <w:p w14:paraId="03B59635" w14:textId="77777777" w:rsidR="00120717" w:rsidRPr="007A4ECB" w:rsidRDefault="00120717" w:rsidP="00A94807">
            <w:pPr>
              <w:jc w:val="right"/>
              <w:rPr>
                <w:rFonts w:cs="Calibri"/>
                <w:color w:val="000000"/>
                <w:sz w:val="15"/>
                <w:szCs w:val="15"/>
              </w:rPr>
            </w:pPr>
            <w:r w:rsidRPr="007A4ECB">
              <w:rPr>
                <w:rFonts w:cs="Calibri"/>
                <w:color w:val="000000"/>
                <w:sz w:val="15"/>
                <w:szCs w:val="15"/>
              </w:rPr>
              <w:t>2.6</w:t>
            </w:r>
          </w:p>
        </w:tc>
        <w:tc>
          <w:tcPr>
            <w:tcW w:w="371" w:type="pct"/>
            <w:noWrap/>
            <w:hideMark/>
          </w:tcPr>
          <w:p w14:paraId="685018B0" w14:textId="77777777" w:rsidR="00120717" w:rsidRPr="007A4ECB" w:rsidRDefault="00120717" w:rsidP="00A94807">
            <w:pPr>
              <w:jc w:val="right"/>
              <w:rPr>
                <w:rFonts w:cs="Calibri"/>
                <w:color w:val="000000"/>
                <w:sz w:val="15"/>
                <w:szCs w:val="15"/>
              </w:rPr>
            </w:pPr>
            <w:r w:rsidRPr="007A4ECB">
              <w:rPr>
                <w:rFonts w:cs="Calibri"/>
                <w:color w:val="000000"/>
                <w:sz w:val="15"/>
                <w:szCs w:val="15"/>
              </w:rPr>
              <w:t>2.4</w:t>
            </w:r>
          </w:p>
        </w:tc>
        <w:tc>
          <w:tcPr>
            <w:tcW w:w="372" w:type="pct"/>
            <w:noWrap/>
            <w:hideMark/>
          </w:tcPr>
          <w:p w14:paraId="63D002EF" w14:textId="77777777" w:rsidR="00120717" w:rsidRPr="007A4ECB" w:rsidRDefault="00120717" w:rsidP="00A94807">
            <w:pPr>
              <w:jc w:val="right"/>
              <w:rPr>
                <w:rFonts w:cs="Calibri"/>
                <w:color w:val="000000"/>
                <w:sz w:val="15"/>
                <w:szCs w:val="15"/>
              </w:rPr>
            </w:pPr>
            <w:r w:rsidRPr="007A4ECB">
              <w:rPr>
                <w:rFonts w:cs="Calibri"/>
                <w:color w:val="000000"/>
                <w:sz w:val="15"/>
                <w:szCs w:val="15"/>
              </w:rPr>
              <w:t>2.3</w:t>
            </w:r>
          </w:p>
        </w:tc>
        <w:tc>
          <w:tcPr>
            <w:tcW w:w="371" w:type="pct"/>
            <w:noWrap/>
            <w:hideMark/>
          </w:tcPr>
          <w:p w14:paraId="3E0D735A" w14:textId="77777777" w:rsidR="00120717" w:rsidRPr="007A4ECB" w:rsidRDefault="00120717" w:rsidP="00A94807">
            <w:pPr>
              <w:jc w:val="right"/>
              <w:rPr>
                <w:rFonts w:cs="Calibri"/>
                <w:color w:val="000000"/>
                <w:sz w:val="15"/>
                <w:szCs w:val="15"/>
              </w:rPr>
            </w:pPr>
            <w:r w:rsidRPr="007A4ECB">
              <w:rPr>
                <w:rFonts w:cs="Calibri"/>
                <w:color w:val="000000"/>
                <w:sz w:val="15"/>
                <w:szCs w:val="15"/>
              </w:rPr>
              <w:t>2.3</w:t>
            </w:r>
          </w:p>
        </w:tc>
        <w:tc>
          <w:tcPr>
            <w:tcW w:w="372" w:type="pct"/>
            <w:noWrap/>
            <w:hideMark/>
          </w:tcPr>
          <w:p w14:paraId="250F0615" w14:textId="77777777" w:rsidR="00120717" w:rsidRPr="007A4ECB" w:rsidRDefault="00120717" w:rsidP="00A94807">
            <w:pPr>
              <w:jc w:val="right"/>
              <w:rPr>
                <w:rFonts w:cs="Calibri"/>
                <w:color w:val="000000"/>
                <w:sz w:val="15"/>
                <w:szCs w:val="15"/>
              </w:rPr>
            </w:pPr>
            <w:r w:rsidRPr="007A4ECB">
              <w:rPr>
                <w:rFonts w:cs="Calibri"/>
                <w:color w:val="000000"/>
                <w:sz w:val="15"/>
                <w:szCs w:val="15"/>
              </w:rPr>
              <w:t>2.7</w:t>
            </w:r>
          </w:p>
        </w:tc>
        <w:tc>
          <w:tcPr>
            <w:tcW w:w="370" w:type="pct"/>
          </w:tcPr>
          <w:p w14:paraId="4C692AEC" w14:textId="77777777" w:rsidR="00120717" w:rsidRPr="007A4ECB" w:rsidRDefault="00120717" w:rsidP="00A94807">
            <w:pPr>
              <w:jc w:val="right"/>
              <w:rPr>
                <w:rFonts w:cs="Calibri"/>
                <w:color w:val="000000"/>
                <w:sz w:val="15"/>
                <w:szCs w:val="15"/>
              </w:rPr>
            </w:pPr>
            <w:r w:rsidRPr="007A4ECB">
              <w:rPr>
                <w:rFonts w:cs="Calibri"/>
                <w:color w:val="000000"/>
                <w:sz w:val="15"/>
                <w:szCs w:val="15"/>
              </w:rPr>
              <w:t>2.9</w:t>
            </w:r>
          </w:p>
        </w:tc>
      </w:tr>
      <w:tr w:rsidR="00120717" w:rsidRPr="007A4ECB" w14:paraId="6926EFEA"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1A28C7D0" w14:textId="77777777" w:rsidR="00120717" w:rsidRPr="007A4ECB" w:rsidRDefault="00120717" w:rsidP="00A94807">
            <w:pPr>
              <w:jc w:val="left"/>
              <w:rPr>
                <w:rFonts w:cs="Calibri"/>
                <w:color w:val="000000"/>
                <w:sz w:val="15"/>
                <w:szCs w:val="15"/>
              </w:rPr>
            </w:pPr>
            <w:r w:rsidRPr="007A4ECB">
              <w:rPr>
                <w:rFonts w:cs="Calibri"/>
                <w:color w:val="000000"/>
                <w:sz w:val="15"/>
                <w:szCs w:val="15"/>
              </w:rPr>
              <w:t>07 Plastics and rubber</w:t>
            </w:r>
          </w:p>
        </w:tc>
        <w:tc>
          <w:tcPr>
            <w:tcW w:w="371" w:type="pct"/>
            <w:noWrap/>
            <w:hideMark/>
          </w:tcPr>
          <w:p w14:paraId="29863820" w14:textId="77777777" w:rsidR="00120717" w:rsidRPr="007A4ECB" w:rsidRDefault="00120717" w:rsidP="00A94807">
            <w:pPr>
              <w:jc w:val="right"/>
              <w:rPr>
                <w:rFonts w:cs="Calibri"/>
                <w:color w:val="000000"/>
                <w:sz w:val="15"/>
                <w:szCs w:val="15"/>
              </w:rPr>
            </w:pPr>
            <w:r w:rsidRPr="007A4ECB">
              <w:rPr>
                <w:rFonts w:cs="Calibri"/>
                <w:color w:val="000000"/>
                <w:sz w:val="15"/>
                <w:szCs w:val="15"/>
              </w:rPr>
              <w:t>5.1</w:t>
            </w:r>
          </w:p>
        </w:tc>
        <w:tc>
          <w:tcPr>
            <w:tcW w:w="372" w:type="pct"/>
            <w:noWrap/>
            <w:hideMark/>
          </w:tcPr>
          <w:p w14:paraId="1D23FAFE" w14:textId="77777777" w:rsidR="00120717" w:rsidRPr="007A4ECB" w:rsidRDefault="00120717" w:rsidP="00A94807">
            <w:pPr>
              <w:jc w:val="right"/>
              <w:rPr>
                <w:rFonts w:cs="Calibri"/>
                <w:color w:val="000000"/>
                <w:sz w:val="15"/>
                <w:szCs w:val="15"/>
              </w:rPr>
            </w:pPr>
            <w:r w:rsidRPr="007A4ECB">
              <w:rPr>
                <w:rFonts w:cs="Calibri"/>
                <w:color w:val="000000"/>
                <w:sz w:val="15"/>
                <w:szCs w:val="15"/>
              </w:rPr>
              <w:t>5.0</w:t>
            </w:r>
          </w:p>
        </w:tc>
        <w:tc>
          <w:tcPr>
            <w:tcW w:w="371" w:type="pct"/>
            <w:noWrap/>
            <w:hideMark/>
          </w:tcPr>
          <w:p w14:paraId="0860B42C" w14:textId="77777777" w:rsidR="00120717" w:rsidRPr="007A4ECB" w:rsidRDefault="00120717" w:rsidP="00A94807">
            <w:pPr>
              <w:jc w:val="right"/>
              <w:rPr>
                <w:rFonts w:cs="Calibri"/>
                <w:color w:val="000000"/>
                <w:sz w:val="15"/>
                <w:szCs w:val="15"/>
              </w:rPr>
            </w:pPr>
            <w:r w:rsidRPr="007A4ECB">
              <w:rPr>
                <w:rFonts w:cs="Calibri"/>
                <w:color w:val="000000"/>
                <w:sz w:val="15"/>
                <w:szCs w:val="15"/>
              </w:rPr>
              <w:t>5.0</w:t>
            </w:r>
          </w:p>
        </w:tc>
        <w:tc>
          <w:tcPr>
            <w:tcW w:w="372" w:type="pct"/>
            <w:noWrap/>
            <w:hideMark/>
          </w:tcPr>
          <w:p w14:paraId="00ECC3EB" w14:textId="77777777" w:rsidR="00120717" w:rsidRPr="007A4ECB" w:rsidRDefault="00120717" w:rsidP="00A94807">
            <w:pPr>
              <w:jc w:val="right"/>
              <w:rPr>
                <w:rFonts w:cs="Calibri"/>
                <w:color w:val="000000"/>
                <w:sz w:val="15"/>
                <w:szCs w:val="15"/>
              </w:rPr>
            </w:pPr>
            <w:r w:rsidRPr="007A4ECB">
              <w:rPr>
                <w:rFonts w:cs="Calibri"/>
                <w:color w:val="000000"/>
                <w:sz w:val="15"/>
                <w:szCs w:val="15"/>
              </w:rPr>
              <w:t>4.8</w:t>
            </w:r>
          </w:p>
        </w:tc>
        <w:tc>
          <w:tcPr>
            <w:tcW w:w="371" w:type="pct"/>
            <w:noWrap/>
            <w:hideMark/>
          </w:tcPr>
          <w:p w14:paraId="1624D03C" w14:textId="77777777" w:rsidR="00120717" w:rsidRPr="007A4ECB" w:rsidRDefault="00120717" w:rsidP="00A94807">
            <w:pPr>
              <w:jc w:val="right"/>
              <w:rPr>
                <w:rFonts w:cs="Calibri"/>
                <w:color w:val="000000"/>
                <w:sz w:val="15"/>
                <w:szCs w:val="15"/>
              </w:rPr>
            </w:pPr>
            <w:r w:rsidRPr="007A4ECB">
              <w:rPr>
                <w:rFonts w:cs="Calibri"/>
                <w:color w:val="000000"/>
                <w:sz w:val="15"/>
                <w:szCs w:val="15"/>
              </w:rPr>
              <w:t>4.7</w:t>
            </w:r>
          </w:p>
        </w:tc>
        <w:tc>
          <w:tcPr>
            <w:tcW w:w="372" w:type="pct"/>
            <w:noWrap/>
            <w:hideMark/>
          </w:tcPr>
          <w:p w14:paraId="1D555AAD" w14:textId="77777777" w:rsidR="00120717" w:rsidRPr="007A4ECB" w:rsidRDefault="00120717" w:rsidP="00A94807">
            <w:pPr>
              <w:jc w:val="right"/>
              <w:rPr>
                <w:rFonts w:cs="Calibri"/>
                <w:color w:val="000000"/>
                <w:sz w:val="15"/>
                <w:szCs w:val="15"/>
              </w:rPr>
            </w:pPr>
            <w:r w:rsidRPr="007A4ECB">
              <w:rPr>
                <w:rFonts w:cs="Calibri"/>
                <w:color w:val="000000"/>
                <w:sz w:val="15"/>
                <w:szCs w:val="15"/>
              </w:rPr>
              <w:t>5.1</w:t>
            </w:r>
          </w:p>
        </w:tc>
        <w:tc>
          <w:tcPr>
            <w:tcW w:w="370" w:type="pct"/>
          </w:tcPr>
          <w:p w14:paraId="6E846BC2" w14:textId="77777777" w:rsidR="00120717" w:rsidRPr="007A4ECB" w:rsidRDefault="00120717" w:rsidP="00A94807">
            <w:pPr>
              <w:jc w:val="right"/>
              <w:rPr>
                <w:rFonts w:cs="Calibri"/>
                <w:color w:val="000000"/>
                <w:sz w:val="15"/>
                <w:szCs w:val="15"/>
              </w:rPr>
            </w:pPr>
            <w:r w:rsidRPr="007A4ECB">
              <w:rPr>
                <w:rFonts w:cs="Calibri"/>
                <w:color w:val="000000"/>
                <w:sz w:val="15"/>
                <w:szCs w:val="15"/>
              </w:rPr>
              <w:t>5.4</w:t>
            </w:r>
          </w:p>
        </w:tc>
      </w:tr>
      <w:tr w:rsidR="00120717" w:rsidRPr="007A4ECB" w14:paraId="0A1CD45E" w14:textId="77777777" w:rsidTr="00A94807">
        <w:tc>
          <w:tcPr>
            <w:tcW w:w="2401" w:type="pct"/>
            <w:noWrap/>
            <w:hideMark/>
          </w:tcPr>
          <w:p w14:paraId="15CEE4F6" w14:textId="77777777" w:rsidR="00120717" w:rsidRPr="007A4ECB" w:rsidRDefault="00120717" w:rsidP="00A94807">
            <w:pPr>
              <w:ind w:left="227"/>
              <w:jc w:val="left"/>
              <w:rPr>
                <w:rFonts w:cs="Calibri"/>
                <w:color w:val="000000"/>
                <w:sz w:val="15"/>
                <w:szCs w:val="15"/>
              </w:rPr>
            </w:pPr>
            <w:r w:rsidRPr="007A4ECB">
              <w:rPr>
                <w:rFonts w:cs="Calibri"/>
                <w:color w:val="000000"/>
                <w:sz w:val="15"/>
                <w:szCs w:val="15"/>
              </w:rPr>
              <w:t>39 Plastics and articles thereof</w:t>
            </w:r>
          </w:p>
        </w:tc>
        <w:tc>
          <w:tcPr>
            <w:tcW w:w="371" w:type="pct"/>
            <w:noWrap/>
            <w:hideMark/>
          </w:tcPr>
          <w:p w14:paraId="3D327BFF" w14:textId="77777777" w:rsidR="00120717" w:rsidRPr="007A4ECB" w:rsidRDefault="00120717" w:rsidP="00A94807">
            <w:pPr>
              <w:jc w:val="right"/>
              <w:rPr>
                <w:rFonts w:cs="Calibri"/>
                <w:color w:val="000000"/>
                <w:sz w:val="15"/>
                <w:szCs w:val="15"/>
              </w:rPr>
            </w:pPr>
            <w:r w:rsidRPr="007A4ECB">
              <w:rPr>
                <w:rFonts w:cs="Calibri"/>
                <w:color w:val="000000"/>
                <w:sz w:val="15"/>
                <w:szCs w:val="15"/>
              </w:rPr>
              <w:t>3.9</w:t>
            </w:r>
          </w:p>
        </w:tc>
        <w:tc>
          <w:tcPr>
            <w:tcW w:w="372" w:type="pct"/>
            <w:noWrap/>
            <w:hideMark/>
          </w:tcPr>
          <w:p w14:paraId="54CBBC2E" w14:textId="77777777" w:rsidR="00120717" w:rsidRPr="007A4ECB" w:rsidRDefault="00120717" w:rsidP="00A94807">
            <w:pPr>
              <w:jc w:val="right"/>
              <w:rPr>
                <w:rFonts w:cs="Calibri"/>
                <w:color w:val="000000"/>
                <w:sz w:val="15"/>
                <w:szCs w:val="15"/>
              </w:rPr>
            </w:pPr>
            <w:r w:rsidRPr="007A4ECB">
              <w:rPr>
                <w:rFonts w:cs="Calibri"/>
                <w:color w:val="000000"/>
                <w:sz w:val="15"/>
                <w:szCs w:val="15"/>
              </w:rPr>
              <w:t>3.8</w:t>
            </w:r>
          </w:p>
        </w:tc>
        <w:tc>
          <w:tcPr>
            <w:tcW w:w="371" w:type="pct"/>
            <w:noWrap/>
            <w:hideMark/>
          </w:tcPr>
          <w:p w14:paraId="26FF02AF" w14:textId="77777777" w:rsidR="00120717" w:rsidRPr="007A4ECB" w:rsidRDefault="00120717" w:rsidP="00A94807">
            <w:pPr>
              <w:jc w:val="right"/>
              <w:rPr>
                <w:rFonts w:cs="Calibri"/>
                <w:color w:val="000000"/>
                <w:sz w:val="15"/>
                <w:szCs w:val="15"/>
              </w:rPr>
            </w:pPr>
            <w:r w:rsidRPr="007A4ECB">
              <w:rPr>
                <w:rFonts w:cs="Calibri"/>
                <w:color w:val="000000"/>
                <w:sz w:val="15"/>
                <w:szCs w:val="15"/>
              </w:rPr>
              <w:t>3.8</w:t>
            </w:r>
          </w:p>
        </w:tc>
        <w:tc>
          <w:tcPr>
            <w:tcW w:w="372" w:type="pct"/>
            <w:noWrap/>
            <w:hideMark/>
          </w:tcPr>
          <w:p w14:paraId="2016C27A" w14:textId="77777777" w:rsidR="00120717" w:rsidRPr="007A4ECB" w:rsidRDefault="00120717" w:rsidP="00A94807">
            <w:pPr>
              <w:jc w:val="right"/>
              <w:rPr>
                <w:rFonts w:cs="Calibri"/>
                <w:color w:val="000000"/>
                <w:sz w:val="15"/>
                <w:szCs w:val="15"/>
              </w:rPr>
            </w:pPr>
            <w:r w:rsidRPr="007A4ECB">
              <w:rPr>
                <w:rFonts w:cs="Calibri"/>
                <w:color w:val="000000"/>
                <w:sz w:val="15"/>
                <w:szCs w:val="15"/>
              </w:rPr>
              <w:t>3.7</w:t>
            </w:r>
          </w:p>
        </w:tc>
        <w:tc>
          <w:tcPr>
            <w:tcW w:w="371" w:type="pct"/>
            <w:noWrap/>
            <w:hideMark/>
          </w:tcPr>
          <w:p w14:paraId="242F8010" w14:textId="77777777" w:rsidR="00120717" w:rsidRPr="007A4ECB" w:rsidRDefault="00120717" w:rsidP="00A94807">
            <w:pPr>
              <w:jc w:val="right"/>
              <w:rPr>
                <w:rFonts w:cs="Calibri"/>
                <w:color w:val="000000"/>
                <w:sz w:val="15"/>
                <w:szCs w:val="15"/>
              </w:rPr>
            </w:pPr>
            <w:r w:rsidRPr="007A4ECB">
              <w:rPr>
                <w:rFonts w:cs="Calibri"/>
                <w:color w:val="000000"/>
                <w:sz w:val="15"/>
                <w:szCs w:val="15"/>
              </w:rPr>
              <w:t>3.6</w:t>
            </w:r>
          </w:p>
        </w:tc>
        <w:tc>
          <w:tcPr>
            <w:tcW w:w="372" w:type="pct"/>
            <w:noWrap/>
            <w:hideMark/>
          </w:tcPr>
          <w:p w14:paraId="4D50B310" w14:textId="77777777" w:rsidR="00120717" w:rsidRPr="007A4ECB" w:rsidRDefault="00120717" w:rsidP="00A94807">
            <w:pPr>
              <w:jc w:val="right"/>
              <w:rPr>
                <w:rFonts w:cs="Calibri"/>
                <w:color w:val="000000"/>
                <w:sz w:val="15"/>
                <w:szCs w:val="15"/>
              </w:rPr>
            </w:pPr>
            <w:r w:rsidRPr="007A4ECB">
              <w:rPr>
                <w:rFonts w:cs="Calibri"/>
                <w:color w:val="000000"/>
                <w:sz w:val="15"/>
                <w:szCs w:val="15"/>
              </w:rPr>
              <w:t>3.9</w:t>
            </w:r>
          </w:p>
        </w:tc>
        <w:tc>
          <w:tcPr>
            <w:tcW w:w="370" w:type="pct"/>
          </w:tcPr>
          <w:p w14:paraId="2BF25111" w14:textId="77777777" w:rsidR="00120717" w:rsidRPr="007A4ECB" w:rsidRDefault="00120717" w:rsidP="00A94807">
            <w:pPr>
              <w:jc w:val="right"/>
              <w:rPr>
                <w:rFonts w:cs="Calibri"/>
                <w:color w:val="000000"/>
                <w:sz w:val="15"/>
                <w:szCs w:val="15"/>
              </w:rPr>
            </w:pPr>
            <w:r w:rsidRPr="007A4ECB">
              <w:rPr>
                <w:rFonts w:cs="Calibri"/>
                <w:color w:val="000000"/>
                <w:sz w:val="15"/>
                <w:szCs w:val="15"/>
              </w:rPr>
              <w:t>4.1</w:t>
            </w:r>
          </w:p>
        </w:tc>
      </w:tr>
      <w:tr w:rsidR="00120717" w:rsidRPr="007A4ECB" w14:paraId="67628813"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0F0BCFCD" w14:textId="77777777" w:rsidR="00120717" w:rsidRPr="007A4ECB" w:rsidRDefault="00120717" w:rsidP="00A94807">
            <w:pPr>
              <w:jc w:val="left"/>
              <w:rPr>
                <w:rFonts w:cs="Calibri"/>
                <w:color w:val="000000"/>
                <w:sz w:val="15"/>
                <w:szCs w:val="15"/>
              </w:rPr>
            </w:pPr>
            <w:r w:rsidRPr="007A4ECB">
              <w:rPr>
                <w:rFonts w:cs="Calibri"/>
                <w:color w:val="000000"/>
                <w:sz w:val="15"/>
                <w:szCs w:val="15"/>
              </w:rPr>
              <w:t xml:space="preserve">08 Raw hides and skins; leather, </w:t>
            </w:r>
            <w:proofErr w:type="spellStart"/>
            <w:r w:rsidRPr="007A4ECB">
              <w:rPr>
                <w:rFonts w:cs="Calibri"/>
                <w:color w:val="000000"/>
                <w:sz w:val="15"/>
                <w:szCs w:val="15"/>
              </w:rPr>
              <w:t>furskins</w:t>
            </w:r>
            <w:proofErr w:type="spellEnd"/>
            <w:r w:rsidRPr="007A4ECB">
              <w:rPr>
                <w:rFonts w:cs="Calibri"/>
                <w:color w:val="000000"/>
                <w:sz w:val="15"/>
                <w:szCs w:val="15"/>
              </w:rPr>
              <w:t xml:space="preserve"> and articles thereof</w:t>
            </w:r>
          </w:p>
        </w:tc>
        <w:tc>
          <w:tcPr>
            <w:tcW w:w="371" w:type="pct"/>
            <w:noWrap/>
            <w:hideMark/>
          </w:tcPr>
          <w:p w14:paraId="532FA10C" w14:textId="77777777" w:rsidR="00120717" w:rsidRPr="007A4ECB" w:rsidRDefault="00120717" w:rsidP="00A94807">
            <w:pPr>
              <w:jc w:val="right"/>
              <w:rPr>
                <w:rFonts w:cs="Calibri"/>
                <w:color w:val="000000"/>
                <w:sz w:val="15"/>
                <w:szCs w:val="15"/>
              </w:rPr>
            </w:pPr>
            <w:r w:rsidRPr="007A4ECB">
              <w:rPr>
                <w:rFonts w:cs="Calibri"/>
                <w:color w:val="000000"/>
                <w:sz w:val="15"/>
                <w:szCs w:val="15"/>
              </w:rPr>
              <w:t>0.5</w:t>
            </w:r>
          </w:p>
        </w:tc>
        <w:tc>
          <w:tcPr>
            <w:tcW w:w="372" w:type="pct"/>
            <w:noWrap/>
            <w:hideMark/>
          </w:tcPr>
          <w:p w14:paraId="65421E53" w14:textId="77777777" w:rsidR="00120717" w:rsidRPr="007A4ECB" w:rsidRDefault="00120717" w:rsidP="00A94807">
            <w:pPr>
              <w:jc w:val="right"/>
              <w:rPr>
                <w:rFonts w:cs="Calibri"/>
                <w:color w:val="000000"/>
                <w:sz w:val="15"/>
                <w:szCs w:val="15"/>
              </w:rPr>
            </w:pPr>
            <w:r w:rsidRPr="007A4ECB">
              <w:rPr>
                <w:rFonts w:cs="Calibri"/>
                <w:color w:val="000000"/>
                <w:sz w:val="15"/>
                <w:szCs w:val="15"/>
              </w:rPr>
              <w:t>0.5</w:t>
            </w:r>
          </w:p>
        </w:tc>
        <w:tc>
          <w:tcPr>
            <w:tcW w:w="371" w:type="pct"/>
            <w:noWrap/>
            <w:hideMark/>
          </w:tcPr>
          <w:p w14:paraId="3492559B" w14:textId="77777777" w:rsidR="00120717" w:rsidRPr="007A4ECB" w:rsidRDefault="00120717" w:rsidP="00A94807">
            <w:pPr>
              <w:jc w:val="right"/>
              <w:rPr>
                <w:rFonts w:cs="Calibri"/>
                <w:color w:val="000000"/>
                <w:sz w:val="15"/>
                <w:szCs w:val="15"/>
              </w:rPr>
            </w:pPr>
            <w:r w:rsidRPr="007A4ECB">
              <w:rPr>
                <w:rFonts w:cs="Calibri"/>
                <w:color w:val="000000"/>
                <w:sz w:val="15"/>
                <w:szCs w:val="15"/>
              </w:rPr>
              <w:t>0.5</w:t>
            </w:r>
          </w:p>
        </w:tc>
        <w:tc>
          <w:tcPr>
            <w:tcW w:w="372" w:type="pct"/>
            <w:noWrap/>
            <w:hideMark/>
          </w:tcPr>
          <w:p w14:paraId="6CEAF405" w14:textId="77777777" w:rsidR="00120717" w:rsidRPr="007A4ECB" w:rsidRDefault="00120717" w:rsidP="00A94807">
            <w:pPr>
              <w:jc w:val="right"/>
              <w:rPr>
                <w:rFonts w:cs="Calibri"/>
                <w:color w:val="000000"/>
                <w:sz w:val="15"/>
                <w:szCs w:val="15"/>
              </w:rPr>
            </w:pPr>
            <w:r w:rsidRPr="007A4ECB">
              <w:rPr>
                <w:rFonts w:cs="Calibri"/>
                <w:color w:val="000000"/>
                <w:sz w:val="15"/>
                <w:szCs w:val="15"/>
              </w:rPr>
              <w:t>0.5</w:t>
            </w:r>
          </w:p>
        </w:tc>
        <w:tc>
          <w:tcPr>
            <w:tcW w:w="371" w:type="pct"/>
            <w:noWrap/>
            <w:hideMark/>
          </w:tcPr>
          <w:p w14:paraId="0CA0666B"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2" w:type="pct"/>
            <w:noWrap/>
            <w:hideMark/>
          </w:tcPr>
          <w:p w14:paraId="0085E16E" w14:textId="77777777" w:rsidR="00120717" w:rsidRPr="007A4ECB" w:rsidRDefault="00120717" w:rsidP="00A94807">
            <w:pPr>
              <w:jc w:val="right"/>
              <w:rPr>
                <w:rFonts w:cs="Calibri"/>
                <w:color w:val="000000"/>
                <w:sz w:val="15"/>
                <w:szCs w:val="15"/>
              </w:rPr>
            </w:pPr>
            <w:r w:rsidRPr="007A4ECB">
              <w:rPr>
                <w:rFonts w:cs="Calibri"/>
                <w:color w:val="000000"/>
                <w:sz w:val="15"/>
                <w:szCs w:val="15"/>
              </w:rPr>
              <w:t>0.4</w:t>
            </w:r>
          </w:p>
        </w:tc>
        <w:tc>
          <w:tcPr>
            <w:tcW w:w="370" w:type="pct"/>
          </w:tcPr>
          <w:p w14:paraId="2B25E22C" w14:textId="77777777" w:rsidR="00120717" w:rsidRPr="007A4ECB" w:rsidRDefault="00120717" w:rsidP="00A94807">
            <w:pPr>
              <w:jc w:val="right"/>
              <w:rPr>
                <w:rFonts w:cs="Calibri"/>
                <w:color w:val="000000"/>
                <w:sz w:val="15"/>
                <w:szCs w:val="15"/>
              </w:rPr>
            </w:pPr>
            <w:r w:rsidRPr="007A4ECB">
              <w:rPr>
                <w:rFonts w:cs="Calibri"/>
                <w:color w:val="000000"/>
                <w:sz w:val="15"/>
                <w:szCs w:val="15"/>
              </w:rPr>
              <w:t>0.4</w:t>
            </w:r>
          </w:p>
        </w:tc>
      </w:tr>
      <w:tr w:rsidR="00120717" w:rsidRPr="007A4ECB" w14:paraId="3CD3C662" w14:textId="77777777" w:rsidTr="00A94807">
        <w:tc>
          <w:tcPr>
            <w:tcW w:w="2401" w:type="pct"/>
            <w:noWrap/>
            <w:hideMark/>
          </w:tcPr>
          <w:p w14:paraId="4A0B414B" w14:textId="77777777" w:rsidR="00120717" w:rsidRPr="007A4ECB" w:rsidRDefault="00120717" w:rsidP="00A94807">
            <w:pPr>
              <w:jc w:val="left"/>
              <w:rPr>
                <w:rFonts w:cs="Calibri"/>
                <w:color w:val="000000"/>
                <w:sz w:val="15"/>
                <w:szCs w:val="15"/>
              </w:rPr>
            </w:pPr>
            <w:r w:rsidRPr="007A4ECB">
              <w:rPr>
                <w:rFonts w:cs="Calibri"/>
                <w:color w:val="000000"/>
                <w:sz w:val="15"/>
                <w:szCs w:val="15"/>
              </w:rPr>
              <w:t>09 Wood, cork, straw</w:t>
            </w:r>
          </w:p>
        </w:tc>
        <w:tc>
          <w:tcPr>
            <w:tcW w:w="371" w:type="pct"/>
            <w:noWrap/>
            <w:hideMark/>
          </w:tcPr>
          <w:p w14:paraId="2CD4AA1F"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2" w:type="pct"/>
            <w:noWrap/>
            <w:hideMark/>
          </w:tcPr>
          <w:p w14:paraId="758F32DD"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1" w:type="pct"/>
            <w:noWrap/>
            <w:hideMark/>
          </w:tcPr>
          <w:p w14:paraId="119F2CB1"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2" w:type="pct"/>
            <w:noWrap/>
            <w:hideMark/>
          </w:tcPr>
          <w:p w14:paraId="22824510" w14:textId="77777777" w:rsidR="00120717" w:rsidRPr="007A4ECB" w:rsidRDefault="00120717" w:rsidP="00A94807">
            <w:pPr>
              <w:jc w:val="right"/>
              <w:rPr>
                <w:rFonts w:cs="Calibri"/>
                <w:color w:val="000000"/>
                <w:sz w:val="15"/>
                <w:szCs w:val="15"/>
              </w:rPr>
            </w:pPr>
            <w:r w:rsidRPr="007A4ECB">
              <w:rPr>
                <w:rFonts w:cs="Calibri"/>
                <w:color w:val="000000"/>
                <w:sz w:val="15"/>
                <w:szCs w:val="15"/>
              </w:rPr>
              <w:t>0.7</w:t>
            </w:r>
          </w:p>
        </w:tc>
        <w:tc>
          <w:tcPr>
            <w:tcW w:w="371" w:type="pct"/>
            <w:noWrap/>
            <w:hideMark/>
          </w:tcPr>
          <w:p w14:paraId="7AA04A94" w14:textId="77777777" w:rsidR="00120717" w:rsidRPr="007A4ECB" w:rsidRDefault="00120717" w:rsidP="00A94807">
            <w:pPr>
              <w:jc w:val="right"/>
              <w:rPr>
                <w:rFonts w:cs="Calibri"/>
                <w:color w:val="000000"/>
                <w:sz w:val="15"/>
                <w:szCs w:val="15"/>
              </w:rPr>
            </w:pPr>
            <w:r w:rsidRPr="007A4ECB">
              <w:rPr>
                <w:rFonts w:cs="Calibri"/>
                <w:color w:val="000000"/>
                <w:sz w:val="15"/>
                <w:szCs w:val="15"/>
              </w:rPr>
              <w:t>0.7</w:t>
            </w:r>
          </w:p>
        </w:tc>
        <w:tc>
          <w:tcPr>
            <w:tcW w:w="372" w:type="pct"/>
            <w:noWrap/>
            <w:hideMark/>
          </w:tcPr>
          <w:p w14:paraId="725A12D0" w14:textId="77777777" w:rsidR="00120717" w:rsidRPr="007A4ECB" w:rsidRDefault="00120717" w:rsidP="00A94807">
            <w:pPr>
              <w:jc w:val="right"/>
              <w:rPr>
                <w:rFonts w:cs="Calibri"/>
                <w:color w:val="000000"/>
                <w:sz w:val="15"/>
                <w:szCs w:val="15"/>
              </w:rPr>
            </w:pPr>
            <w:r w:rsidRPr="007A4ECB">
              <w:rPr>
                <w:rFonts w:cs="Calibri"/>
                <w:color w:val="000000"/>
                <w:sz w:val="15"/>
                <w:szCs w:val="15"/>
              </w:rPr>
              <w:t>0.7</w:t>
            </w:r>
          </w:p>
        </w:tc>
        <w:tc>
          <w:tcPr>
            <w:tcW w:w="370" w:type="pct"/>
          </w:tcPr>
          <w:p w14:paraId="0490A9EE" w14:textId="77777777" w:rsidR="00120717" w:rsidRPr="007A4ECB" w:rsidRDefault="00120717" w:rsidP="00A94807">
            <w:pPr>
              <w:jc w:val="right"/>
              <w:rPr>
                <w:rFonts w:cs="Calibri"/>
                <w:color w:val="000000"/>
                <w:sz w:val="15"/>
                <w:szCs w:val="15"/>
              </w:rPr>
            </w:pPr>
            <w:r w:rsidRPr="007A4ECB">
              <w:rPr>
                <w:rFonts w:cs="Calibri"/>
                <w:color w:val="000000"/>
                <w:sz w:val="15"/>
                <w:szCs w:val="15"/>
              </w:rPr>
              <w:t>0.9</w:t>
            </w:r>
          </w:p>
        </w:tc>
      </w:tr>
      <w:tr w:rsidR="00120717" w:rsidRPr="007A4ECB" w14:paraId="19B2991B"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236E7CEA" w14:textId="77777777" w:rsidR="00120717" w:rsidRPr="007A4ECB" w:rsidRDefault="00120717" w:rsidP="00A94807">
            <w:pPr>
              <w:jc w:val="left"/>
              <w:rPr>
                <w:rFonts w:cs="Calibri"/>
                <w:color w:val="000000"/>
                <w:sz w:val="15"/>
                <w:szCs w:val="15"/>
              </w:rPr>
            </w:pPr>
            <w:r w:rsidRPr="007A4ECB">
              <w:rPr>
                <w:rFonts w:cs="Calibri"/>
                <w:color w:val="000000"/>
                <w:sz w:val="15"/>
                <w:szCs w:val="15"/>
              </w:rPr>
              <w:t>10 Pulp of wood; paper and paperboard</w:t>
            </w:r>
          </w:p>
        </w:tc>
        <w:tc>
          <w:tcPr>
            <w:tcW w:w="371" w:type="pct"/>
            <w:noWrap/>
            <w:hideMark/>
          </w:tcPr>
          <w:p w14:paraId="60BAD248" w14:textId="77777777" w:rsidR="00120717" w:rsidRPr="007A4ECB" w:rsidRDefault="00120717" w:rsidP="00A94807">
            <w:pPr>
              <w:jc w:val="right"/>
              <w:rPr>
                <w:rFonts w:cs="Calibri"/>
                <w:color w:val="000000"/>
                <w:sz w:val="15"/>
                <w:szCs w:val="15"/>
              </w:rPr>
            </w:pPr>
            <w:r w:rsidRPr="007A4ECB">
              <w:rPr>
                <w:rFonts w:cs="Calibri"/>
                <w:color w:val="000000"/>
                <w:sz w:val="15"/>
                <w:szCs w:val="15"/>
              </w:rPr>
              <w:t>2.4</w:t>
            </w:r>
          </w:p>
        </w:tc>
        <w:tc>
          <w:tcPr>
            <w:tcW w:w="372" w:type="pct"/>
            <w:noWrap/>
            <w:hideMark/>
          </w:tcPr>
          <w:p w14:paraId="7A21F39D" w14:textId="77777777" w:rsidR="00120717" w:rsidRPr="007A4ECB" w:rsidRDefault="00120717" w:rsidP="00A94807">
            <w:pPr>
              <w:jc w:val="right"/>
              <w:rPr>
                <w:rFonts w:cs="Calibri"/>
                <w:color w:val="000000"/>
                <w:sz w:val="15"/>
                <w:szCs w:val="15"/>
              </w:rPr>
            </w:pPr>
            <w:r w:rsidRPr="007A4ECB">
              <w:rPr>
                <w:rFonts w:cs="Calibri"/>
                <w:color w:val="000000"/>
                <w:sz w:val="15"/>
                <w:szCs w:val="15"/>
              </w:rPr>
              <w:t>2.6</w:t>
            </w:r>
          </w:p>
        </w:tc>
        <w:tc>
          <w:tcPr>
            <w:tcW w:w="371" w:type="pct"/>
            <w:noWrap/>
            <w:hideMark/>
          </w:tcPr>
          <w:p w14:paraId="038BB79D" w14:textId="77777777" w:rsidR="00120717" w:rsidRPr="007A4ECB" w:rsidRDefault="00120717" w:rsidP="00A94807">
            <w:pPr>
              <w:jc w:val="right"/>
              <w:rPr>
                <w:rFonts w:cs="Calibri"/>
                <w:color w:val="000000"/>
                <w:sz w:val="15"/>
                <w:szCs w:val="15"/>
              </w:rPr>
            </w:pPr>
            <w:r w:rsidRPr="007A4ECB">
              <w:rPr>
                <w:rFonts w:cs="Calibri"/>
                <w:color w:val="000000"/>
                <w:sz w:val="15"/>
                <w:szCs w:val="15"/>
              </w:rPr>
              <w:t>2.4</w:t>
            </w:r>
          </w:p>
        </w:tc>
        <w:tc>
          <w:tcPr>
            <w:tcW w:w="372" w:type="pct"/>
            <w:noWrap/>
            <w:hideMark/>
          </w:tcPr>
          <w:p w14:paraId="220FB2F7" w14:textId="77777777" w:rsidR="00120717" w:rsidRPr="007A4ECB" w:rsidRDefault="00120717" w:rsidP="00A94807">
            <w:pPr>
              <w:jc w:val="right"/>
              <w:rPr>
                <w:rFonts w:cs="Calibri"/>
                <w:color w:val="000000"/>
                <w:sz w:val="15"/>
                <w:szCs w:val="15"/>
              </w:rPr>
            </w:pPr>
            <w:r w:rsidRPr="007A4ECB">
              <w:rPr>
                <w:rFonts w:cs="Calibri"/>
                <w:color w:val="000000"/>
                <w:sz w:val="15"/>
                <w:szCs w:val="15"/>
              </w:rPr>
              <w:t>2.2</w:t>
            </w:r>
          </w:p>
        </w:tc>
        <w:tc>
          <w:tcPr>
            <w:tcW w:w="371" w:type="pct"/>
            <w:noWrap/>
            <w:hideMark/>
          </w:tcPr>
          <w:p w14:paraId="4F5178A8" w14:textId="77777777" w:rsidR="00120717" w:rsidRPr="007A4ECB" w:rsidRDefault="00120717" w:rsidP="00A94807">
            <w:pPr>
              <w:jc w:val="right"/>
              <w:rPr>
                <w:rFonts w:cs="Calibri"/>
                <w:color w:val="000000"/>
                <w:sz w:val="15"/>
                <w:szCs w:val="15"/>
              </w:rPr>
            </w:pPr>
            <w:r w:rsidRPr="007A4ECB">
              <w:rPr>
                <w:rFonts w:cs="Calibri"/>
                <w:color w:val="000000"/>
                <w:sz w:val="15"/>
                <w:szCs w:val="15"/>
              </w:rPr>
              <w:t>2.2</w:t>
            </w:r>
          </w:p>
        </w:tc>
        <w:tc>
          <w:tcPr>
            <w:tcW w:w="372" w:type="pct"/>
            <w:noWrap/>
            <w:hideMark/>
          </w:tcPr>
          <w:p w14:paraId="038EB773" w14:textId="77777777" w:rsidR="00120717" w:rsidRPr="007A4ECB" w:rsidRDefault="00120717" w:rsidP="00A94807">
            <w:pPr>
              <w:jc w:val="right"/>
              <w:rPr>
                <w:rFonts w:cs="Calibri"/>
                <w:color w:val="000000"/>
                <w:sz w:val="15"/>
                <w:szCs w:val="15"/>
              </w:rPr>
            </w:pPr>
            <w:r w:rsidRPr="007A4ECB">
              <w:rPr>
                <w:rFonts w:cs="Calibri"/>
                <w:color w:val="000000"/>
                <w:sz w:val="15"/>
                <w:szCs w:val="15"/>
              </w:rPr>
              <w:t>2.3</w:t>
            </w:r>
          </w:p>
        </w:tc>
        <w:tc>
          <w:tcPr>
            <w:tcW w:w="370" w:type="pct"/>
          </w:tcPr>
          <w:p w14:paraId="15207845" w14:textId="77777777" w:rsidR="00120717" w:rsidRPr="007A4ECB" w:rsidRDefault="00120717" w:rsidP="00A94807">
            <w:pPr>
              <w:jc w:val="right"/>
              <w:rPr>
                <w:rFonts w:cs="Calibri"/>
                <w:color w:val="000000"/>
                <w:sz w:val="15"/>
                <w:szCs w:val="15"/>
              </w:rPr>
            </w:pPr>
            <w:r w:rsidRPr="007A4ECB">
              <w:rPr>
                <w:rFonts w:cs="Calibri"/>
                <w:color w:val="000000"/>
                <w:sz w:val="15"/>
                <w:szCs w:val="15"/>
              </w:rPr>
              <w:t>2.0</w:t>
            </w:r>
          </w:p>
        </w:tc>
      </w:tr>
      <w:tr w:rsidR="00120717" w:rsidRPr="007A4ECB" w14:paraId="76FC36AB" w14:textId="77777777" w:rsidTr="00A94807">
        <w:tc>
          <w:tcPr>
            <w:tcW w:w="2401" w:type="pct"/>
            <w:noWrap/>
            <w:hideMark/>
          </w:tcPr>
          <w:p w14:paraId="73A85076" w14:textId="77777777" w:rsidR="00120717" w:rsidRPr="007A4ECB" w:rsidRDefault="00120717" w:rsidP="00A94807">
            <w:pPr>
              <w:ind w:left="227"/>
              <w:jc w:val="left"/>
              <w:rPr>
                <w:rFonts w:cs="Calibri"/>
                <w:color w:val="000000"/>
                <w:sz w:val="15"/>
                <w:szCs w:val="15"/>
              </w:rPr>
            </w:pPr>
            <w:r w:rsidRPr="007A4ECB">
              <w:rPr>
                <w:rFonts w:cs="Calibri"/>
                <w:color w:val="000000"/>
                <w:sz w:val="15"/>
                <w:szCs w:val="15"/>
              </w:rPr>
              <w:t>48 Paper and paperboard</w:t>
            </w:r>
          </w:p>
        </w:tc>
        <w:tc>
          <w:tcPr>
            <w:tcW w:w="371" w:type="pct"/>
            <w:noWrap/>
            <w:hideMark/>
          </w:tcPr>
          <w:p w14:paraId="1B23ACCA" w14:textId="77777777" w:rsidR="00120717" w:rsidRPr="007A4ECB" w:rsidRDefault="00120717" w:rsidP="00A94807">
            <w:pPr>
              <w:jc w:val="right"/>
              <w:rPr>
                <w:rFonts w:cs="Calibri"/>
                <w:color w:val="000000"/>
                <w:sz w:val="15"/>
                <w:szCs w:val="15"/>
              </w:rPr>
            </w:pPr>
            <w:r w:rsidRPr="007A4ECB">
              <w:rPr>
                <w:rFonts w:cs="Calibri"/>
                <w:color w:val="000000"/>
                <w:sz w:val="15"/>
                <w:szCs w:val="15"/>
              </w:rPr>
              <w:t>1.8</w:t>
            </w:r>
          </w:p>
        </w:tc>
        <w:tc>
          <w:tcPr>
            <w:tcW w:w="372" w:type="pct"/>
            <w:noWrap/>
            <w:hideMark/>
          </w:tcPr>
          <w:p w14:paraId="42A886D7" w14:textId="77777777" w:rsidR="00120717" w:rsidRPr="007A4ECB" w:rsidRDefault="00120717" w:rsidP="00A94807">
            <w:pPr>
              <w:jc w:val="right"/>
              <w:rPr>
                <w:rFonts w:cs="Calibri"/>
                <w:color w:val="000000"/>
                <w:sz w:val="15"/>
                <w:szCs w:val="15"/>
              </w:rPr>
            </w:pPr>
            <w:r w:rsidRPr="007A4ECB">
              <w:rPr>
                <w:rFonts w:cs="Calibri"/>
                <w:color w:val="000000"/>
                <w:sz w:val="15"/>
                <w:szCs w:val="15"/>
              </w:rPr>
              <w:t>1.9</w:t>
            </w:r>
          </w:p>
        </w:tc>
        <w:tc>
          <w:tcPr>
            <w:tcW w:w="371" w:type="pct"/>
            <w:noWrap/>
            <w:hideMark/>
          </w:tcPr>
          <w:p w14:paraId="5649CE8E" w14:textId="77777777" w:rsidR="00120717" w:rsidRPr="007A4ECB" w:rsidRDefault="00120717" w:rsidP="00A94807">
            <w:pPr>
              <w:jc w:val="right"/>
              <w:rPr>
                <w:rFonts w:cs="Calibri"/>
                <w:color w:val="000000"/>
                <w:sz w:val="15"/>
                <w:szCs w:val="15"/>
              </w:rPr>
            </w:pPr>
            <w:r w:rsidRPr="007A4ECB">
              <w:rPr>
                <w:rFonts w:cs="Calibri"/>
                <w:color w:val="000000"/>
                <w:sz w:val="15"/>
                <w:szCs w:val="15"/>
              </w:rPr>
              <w:t>1.8</w:t>
            </w:r>
          </w:p>
        </w:tc>
        <w:tc>
          <w:tcPr>
            <w:tcW w:w="372" w:type="pct"/>
            <w:noWrap/>
            <w:hideMark/>
          </w:tcPr>
          <w:p w14:paraId="6885FF5D" w14:textId="77777777" w:rsidR="00120717" w:rsidRPr="007A4ECB" w:rsidRDefault="00120717" w:rsidP="00A94807">
            <w:pPr>
              <w:jc w:val="right"/>
              <w:rPr>
                <w:rFonts w:cs="Calibri"/>
                <w:color w:val="000000"/>
                <w:sz w:val="15"/>
                <w:szCs w:val="15"/>
              </w:rPr>
            </w:pPr>
            <w:r w:rsidRPr="007A4ECB">
              <w:rPr>
                <w:rFonts w:cs="Calibri"/>
                <w:color w:val="000000"/>
                <w:sz w:val="15"/>
                <w:szCs w:val="15"/>
              </w:rPr>
              <w:t>1.7</w:t>
            </w:r>
          </w:p>
        </w:tc>
        <w:tc>
          <w:tcPr>
            <w:tcW w:w="371" w:type="pct"/>
            <w:noWrap/>
            <w:hideMark/>
          </w:tcPr>
          <w:p w14:paraId="77A2948F" w14:textId="77777777" w:rsidR="00120717" w:rsidRPr="007A4ECB" w:rsidRDefault="00120717" w:rsidP="00A94807">
            <w:pPr>
              <w:jc w:val="right"/>
              <w:rPr>
                <w:rFonts w:cs="Calibri"/>
                <w:color w:val="000000"/>
                <w:sz w:val="15"/>
                <w:szCs w:val="15"/>
              </w:rPr>
            </w:pPr>
            <w:r w:rsidRPr="007A4ECB">
              <w:rPr>
                <w:rFonts w:cs="Calibri"/>
                <w:color w:val="000000"/>
                <w:sz w:val="15"/>
                <w:szCs w:val="15"/>
              </w:rPr>
              <w:t>1.7</w:t>
            </w:r>
          </w:p>
        </w:tc>
        <w:tc>
          <w:tcPr>
            <w:tcW w:w="372" w:type="pct"/>
            <w:noWrap/>
            <w:hideMark/>
          </w:tcPr>
          <w:p w14:paraId="332A22DE" w14:textId="77777777" w:rsidR="00120717" w:rsidRPr="007A4ECB" w:rsidRDefault="00120717" w:rsidP="00A94807">
            <w:pPr>
              <w:jc w:val="right"/>
              <w:rPr>
                <w:rFonts w:cs="Calibri"/>
                <w:color w:val="000000"/>
                <w:sz w:val="15"/>
                <w:szCs w:val="15"/>
              </w:rPr>
            </w:pPr>
            <w:r w:rsidRPr="007A4ECB">
              <w:rPr>
                <w:rFonts w:cs="Calibri"/>
                <w:color w:val="000000"/>
                <w:sz w:val="15"/>
                <w:szCs w:val="15"/>
              </w:rPr>
              <w:t>1.8</w:t>
            </w:r>
          </w:p>
        </w:tc>
        <w:tc>
          <w:tcPr>
            <w:tcW w:w="370" w:type="pct"/>
          </w:tcPr>
          <w:p w14:paraId="72886E4B" w14:textId="77777777" w:rsidR="00120717" w:rsidRPr="007A4ECB" w:rsidRDefault="00120717" w:rsidP="00A94807">
            <w:pPr>
              <w:jc w:val="right"/>
              <w:rPr>
                <w:rFonts w:cs="Calibri"/>
                <w:color w:val="000000"/>
                <w:sz w:val="15"/>
                <w:szCs w:val="15"/>
              </w:rPr>
            </w:pPr>
            <w:r w:rsidRPr="007A4ECB">
              <w:rPr>
                <w:rFonts w:cs="Calibri"/>
                <w:color w:val="000000"/>
                <w:sz w:val="15"/>
                <w:szCs w:val="15"/>
              </w:rPr>
              <w:t>1.6</w:t>
            </w:r>
          </w:p>
        </w:tc>
      </w:tr>
      <w:tr w:rsidR="00120717" w:rsidRPr="007A4ECB" w14:paraId="6EB58CDD"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44CA2F0A" w14:textId="77777777" w:rsidR="00120717" w:rsidRPr="007A4ECB" w:rsidRDefault="00120717" w:rsidP="00A94807">
            <w:pPr>
              <w:jc w:val="left"/>
              <w:rPr>
                <w:rFonts w:cs="Calibri"/>
                <w:color w:val="000000"/>
                <w:sz w:val="15"/>
                <w:szCs w:val="15"/>
              </w:rPr>
            </w:pPr>
            <w:r w:rsidRPr="007A4ECB">
              <w:rPr>
                <w:rFonts w:cs="Calibri"/>
                <w:color w:val="000000"/>
                <w:sz w:val="15"/>
                <w:szCs w:val="15"/>
              </w:rPr>
              <w:t>11 Textiles and textile articles</w:t>
            </w:r>
          </w:p>
        </w:tc>
        <w:tc>
          <w:tcPr>
            <w:tcW w:w="371" w:type="pct"/>
            <w:noWrap/>
            <w:hideMark/>
          </w:tcPr>
          <w:p w14:paraId="1B7B6249" w14:textId="77777777" w:rsidR="00120717" w:rsidRPr="007A4ECB" w:rsidRDefault="00120717" w:rsidP="00A94807">
            <w:pPr>
              <w:jc w:val="right"/>
              <w:rPr>
                <w:rFonts w:cs="Calibri"/>
                <w:color w:val="000000"/>
                <w:sz w:val="15"/>
                <w:szCs w:val="15"/>
              </w:rPr>
            </w:pPr>
            <w:r w:rsidRPr="007A4ECB">
              <w:rPr>
                <w:rFonts w:cs="Calibri"/>
                <w:color w:val="000000"/>
                <w:sz w:val="15"/>
                <w:szCs w:val="15"/>
              </w:rPr>
              <w:t>4.8</w:t>
            </w:r>
          </w:p>
        </w:tc>
        <w:tc>
          <w:tcPr>
            <w:tcW w:w="372" w:type="pct"/>
            <w:noWrap/>
            <w:hideMark/>
          </w:tcPr>
          <w:p w14:paraId="67764137" w14:textId="77777777" w:rsidR="00120717" w:rsidRPr="007A4ECB" w:rsidRDefault="00120717" w:rsidP="00A94807">
            <w:pPr>
              <w:jc w:val="right"/>
              <w:rPr>
                <w:rFonts w:cs="Calibri"/>
                <w:color w:val="000000"/>
                <w:sz w:val="15"/>
                <w:szCs w:val="15"/>
              </w:rPr>
            </w:pPr>
            <w:r w:rsidRPr="007A4ECB">
              <w:rPr>
                <w:rFonts w:cs="Calibri"/>
                <w:color w:val="000000"/>
                <w:sz w:val="15"/>
                <w:szCs w:val="15"/>
              </w:rPr>
              <w:t>4.9</w:t>
            </w:r>
          </w:p>
        </w:tc>
        <w:tc>
          <w:tcPr>
            <w:tcW w:w="371" w:type="pct"/>
            <w:noWrap/>
            <w:hideMark/>
          </w:tcPr>
          <w:p w14:paraId="3EB0CBBF" w14:textId="77777777" w:rsidR="00120717" w:rsidRPr="007A4ECB" w:rsidRDefault="00120717" w:rsidP="00A94807">
            <w:pPr>
              <w:jc w:val="right"/>
              <w:rPr>
                <w:rFonts w:cs="Calibri"/>
                <w:color w:val="000000"/>
                <w:sz w:val="15"/>
                <w:szCs w:val="15"/>
              </w:rPr>
            </w:pPr>
            <w:r w:rsidRPr="007A4ECB">
              <w:rPr>
                <w:rFonts w:cs="Calibri"/>
                <w:color w:val="000000"/>
                <w:sz w:val="15"/>
                <w:szCs w:val="15"/>
              </w:rPr>
              <w:t>4.4</w:t>
            </w:r>
          </w:p>
        </w:tc>
        <w:tc>
          <w:tcPr>
            <w:tcW w:w="372" w:type="pct"/>
            <w:noWrap/>
            <w:hideMark/>
          </w:tcPr>
          <w:p w14:paraId="1F854664" w14:textId="77777777" w:rsidR="00120717" w:rsidRPr="007A4ECB" w:rsidRDefault="00120717" w:rsidP="00A94807">
            <w:pPr>
              <w:jc w:val="right"/>
              <w:rPr>
                <w:rFonts w:cs="Calibri"/>
                <w:color w:val="000000"/>
                <w:sz w:val="15"/>
                <w:szCs w:val="15"/>
              </w:rPr>
            </w:pPr>
            <w:r w:rsidRPr="007A4ECB">
              <w:rPr>
                <w:rFonts w:cs="Calibri"/>
                <w:color w:val="000000"/>
                <w:sz w:val="15"/>
                <w:szCs w:val="15"/>
              </w:rPr>
              <w:t>4.3</w:t>
            </w:r>
          </w:p>
        </w:tc>
        <w:tc>
          <w:tcPr>
            <w:tcW w:w="371" w:type="pct"/>
            <w:noWrap/>
            <w:hideMark/>
          </w:tcPr>
          <w:p w14:paraId="56EA224C" w14:textId="77777777" w:rsidR="00120717" w:rsidRPr="007A4ECB" w:rsidRDefault="00120717" w:rsidP="00A94807">
            <w:pPr>
              <w:jc w:val="right"/>
              <w:rPr>
                <w:rFonts w:cs="Calibri"/>
                <w:color w:val="000000"/>
                <w:sz w:val="15"/>
                <w:szCs w:val="15"/>
              </w:rPr>
            </w:pPr>
            <w:r w:rsidRPr="007A4ECB">
              <w:rPr>
                <w:rFonts w:cs="Calibri"/>
                <w:color w:val="000000"/>
                <w:sz w:val="15"/>
                <w:szCs w:val="15"/>
              </w:rPr>
              <w:t>4.4</w:t>
            </w:r>
          </w:p>
        </w:tc>
        <w:tc>
          <w:tcPr>
            <w:tcW w:w="372" w:type="pct"/>
            <w:noWrap/>
            <w:hideMark/>
          </w:tcPr>
          <w:p w14:paraId="6F32B1BF" w14:textId="77777777" w:rsidR="00120717" w:rsidRPr="007A4ECB" w:rsidRDefault="00120717" w:rsidP="00A94807">
            <w:pPr>
              <w:jc w:val="right"/>
              <w:rPr>
                <w:rFonts w:cs="Calibri"/>
                <w:color w:val="000000"/>
                <w:sz w:val="15"/>
                <w:szCs w:val="15"/>
              </w:rPr>
            </w:pPr>
            <w:r w:rsidRPr="007A4ECB">
              <w:rPr>
                <w:rFonts w:cs="Calibri"/>
                <w:color w:val="000000"/>
                <w:sz w:val="15"/>
                <w:szCs w:val="15"/>
              </w:rPr>
              <w:t>4.8</w:t>
            </w:r>
          </w:p>
        </w:tc>
        <w:tc>
          <w:tcPr>
            <w:tcW w:w="370" w:type="pct"/>
          </w:tcPr>
          <w:p w14:paraId="06D9DB0F" w14:textId="77777777" w:rsidR="00120717" w:rsidRPr="007A4ECB" w:rsidRDefault="00120717" w:rsidP="00A94807">
            <w:pPr>
              <w:jc w:val="right"/>
              <w:rPr>
                <w:rFonts w:cs="Calibri"/>
                <w:color w:val="000000"/>
                <w:sz w:val="15"/>
                <w:szCs w:val="15"/>
              </w:rPr>
            </w:pPr>
            <w:r w:rsidRPr="007A4ECB">
              <w:rPr>
                <w:rFonts w:cs="Calibri"/>
                <w:color w:val="000000"/>
                <w:sz w:val="15"/>
                <w:szCs w:val="15"/>
              </w:rPr>
              <w:t>4.5</w:t>
            </w:r>
          </w:p>
        </w:tc>
      </w:tr>
      <w:tr w:rsidR="00120717" w:rsidRPr="007A4ECB" w14:paraId="2F739BB4" w14:textId="77777777" w:rsidTr="00A94807">
        <w:tc>
          <w:tcPr>
            <w:tcW w:w="2401" w:type="pct"/>
            <w:noWrap/>
            <w:hideMark/>
          </w:tcPr>
          <w:p w14:paraId="45E9DFE3" w14:textId="77777777" w:rsidR="00120717" w:rsidRPr="007A4ECB" w:rsidRDefault="00120717" w:rsidP="00A94807">
            <w:pPr>
              <w:jc w:val="left"/>
              <w:rPr>
                <w:rFonts w:cs="Calibri"/>
                <w:color w:val="000000"/>
                <w:sz w:val="15"/>
                <w:szCs w:val="15"/>
              </w:rPr>
            </w:pPr>
            <w:r w:rsidRPr="007A4ECB">
              <w:rPr>
                <w:rFonts w:cs="Calibri"/>
                <w:color w:val="000000"/>
                <w:sz w:val="15"/>
                <w:szCs w:val="15"/>
              </w:rPr>
              <w:t>12 Footwear, headgear, etc.</w:t>
            </w:r>
          </w:p>
        </w:tc>
        <w:tc>
          <w:tcPr>
            <w:tcW w:w="371" w:type="pct"/>
            <w:noWrap/>
            <w:hideMark/>
          </w:tcPr>
          <w:p w14:paraId="383EECFE" w14:textId="77777777" w:rsidR="00120717" w:rsidRPr="007A4ECB" w:rsidRDefault="00120717" w:rsidP="00A94807">
            <w:pPr>
              <w:jc w:val="right"/>
              <w:rPr>
                <w:rFonts w:cs="Calibri"/>
                <w:color w:val="000000"/>
                <w:sz w:val="15"/>
                <w:szCs w:val="15"/>
              </w:rPr>
            </w:pPr>
            <w:r w:rsidRPr="007A4ECB">
              <w:rPr>
                <w:rFonts w:cs="Calibri"/>
                <w:color w:val="000000"/>
                <w:sz w:val="15"/>
                <w:szCs w:val="15"/>
              </w:rPr>
              <w:t>0.9</w:t>
            </w:r>
          </w:p>
        </w:tc>
        <w:tc>
          <w:tcPr>
            <w:tcW w:w="372" w:type="pct"/>
            <w:noWrap/>
            <w:hideMark/>
          </w:tcPr>
          <w:p w14:paraId="6116AAD5" w14:textId="77777777" w:rsidR="00120717" w:rsidRPr="007A4ECB" w:rsidRDefault="00120717" w:rsidP="00A94807">
            <w:pPr>
              <w:jc w:val="right"/>
              <w:rPr>
                <w:rFonts w:cs="Calibri"/>
                <w:color w:val="000000"/>
                <w:sz w:val="15"/>
                <w:szCs w:val="15"/>
              </w:rPr>
            </w:pPr>
            <w:r w:rsidRPr="007A4ECB">
              <w:rPr>
                <w:rFonts w:cs="Calibri"/>
                <w:color w:val="000000"/>
                <w:sz w:val="15"/>
                <w:szCs w:val="15"/>
              </w:rPr>
              <w:t>0.9</w:t>
            </w:r>
          </w:p>
        </w:tc>
        <w:tc>
          <w:tcPr>
            <w:tcW w:w="371" w:type="pct"/>
            <w:noWrap/>
            <w:hideMark/>
          </w:tcPr>
          <w:p w14:paraId="3DA4900F" w14:textId="77777777" w:rsidR="00120717" w:rsidRPr="007A4ECB" w:rsidRDefault="00120717" w:rsidP="00A94807">
            <w:pPr>
              <w:jc w:val="right"/>
              <w:rPr>
                <w:rFonts w:cs="Calibri"/>
                <w:color w:val="000000"/>
                <w:sz w:val="15"/>
                <w:szCs w:val="15"/>
              </w:rPr>
            </w:pPr>
            <w:r w:rsidRPr="007A4ECB">
              <w:rPr>
                <w:rFonts w:cs="Calibri"/>
                <w:color w:val="000000"/>
                <w:sz w:val="15"/>
                <w:szCs w:val="15"/>
              </w:rPr>
              <w:t>0.9</w:t>
            </w:r>
          </w:p>
        </w:tc>
        <w:tc>
          <w:tcPr>
            <w:tcW w:w="372" w:type="pct"/>
            <w:noWrap/>
            <w:hideMark/>
          </w:tcPr>
          <w:p w14:paraId="6D3771C1" w14:textId="77777777" w:rsidR="00120717" w:rsidRPr="007A4ECB" w:rsidRDefault="00120717" w:rsidP="00A94807">
            <w:pPr>
              <w:jc w:val="right"/>
              <w:rPr>
                <w:rFonts w:cs="Calibri"/>
                <w:color w:val="000000"/>
                <w:sz w:val="15"/>
                <w:szCs w:val="15"/>
              </w:rPr>
            </w:pPr>
            <w:r w:rsidRPr="007A4ECB">
              <w:rPr>
                <w:rFonts w:cs="Calibri"/>
                <w:color w:val="000000"/>
                <w:sz w:val="15"/>
                <w:szCs w:val="15"/>
              </w:rPr>
              <w:t>0.8</w:t>
            </w:r>
          </w:p>
        </w:tc>
        <w:tc>
          <w:tcPr>
            <w:tcW w:w="371" w:type="pct"/>
            <w:noWrap/>
            <w:hideMark/>
          </w:tcPr>
          <w:p w14:paraId="0313DEF2" w14:textId="77777777" w:rsidR="00120717" w:rsidRPr="007A4ECB" w:rsidRDefault="00120717" w:rsidP="00A94807">
            <w:pPr>
              <w:jc w:val="right"/>
              <w:rPr>
                <w:rFonts w:cs="Calibri"/>
                <w:color w:val="000000"/>
                <w:sz w:val="15"/>
                <w:szCs w:val="15"/>
              </w:rPr>
            </w:pPr>
            <w:r w:rsidRPr="007A4ECB">
              <w:rPr>
                <w:rFonts w:cs="Calibri"/>
                <w:color w:val="000000"/>
                <w:sz w:val="15"/>
                <w:szCs w:val="15"/>
              </w:rPr>
              <w:t>0.9</w:t>
            </w:r>
          </w:p>
        </w:tc>
        <w:tc>
          <w:tcPr>
            <w:tcW w:w="372" w:type="pct"/>
            <w:noWrap/>
            <w:hideMark/>
          </w:tcPr>
          <w:p w14:paraId="2C5C97B2" w14:textId="77777777" w:rsidR="00120717" w:rsidRPr="007A4ECB" w:rsidRDefault="00120717" w:rsidP="00A94807">
            <w:pPr>
              <w:jc w:val="right"/>
              <w:rPr>
                <w:rFonts w:cs="Calibri"/>
                <w:color w:val="000000"/>
                <w:sz w:val="15"/>
                <w:szCs w:val="15"/>
              </w:rPr>
            </w:pPr>
            <w:r w:rsidRPr="007A4ECB">
              <w:rPr>
                <w:rFonts w:cs="Calibri"/>
                <w:color w:val="000000"/>
                <w:sz w:val="15"/>
                <w:szCs w:val="15"/>
              </w:rPr>
              <w:t>0.8</w:t>
            </w:r>
          </w:p>
        </w:tc>
        <w:tc>
          <w:tcPr>
            <w:tcW w:w="370" w:type="pct"/>
          </w:tcPr>
          <w:p w14:paraId="773460D4" w14:textId="77777777" w:rsidR="00120717" w:rsidRPr="007A4ECB" w:rsidRDefault="00120717" w:rsidP="00A94807">
            <w:pPr>
              <w:jc w:val="right"/>
              <w:rPr>
                <w:rFonts w:cs="Calibri"/>
                <w:color w:val="000000"/>
                <w:sz w:val="15"/>
                <w:szCs w:val="15"/>
              </w:rPr>
            </w:pPr>
            <w:r w:rsidRPr="007A4ECB">
              <w:rPr>
                <w:rFonts w:cs="Calibri"/>
                <w:color w:val="000000"/>
                <w:sz w:val="15"/>
                <w:szCs w:val="15"/>
              </w:rPr>
              <w:t>0.8</w:t>
            </w:r>
          </w:p>
        </w:tc>
      </w:tr>
      <w:tr w:rsidR="00120717" w:rsidRPr="007A4ECB" w14:paraId="1B0D8319"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01291772" w14:textId="77777777" w:rsidR="00120717" w:rsidRPr="007A4ECB" w:rsidRDefault="00120717" w:rsidP="00A94807">
            <w:pPr>
              <w:jc w:val="left"/>
              <w:rPr>
                <w:rFonts w:cs="Calibri"/>
                <w:color w:val="000000"/>
                <w:sz w:val="15"/>
                <w:szCs w:val="15"/>
              </w:rPr>
            </w:pPr>
            <w:r w:rsidRPr="007A4ECB">
              <w:rPr>
                <w:rFonts w:cs="Calibri"/>
                <w:color w:val="000000"/>
                <w:sz w:val="15"/>
                <w:szCs w:val="15"/>
              </w:rPr>
              <w:t>13 Articles of stone, plaster, cement</w:t>
            </w:r>
          </w:p>
        </w:tc>
        <w:tc>
          <w:tcPr>
            <w:tcW w:w="371" w:type="pct"/>
            <w:noWrap/>
            <w:hideMark/>
          </w:tcPr>
          <w:p w14:paraId="207515BB" w14:textId="77777777" w:rsidR="00120717" w:rsidRPr="007A4ECB" w:rsidRDefault="00120717" w:rsidP="00A94807">
            <w:pPr>
              <w:jc w:val="right"/>
              <w:rPr>
                <w:rFonts w:cs="Calibri"/>
                <w:color w:val="000000"/>
                <w:sz w:val="15"/>
                <w:szCs w:val="15"/>
              </w:rPr>
            </w:pPr>
            <w:r w:rsidRPr="007A4ECB">
              <w:rPr>
                <w:rFonts w:cs="Calibri"/>
                <w:color w:val="000000"/>
                <w:sz w:val="15"/>
                <w:szCs w:val="15"/>
              </w:rPr>
              <w:t>1.3</w:t>
            </w:r>
          </w:p>
        </w:tc>
        <w:tc>
          <w:tcPr>
            <w:tcW w:w="372" w:type="pct"/>
            <w:noWrap/>
            <w:hideMark/>
          </w:tcPr>
          <w:p w14:paraId="46CF6BF2" w14:textId="77777777" w:rsidR="00120717" w:rsidRPr="007A4ECB" w:rsidRDefault="00120717" w:rsidP="00A94807">
            <w:pPr>
              <w:jc w:val="right"/>
              <w:rPr>
                <w:rFonts w:cs="Calibri"/>
                <w:color w:val="000000"/>
                <w:sz w:val="15"/>
                <w:szCs w:val="15"/>
              </w:rPr>
            </w:pPr>
            <w:r w:rsidRPr="007A4ECB">
              <w:rPr>
                <w:rFonts w:cs="Calibri"/>
                <w:color w:val="000000"/>
                <w:sz w:val="15"/>
                <w:szCs w:val="15"/>
              </w:rPr>
              <w:t>1.4</w:t>
            </w:r>
          </w:p>
        </w:tc>
        <w:tc>
          <w:tcPr>
            <w:tcW w:w="371" w:type="pct"/>
            <w:noWrap/>
            <w:hideMark/>
          </w:tcPr>
          <w:p w14:paraId="1E6CED0F" w14:textId="77777777" w:rsidR="00120717" w:rsidRPr="007A4ECB" w:rsidRDefault="00120717" w:rsidP="00A94807">
            <w:pPr>
              <w:jc w:val="right"/>
              <w:rPr>
                <w:rFonts w:cs="Calibri"/>
                <w:color w:val="000000"/>
                <w:sz w:val="15"/>
                <w:szCs w:val="15"/>
              </w:rPr>
            </w:pPr>
            <w:r w:rsidRPr="007A4ECB">
              <w:rPr>
                <w:rFonts w:cs="Calibri"/>
                <w:color w:val="000000"/>
                <w:sz w:val="15"/>
                <w:szCs w:val="15"/>
              </w:rPr>
              <w:t>1.3</w:t>
            </w:r>
          </w:p>
        </w:tc>
        <w:tc>
          <w:tcPr>
            <w:tcW w:w="372" w:type="pct"/>
            <w:noWrap/>
            <w:hideMark/>
          </w:tcPr>
          <w:p w14:paraId="53CF14D7" w14:textId="77777777" w:rsidR="00120717" w:rsidRPr="007A4ECB" w:rsidRDefault="00120717" w:rsidP="00A94807">
            <w:pPr>
              <w:jc w:val="right"/>
              <w:rPr>
                <w:rFonts w:cs="Calibri"/>
                <w:color w:val="000000"/>
                <w:sz w:val="15"/>
                <w:szCs w:val="15"/>
              </w:rPr>
            </w:pPr>
            <w:r w:rsidRPr="007A4ECB">
              <w:rPr>
                <w:rFonts w:cs="Calibri"/>
                <w:color w:val="000000"/>
                <w:sz w:val="15"/>
                <w:szCs w:val="15"/>
              </w:rPr>
              <w:t>1.3</w:t>
            </w:r>
          </w:p>
        </w:tc>
        <w:tc>
          <w:tcPr>
            <w:tcW w:w="371" w:type="pct"/>
            <w:noWrap/>
            <w:hideMark/>
          </w:tcPr>
          <w:p w14:paraId="4A5F6561" w14:textId="77777777" w:rsidR="00120717" w:rsidRPr="007A4ECB" w:rsidRDefault="00120717" w:rsidP="00A94807">
            <w:pPr>
              <w:jc w:val="right"/>
              <w:rPr>
                <w:rFonts w:cs="Calibri"/>
                <w:color w:val="000000"/>
                <w:sz w:val="15"/>
                <w:szCs w:val="15"/>
              </w:rPr>
            </w:pPr>
            <w:r w:rsidRPr="007A4ECB">
              <w:rPr>
                <w:rFonts w:cs="Calibri"/>
                <w:color w:val="000000"/>
                <w:sz w:val="15"/>
                <w:szCs w:val="15"/>
              </w:rPr>
              <w:t>1.4</w:t>
            </w:r>
          </w:p>
        </w:tc>
        <w:tc>
          <w:tcPr>
            <w:tcW w:w="372" w:type="pct"/>
            <w:noWrap/>
            <w:hideMark/>
          </w:tcPr>
          <w:p w14:paraId="48C11BF2" w14:textId="77777777" w:rsidR="00120717" w:rsidRPr="007A4ECB" w:rsidRDefault="00120717" w:rsidP="00A94807">
            <w:pPr>
              <w:jc w:val="right"/>
              <w:rPr>
                <w:rFonts w:cs="Calibri"/>
                <w:color w:val="000000"/>
                <w:sz w:val="15"/>
                <w:szCs w:val="15"/>
              </w:rPr>
            </w:pPr>
            <w:r w:rsidRPr="007A4ECB">
              <w:rPr>
                <w:rFonts w:cs="Calibri"/>
                <w:color w:val="000000"/>
                <w:sz w:val="15"/>
                <w:szCs w:val="15"/>
              </w:rPr>
              <w:t>1.4</w:t>
            </w:r>
          </w:p>
        </w:tc>
        <w:tc>
          <w:tcPr>
            <w:tcW w:w="370" w:type="pct"/>
          </w:tcPr>
          <w:p w14:paraId="3359E75C" w14:textId="77777777" w:rsidR="00120717" w:rsidRPr="007A4ECB" w:rsidRDefault="00120717" w:rsidP="00A94807">
            <w:pPr>
              <w:jc w:val="right"/>
              <w:rPr>
                <w:rFonts w:cs="Calibri"/>
                <w:color w:val="000000"/>
                <w:sz w:val="15"/>
                <w:szCs w:val="15"/>
              </w:rPr>
            </w:pPr>
            <w:r w:rsidRPr="007A4ECB">
              <w:rPr>
                <w:rFonts w:cs="Calibri"/>
                <w:color w:val="000000"/>
                <w:sz w:val="15"/>
                <w:szCs w:val="15"/>
              </w:rPr>
              <w:t>1.6</w:t>
            </w:r>
          </w:p>
        </w:tc>
      </w:tr>
      <w:tr w:rsidR="00120717" w:rsidRPr="007A4ECB" w14:paraId="2F07D254" w14:textId="77777777" w:rsidTr="00A94807">
        <w:tc>
          <w:tcPr>
            <w:tcW w:w="2401" w:type="pct"/>
            <w:noWrap/>
            <w:hideMark/>
          </w:tcPr>
          <w:p w14:paraId="706B2547" w14:textId="77777777" w:rsidR="00120717" w:rsidRPr="007A4ECB" w:rsidRDefault="00120717" w:rsidP="00A94807">
            <w:pPr>
              <w:jc w:val="left"/>
              <w:rPr>
                <w:rFonts w:cs="Calibri"/>
                <w:color w:val="000000"/>
                <w:sz w:val="15"/>
                <w:szCs w:val="15"/>
              </w:rPr>
            </w:pPr>
            <w:r w:rsidRPr="007A4ECB">
              <w:rPr>
                <w:rFonts w:cs="Calibri"/>
                <w:color w:val="000000"/>
                <w:sz w:val="15"/>
                <w:szCs w:val="15"/>
              </w:rPr>
              <w:t>14 Precious stones and metals</w:t>
            </w:r>
          </w:p>
        </w:tc>
        <w:tc>
          <w:tcPr>
            <w:tcW w:w="371" w:type="pct"/>
            <w:noWrap/>
            <w:hideMark/>
          </w:tcPr>
          <w:p w14:paraId="598214C5"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2" w:type="pct"/>
            <w:noWrap/>
            <w:hideMark/>
          </w:tcPr>
          <w:p w14:paraId="6E63ACB2" w14:textId="77777777" w:rsidR="00120717" w:rsidRPr="007A4ECB" w:rsidRDefault="00120717" w:rsidP="00A94807">
            <w:pPr>
              <w:jc w:val="right"/>
              <w:rPr>
                <w:rFonts w:cs="Calibri"/>
                <w:color w:val="000000"/>
                <w:sz w:val="15"/>
                <w:szCs w:val="15"/>
              </w:rPr>
            </w:pPr>
            <w:r w:rsidRPr="007A4ECB">
              <w:rPr>
                <w:rFonts w:cs="Calibri"/>
                <w:color w:val="000000"/>
                <w:sz w:val="15"/>
                <w:szCs w:val="15"/>
              </w:rPr>
              <w:t>0.8</w:t>
            </w:r>
          </w:p>
        </w:tc>
        <w:tc>
          <w:tcPr>
            <w:tcW w:w="371" w:type="pct"/>
            <w:noWrap/>
            <w:hideMark/>
          </w:tcPr>
          <w:p w14:paraId="00E50E6C"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2" w:type="pct"/>
            <w:noWrap/>
            <w:hideMark/>
          </w:tcPr>
          <w:p w14:paraId="6E66EC1F" w14:textId="77777777" w:rsidR="00120717" w:rsidRPr="007A4ECB" w:rsidRDefault="00120717" w:rsidP="00A94807">
            <w:pPr>
              <w:jc w:val="right"/>
              <w:rPr>
                <w:rFonts w:cs="Calibri"/>
                <w:color w:val="000000"/>
                <w:sz w:val="15"/>
                <w:szCs w:val="15"/>
              </w:rPr>
            </w:pPr>
            <w:r w:rsidRPr="007A4ECB">
              <w:rPr>
                <w:rFonts w:cs="Calibri"/>
                <w:color w:val="000000"/>
                <w:sz w:val="15"/>
                <w:szCs w:val="15"/>
              </w:rPr>
              <w:t>0.6</w:t>
            </w:r>
          </w:p>
        </w:tc>
        <w:tc>
          <w:tcPr>
            <w:tcW w:w="371" w:type="pct"/>
            <w:noWrap/>
            <w:hideMark/>
          </w:tcPr>
          <w:p w14:paraId="7D7D4583" w14:textId="77777777" w:rsidR="00120717" w:rsidRPr="007A4ECB" w:rsidRDefault="00120717" w:rsidP="00A94807">
            <w:pPr>
              <w:jc w:val="right"/>
              <w:rPr>
                <w:rFonts w:cs="Calibri"/>
                <w:color w:val="000000"/>
                <w:sz w:val="15"/>
                <w:szCs w:val="15"/>
              </w:rPr>
            </w:pPr>
            <w:r w:rsidRPr="007A4ECB">
              <w:rPr>
                <w:rFonts w:cs="Calibri"/>
                <w:color w:val="000000"/>
                <w:sz w:val="15"/>
                <w:szCs w:val="15"/>
              </w:rPr>
              <w:t>0.7</w:t>
            </w:r>
          </w:p>
        </w:tc>
        <w:tc>
          <w:tcPr>
            <w:tcW w:w="372" w:type="pct"/>
            <w:noWrap/>
            <w:hideMark/>
          </w:tcPr>
          <w:p w14:paraId="49E0BFAE" w14:textId="77777777" w:rsidR="00120717" w:rsidRPr="007A4ECB" w:rsidRDefault="00120717" w:rsidP="00A94807">
            <w:pPr>
              <w:jc w:val="right"/>
              <w:rPr>
                <w:rFonts w:cs="Calibri"/>
                <w:color w:val="000000"/>
                <w:sz w:val="15"/>
                <w:szCs w:val="15"/>
              </w:rPr>
            </w:pPr>
            <w:r w:rsidRPr="007A4ECB">
              <w:rPr>
                <w:rFonts w:cs="Calibri"/>
                <w:color w:val="000000"/>
                <w:sz w:val="15"/>
                <w:szCs w:val="15"/>
              </w:rPr>
              <w:t>1.0</w:t>
            </w:r>
          </w:p>
        </w:tc>
        <w:tc>
          <w:tcPr>
            <w:tcW w:w="370" w:type="pct"/>
          </w:tcPr>
          <w:p w14:paraId="4E265140" w14:textId="77777777" w:rsidR="00120717" w:rsidRPr="007A4ECB" w:rsidRDefault="00120717" w:rsidP="00A94807">
            <w:pPr>
              <w:jc w:val="right"/>
              <w:rPr>
                <w:rFonts w:cs="Calibri"/>
                <w:color w:val="000000"/>
                <w:sz w:val="15"/>
                <w:szCs w:val="15"/>
              </w:rPr>
            </w:pPr>
            <w:r w:rsidRPr="007A4ECB">
              <w:rPr>
                <w:rFonts w:cs="Calibri"/>
                <w:color w:val="000000"/>
                <w:sz w:val="15"/>
                <w:szCs w:val="15"/>
              </w:rPr>
              <w:t>0.9</w:t>
            </w:r>
          </w:p>
        </w:tc>
      </w:tr>
      <w:tr w:rsidR="00120717" w:rsidRPr="007A4ECB" w14:paraId="02C83585"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5A1C9E55" w14:textId="77777777" w:rsidR="00120717" w:rsidRPr="007A4ECB" w:rsidRDefault="00120717" w:rsidP="00A94807">
            <w:pPr>
              <w:jc w:val="left"/>
              <w:rPr>
                <w:rFonts w:cs="Calibri"/>
                <w:color w:val="000000"/>
                <w:sz w:val="15"/>
                <w:szCs w:val="15"/>
              </w:rPr>
            </w:pPr>
            <w:r w:rsidRPr="007A4ECB">
              <w:rPr>
                <w:rFonts w:cs="Calibri"/>
                <w:color w:val="000000"/>
                <w:sz w:val="15"/>
                <w:szCs w:val="15"/>
              </w:rPr>
              <w:t>15 Base metals and articles thereof</w:t>
            </w:r>
          </w:p>
        </w:tc>
        <w:tc>
          <w:tcPr>
            <w:tcW w:w="371" w:type="pct"/>
            <w:noWrap/>
            <w:hideMark/>
          </w:tcPr>
          <w:p w14:paraId="16F2F71A" w14:textId="77777777" w:rsidR="00120717" w:rsidRPr="007A4ECB" w:rsidRDefault="00120717" w:rsidP="00A94807">
            <w:pPr>
              <w:jc w:val="right"/>
              <w:rPr>
                <w:rFonts w:cs="Calibri"/>
                <w:color w:val="000000"/>
                <w:sz w:val="15"/>
                <w:szCs w:val="15"/>
              </w:rPr>
            </w:pPr>
            <w:r w:rsidRPr="007A4ECB">
              <w:rPr>
                <w:rFonts w:cs="Calibri"/>
                <w:color w:val="000000"/>
                <w:sz w:val="15"/>
                <w:szCs w:val="15"/>
              </w:rPr>
              <w:t>4.8</w:t>
            </w:r>
          </w:p>
        </w:tc>
        <w:tc>
          <w:tcPr>
            <w:tcW w:w="372" w:type="pct"/>
            <w:noWrap/>
            <w:hideMark/>
          </w:tcPr>
          <w:p w14:paraId="01FE5A38" w14:textId="77777777" w:rsidR="00120717" w:rsidRPr="007A4ECB" w:rsidRDefault="00120717" w:rsidP="00A94807">
            <w:pPr>
              <w:jc w:val="right"/>
              <w:rPr>
                <w:rFonts w:cs="Calibri"/>
                <w:color w:val="000000"/>
                <w:sz w:val="15"/>
                <w:szCs w:val="15"/>
              </w:rPr>
            </w:pPr>
            <w:r w:rsidRPr="007A4ECB">
              <w:rPr>
                <w:rFonts w:cs="Calibri"/>
                <w:color w:val="000000"/>
                <w:sz w:val="15"/>
                <w:szCs w:val="15"/>
              </w:rPr>
              <w:t>4.9</w:t>
            </w:r>
          </w:p>
        </w:tc>
        <w:tc>
          <w:tcPr>
            <w:tcW w:w="371" w:type="pct"/>
            <w:noWrap/>
            <w:hideMark/>
          </w:tcPr>
          <w:p w14:paraId="15D7CB8C" w14:textId="77777777" w:rsidR="00120717" w:rsidRPr="007A4ECB" w:rsidRDefault="00120717" w:rsidP="00A94807">
            <w:pPr>
              <w:jc w:val="right"/>
              <w:rPr>
                <w:rFonts w:cs="Calibri"/>
                <w:color w:val="000000"/>
                <w:sz w:val="15"/>
                <w:szCs w:val="15"/>
              </w:rPr>
            </w:pPr>
            <w:r w:rsidRPr="007A4ECB">
              <w:rPr>
                <w:rFonts w:cs="Calibri"/>
                <w:color w:val="000000"/>
                <w:sz w:val="15"/>
                <w:szCs w:val="15"/>
              </w:rPr>
              <w:t>4.8</w:t>
            </w:r>
          </w:p>
        </w:tc>
        <w:tc>
          <w:tcPr>
            <w:tcW w:w="372" w:type="pct"/>
            <w:noWrap/>
            <w:hideMark/>
          </w:tcPr>
          <w:p w14:paraId="12A86BFE" w14:textId="77777777" w:rsidR="00120717" w:rsidRPr="007A4ECB" w:rsidRDefault="00120717" w:rsidP="00A94807">
            <w:pPr>
              <w:jc w:val="right"/>
              <w:rPr>
                <w:rFonts w:cs="Calibri"/>
                <w:color w:val="000000"/>
                <w:sz w:val="15"/>
                <w:szCs w:val="15"/>
              </w:rPr>
            </w:pPr>
            <w:r w:rsidRPr="007A4ECB">
              <w:rPr>
                <w:rFonts w:cs="Calibri"/>
                <w:color w:val="000000"/>
                <w:sz w:val="15"/>
                <w:szCs w:val="15"/>
              </w:rPr>
              <w:t>4.7</w:t>
            </w:r>
          </w:p>
        </w:tc>
        <w:tc>
          <w:tcPr>
            <w:tcW w:w="371" w:type="pct"/>
            <w:noWrap/>
            <w:hideMark/>
          </w:tcPr>
          <w:p w14:paraId="6243A73E" w14:textId="77777777" w:rsidR="00120717" w:rsidRPr="007A4ECB" w:rsidRDefault="00120717" w:rsidP="00A94807">
            <w:pPr>
              <w:jc w:val="right"/>
              <w:rPr>
                <w:rFonts w:cs="Calibri"/>
                <w:color w:val="000000"/>
                <w:sz w:val="15"/>
                <w:szCs w:val="15"/>
              </w:rPr>
            </w:pPr>
            <w:r w:rsidRPr="007A4ECB">
              <w:rPr>
                <w:rFonts w:cs="Calibri"/>
                <w:color w:val="000000"/>
                <w:sz w:val="15"/>
                <w:szCs w:val="15"/>
              </w:rPr>
              <w:t>4.8</w:t>
            </w:r>
          </w:p>
        </w:tc>
        <w:tc>
          <w:tcPr>
            <w:tcW w:w="372" w:type="pct"/>
            <w:noWrap/>
            <w:hideMark/>
          </w:tcPr>
          <w:p w14:paraId="5873E9A9" w14:textId="77777777" w:rsidR="00120717" w:rsidRPr="007A4ECB" w:rsidRDefault="00120717" w:rsidP="00A94807">
            <w:pPr>
              <w:jc w:val="right"/>
              <w:rPr>
                <w:rFonts w:cs="Calibri"/>
                <w:color w:val="000000"/>
                <w:sz w:val="15"/>
                <w:szCs w:val="15"/>
              </w:rPr>
            </w:pPr>
            <w:r w:rsidRPr="007A4ECB">
              <w:rPr>
                <w:rFonts w:cs="Calibri"/>
                <w:color w:val="000000"/>
                <w:sz w:val="15"/>
                <w:szCs w:val="15"/>
              </w:rPr>
              <w:t>4.8</w:t>
            </w:r>
          </w:p>
        </w:tc>
        <w:tc>
          <w:tcPr>
            <w:tcW w:w="370" w:type="pct"/>
          </w:tcPr>
          <w:p w14:paraId="71D7E710" w14:textId="77777777" w:rsidR="00120717" w:rsidRPr="007A4ECB" w:rsidRDefault="00120717" w:rsidP="00A94807">
            <w:pPr>
              <w:jc w:val="right"/>
              <w:rPr>
                <w:rFonts w:cs="Calibri"/>
                <w:color w:val="000000"/>
                <w:sz w:val="15"/>
                <w:szCs w:val="15"/>
              </w:rPr>
            </w:pPr>
            <w:r w:rsidRPr="007A4ECB">
              <w:rPr>
                <w:rFonts w:cs="Calibri"/>
                <w:color w:val="000000"/>
                <w:sz w:val="15"/>
                <w:szCs w:val="15"/>
              </w:rPr>
              <w:t>5.6</w:t>
            </w:r>
          </w:p>
        </w:tc>
      </w:tr>
      <w:tr w:rsidR="00120717" w:rsidRPr="007A4ECB" w14:paraId="4DFC9092" w14:textId="77777777" w:rsidTr="00A94807">
        <w:tc>
          <w:tcPr>
            <w:tcW w:w="2401" w:type="pct"/>
            <w:noWrap/>
            <w:hideMark/>
          </w:tcPr>
          <w:p w14:paraId="55B9E796" w14:textId="77777777" w:rsidR="00120717" w:rsidRPr="007A4ECB" w:rsidRDefault="00120717" w:rsidP="00A94807">
            <w:pPr>
              <w:ind w:left="227"/>
              <w:jc w:val="left"/>
              <w:rPr>
                <w:rFonts w:cs="Calibri"/>
                <w:color w:val="000000"/>
                <w:sz w:val="15"/>
                <w:szCs w:val="15"/>
              </w:rPr>
            </w:pPr>
            <w:r w:rsidRPr="007A4ECB">
              <w:rPr>
                <w:rFonts w:cs="Calibri"/>
                <w:color w:val="000000"/>
                <w:sz w:val="15"/>
                <w:szCs w:val="15"/>
              </w:rPr>
              <w:t>73 Articles of iron and steel</w:t>
            </w:r>
          </w:p>
        </w:tc>
        <w:tc>
          <w:tcPr>
            <w:tcW w:w="371" w:type="pct"/>
            <w:noWrap/>
            <w:hideMark/>
          </w:tcPr>
          <w:p w14:paraId="57F64F24" w14:textId="77777777" w:rsidR="00120717" w:rsidRPr="007A4ECB" w:rsidRDefault="00120717" w:rsidP="00A94807">
            <w:pPr>
              <w:jc w:val="right"/>
              <w:rPr>
                <w:rFonts w:cs="Calibri"/>
                <w:color w:val="000000"/>
                <w:sz w:val="15"/>
                <w:szCs w:val="15"/>
              </w:rPr>
            </w:pPr>
            <w:r w:rsidRPr="007A4ECB">
              <w:rPr>
                <w:rFonts w:cs="Calibri"/>
                <w:color w:val="000000"/>
                <w:sz w:val="15"/>
                <w:szCs w:val="15"/>
              </w:rPr>
              <w:t>1.8</w:t>
            </w:r>
          </w:p>
        </w:tc>
        <w:tc>
          <w:tcPr>
            <w:tcW w:w="372" w:type="pct"/>
            <w:noWrap/>
            <w:hideMark/>
          </w:tcPr>
          <w:p w14:paraId="1F470D45" w14:textId="77777777" w:rsidR="00120717" w:rsidRPr="007A4ECB" w:rsidRDefault="00120717" w:rsidP="00A94807">
            <w:pPr>
              <w:jc w:val="right"/>
              <w:rPr>
                <w:rFonts w:cs="Calibri"/>
                <w:color w:val="000000"/>
                <w:sz w:val="15"/>
                <w:szCs w:val="15"/>
              </w:rPr>
            </w:pPr>
            <w:r w:rsidRPr="007A4ECB">
              <w:rPr>
                <w:rFonts w:cs="Calibri"/>
                <w:color w:val="000000"/>
                <w:sz w:val="15"/>
                <w:szCs w:val="15"/>
              </w:rPr>
              <w:t>1.9</w:t>
            </w:r>
          </w:p>
        </w:tc>
        <w:tc>
          <w:tcPr>
            <w:tcW w:w="371" w:type="pct"/>
            <w:noWrap/>
            <w:hideMark/>
          </w:tcPr>
          <w:p w14:paraId="03D4C6D8" w14:textId="77777777" w:rsidR="00120717" w:rsidRPr="007A4ECB" w:rsidRDefault="00120717" w:rsidP="00A94807">
            <w:pPr>
              <w:jc w:val="right"/>
              <w:rPr>
                <w:rFonts w:cs="Calibri"/>
                <w:color w:val="000000"/>
                <w:sz w:val="15"/>
                <w:szCs w:val="15"/>
              </w:rPr>
            </w:pPr>
            <w:r w:rsidRPr="007A4ECB">
              <w:rPr>
                <w:rFonts w:cs="Calibri"/>
                <w:color w:val="000000"/>
                <w:sz w:val="15"/>
                <w:szCs w:val="15"/>
              </w:rPr>
              <w:t>1.9</w:t>
            </w:r>
          </w:p>
        </w:tc>
        <w:tc>
          <w:tcPr>
            <w:tcW w:w="372" w:type="pct"/>
            <w:noWrap/>
            <w:hideMark/>
          </w:tcPr>
          <w:p w14:paraId="14DCF77B" w14:textId="77777777" w:rsidR="00120717" w:rsidRPr="007A4ECB" w:rsidRDefault="00120717" w:rsidP="00A94807">
            <w:pPr>
              <w:jc w:val="right"/>
              <w:rPr>
                <w:rFonts w:cs="Calibri"/>
                <w:color w:val="000000"/>
                <w:sz w:val="15"/>
                <w:szCs w:val="15"/>
              </w:rPr>
            </w:pPr>
            <w:r w:rsidRPr="007A4ECB">
              <w:rPr>
                <w:rFonts w:cs="Calibri"/>
                <w:color w:val="000000"/>
                <w:sz w:val="15"/>
                <w:szCs w:val="15"/>
              </w:rPr>
              <w:t>1.9</w:t>
            </w:r>
          </w:p>
        </w:tc>
        <w:tc>
          <w:tcPr>
            <w:tcW w:w="371" w:type="pct"/>
            <w:noWrap/>
            <w:hideMark/>
          </w:tcPr>
          <w:p w14:paraId="7C0EE732" w14:textId="77777777" w:rsidR="00120717" w:rsidRPr="007A4ECB" w:rsidRDefault="00120717" w:rsidP="00A94807">
            <w:pPr>
              <w:jc w:val="right"/>
              <w:rPr>
                <w:rFonts w:cs="Calibri"/>
                <w:color w:val="000000"/>
                <w:sz w:val="15"/>
                <w:szCs w:val="15"/>
              </w:rPr>
            </w:pPr>
            <w:r w:rsidRPr="007A4ECB">
              <w:rPr>
                <w:rFonts w:cs="Calibri"/>
                <w:color w:val="000000"/>
                <w:sz w:val="15"/>
                <w:szCs w:val="15"/>
              </w:rPr>
              <w:t>2.0</w:t>
            </w:r>
          </w:p>
        </w:tc>
        <w:tc>
          <w:tcPr>
            <w:tcW w:w="372" w:type="pct"/>
            <w:noWrap/>
            <w:hideMark/>
          </w:tcPr>
          <w:p w14:paraId="62C86E3C" w14:textId="77777777" w:rsidR="00120717" w:rsidRPr="007A4ECB" w:rsidRDefault="00120717" w:rsidP="00A94807">
            <w:pPr>
              <w:jc w:val="right"/>
              <w:rPr>
                <w:rFonts w:cs="Calibri"/>
                <w:color w:val="000000"/>
                <w:sz w:val="15"/>
                <w:szCs w:val="15"/>
              </w:rPr>
            </w:pPr>
            <w:r w:rsidRPr="007A4ECB">
              <w:rPr>
                <w:rFonts w:cs="Calibri"/>
                <w:color w:val="000000"/>
                <w:sz w:val="15"/>
                <w:szCs w:val="15"/>
              </w:rPr>
              <w:t>2.0</w:t>
            </w:r>
          </w:p>
        </w:tc>
        <w:tc>
          <w:tcPr>
            <w:tcW w:w="370" w:type="pct"/>
          </w:tcPr>
          <w:p w14:paraId="3E39E46A" w14:textId="77777777" w:rsidR="00120717" w:rsidRPr="007A4ECB" w:rsidRDefault="00120717" w:rsidP="00A94807">
            <w:pPr>
              <w:jc w:val="right"/>
              <w:rPr>
                <w:rFonts w:cs="Calibri"/>
                <w:color w:val="000000"/>
                <w:sz w:val="15"/>
                <w:szCs w:val="15"/>
              </w:rPr>
            </w:pPr>
            <w:r w:rsidRPr="007A4ECB">
              <w:rPr>
                <w:rFonts w:cs="Calibri"/>
                <w:color w:val="000000"/>
                <w:sz w:val="15"/>
                <w:szCs w:val="15"/>
              </w:rPr>
              <w:t>2.4</w:t>
            </w:r>
          </w:p>
        </w:tc>
      </w:tr>
      <w:tr w:rsidR="00120717" w:rsidRPr="007A4ECB" w14:paraId="6B4C0DB5"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6D43179D" w14:textId="77777777" w:rsidR="00120717" w:rsidRPr="007A4ECB" w:rsidRDefault="00120717" w:rsidP="00A94807">
            <w:pPr>
              <w:jc w:val="left"/>
              <w:rPr>
                <w:rFonts w:cs="Calibri"/>
                <w:color w:val="000000"/>
                <w:sz w:val="15"/>
                <w:szCs w:val="15"/>
              </w:rPr>
            </w:pPr>
            <w:r w:rsidRPr="007A4ECB">
              <w:rPr>
                <w:rFonts w:cs="Calibri"/>
                <w:color w:val="000000"/>
                <w:sz w:val="15"/>
                <w:szCs w:val="15"/>
              </w:rPr>
              <w:t>16 Machinery, electrical equipment</w:t>
            </w:r>
          </w:p>
        </w:tc>
        <w:tc>
          <w:tcPr>
            <w:tcW w:w="371" w:type="pct"/>
            <w:noWrap/>
            <w:hideMark/>
          </w:tcPr>
          <w:p w14:paraId="41EDD56D" w14:textId="77777777" w:rsidR="00120717" w:rsidRPr="007A4ECB" w:rsidRDefault="00120717" w:rsidP="00A94807">
            <w:pPr>
              <w:jc w:val="right"/>
              <w:rPr>
                <w:rFonts w:cs="Calibri"/>
                <w:color w:val="000000"/>
                <w:sz w:val="15"/>
                <w:szCs w:val="15"/>
              </w:rPr>
            </w:pPr>
            <w:r w:rsidRPr="007A4ECB">
              <w:rPr>
                <w:rFonts w:cs="Calibri"/>
                <w:color w:val="000000"/>
                <w:sz w:val="15"/>
                <w:szCs w:val="15"/>
              </w:rPr>
              <w:t>21.6</w:t>
            </w:r>
          </w:p>
        </w:tc>
        <w:tc>
          <w:tcPr>
            <w:tcW w:w="372" w:type="pct"/>
            <w:noWrap/>
            <w:hideMark/>
          </w:tcPr>
          <w:p w14:paraId="5C2185F2" w14:textId="77777777" w:rsidR="00120717" w:rsidRPr="007A4ECB" w:rsidRDefault="00120717" w:rsidP="00A94807">
            <w:pPr>
              <w:jc w:val="right"/>
              <w:rPr>
                <w:rFonts w:cs="Calibri"/>
                <w:color w:val="000000"/>
                <w:sz w:val="15"/>
                <w:szCs w:val="15"/>
              </w:rPr>
            </w:pPr>
            <w:r w:rsidRPr="007A4ECB">
              <w:rPr>
                <w:rFonts w:cs="Calibri"/>
                <w:color w:val="000000"/>
                <w:sz w:val="15"/>
                <w:szCs w:val="15"/>
              </w:rPr>
              <w:t>21.6</w:t>
            </w:r>
          </w:p>
        </w:tc>
        <w:tc>
          <w:tcPr>
            <w:tcW w:w="371" w:type="pct"/>
            <w:noWrap/>
            <w:hideMark/>
          </w:tcPr>
          <w:p w14:paraId="0D1C7C78" w14:textId="77777777" w:rsidR="00120717" w:rsidRPr="007A4ECB" w:rsidRDefault="00120717" w:rsidP="00A94807">
            <w:pPr>
              <w:jc w:val="right"/>
              <w:rPr>
                <w:rFonts w:cs="Calibri"/>
                <w:color w:val="000000"/>
                <w:sz w:val="15"/>
                <w:szCs w:val="15"/>
              </w:rPr>
            </w:pPr>
            <w:r w:rsidRPr="007A4ECB">
              <w:rPr>
                <w:rFonts w:cs="Calibri"/>
                <w:color w:val="000000"/>
                <w:sz w:val="15"/>
                <w:szCs w:val="15"/>
              </w:rPr>
              <w:t>22.7</w:t>
            </w:r>
          </w:p>
        </w:tc>
        <w:tc>
          <w:tcPr>
            <w:tcW w:w="372" w:type="pct"/>
            <w:noWrap/>
            <w:hideMark/>
          </w:tcPr>
          <w:p w14:paraId="18DFBC1F" w14:textId="77777777" w:rsidR="00120717" w:rsidRPr="007A4ECB" w:rsidRDefault="00120717" w:rsidP="00A94807">
            <w:pPr>
              <w:jc w:val="right"/>
              <w:rPr>
                <w:rFonts w:cs="Calibri"/>
                <w:color w:val="000000"/>
                <w:sz w:val="15"/>
                <w:szCs w:val="15"/>
              </w:rPr>
            </w:pPr>
            <w:r w:rsidRPr="007A4ECB">
              <w:rPr>
                <w:rFonts w:cs="Calibri"/>
                <w:color w:val="000000"/>
                <w:sz w:val="15"/>
                <w:szCs w:val="15"/>
              </w:rPr>
              <w:t>21.9</w:t>
            </w:r>
          </w:p>
        </w:tc>
        <w:tc>
          <w:tcPr>
            <w:tcW w:w="371" w:type="pct"/>
            <w:noWrap/>
            <w:hideMark/>
          </w:tcPr>
          <w:p w14:paraId="5A40B166" w14:textId="77777777" w:rsidR="00120717" w:rsidRPr="007A4ECB" w:rsidRDefault="00120717" w:rsidP="00A94807">
            <w:pPr>
              <w:jc w:val="right"/>
              <w:rPr>
                <w:rFonts w:cs="Calibri"/>
                <w:color w:val="000000"/>
                <w:sz w:val="15"/>
                <w:szCs w:val="15"/>
              </w:rPr>
            </w:pPr>
            <w:r w:rsidRPr="007A4ECB">
              <w:rPr>
                <w:rFonts w:cs="Calibri"/>
                <w:color w:val="000000"/>
                <w:sz w:val="15"/>
                <w:szCs w:val="15"/>
              </w:rPr>
              <w:t>22.9</w:t>
            </w:r>
          </w:p>
        </w:tc>
        <w:tc>
          <w:tcPr>
            <w:tcW w:w="372" w:type="pct"/>
            <w:noWrap/>
            <w:hideMark/>
          </w:tcPr>
          <w:p w14:paraId="7EE28279" w14:textId="77777777" w:rsidR="00120717" w:rsidRPr="007A4ECB" w:rsidRDefault="00120717" w:rsidP="00A94807">
            <w:pPr>
              <w:jc w:val="right"/>
              <w:rPr>
                <w:rFonts w:cs="Calibri"/>
                <w:color w:val="000000"/>
                <w:sz w:val="15"/>
                <w:szCs w:val="15"/>
              </w:rPr>
            </w:pPr>
            <w:r w:rsidRPr="007A4ECB">
              <w:rPr>
                <w:rFonts w:cs="Calibri"/>
                <w:color w:val="000000"/>
                <w:sz w:val="15"/>
                <w:szCs w:val="15"/>
              </w:rPr>
              <w:t>23.7</w:t>
            </w:r>
          </w:p>
        </w:tc>
        <w:tc>
          <w:tcPr>
            <w:tcW w:w="370" w:type="pct"/>
          </w:tcPr>
          <w:p w14:paraId="52B455CA" w14:textId="77777777" w:rsidR="00120717" w:rsidRPr="007A4ECB" w:rsidRDefault="00120717" w:rsidP="00A94807">
            <w:pPr>
              <w:jc w:val="right"/>
              <w:rPr>
                <w:rFonts w:cs="Calibri"/>
                <w:color w:val="000000"/>
                <w:sz w:val="15"/>
                <w:szCs w:val="15"/>
              </w:rPr>
            </w:pPr>
            <w:r w:rsidRPr="007A4ECB">
              <w:rPr>
                <w:rFonts w:cs="Calibri"/>
                <w:color w:val="000000"/>
                <w:sz w:val="15"/>
                <w:szCs w:val="15"/>
              </w:rPr>
              <w:t>22.9</w:t>
            </w:r>
          </w:p>
        </w:tc>
      </w:tr>
      <w:tr w:rsidR="00120717" w:rsidRPr="007A4ECB" w14:paraId="501CAE35" w14:textId="77777777" w:rsidTr="00A94807">
        <w:tc>
          <w:tcPr>
            <w:tcW w:w="2401" w:type="pct"/>
            <w:noWrap/>
            <w:hideMark/>
          </w:tcPr>
          <w:p w14:paraId="5FB6C519" w14:textId="77777777" w:rsidR="00120717" w:rsidRPr="007A4ECB" w:rsidRDefault="00120717" w:rsidP="00A94807">
            <w:pPr>
              <w:ind w:left="227"/>
              <w:jc w:val="left"/>
              <w:rPr>
                <w:rFonts w:cs="Calibri"/>
                <w:color w:val="000000"/>
                <w:sz w:val="15"/>
                <w:szCs w:val="15"/>
              </w:rPr>
            </w:pPr>
            <w:r w:rsidRPr="007A4ECB">
              <w:rPr>
                <w:rFonts w:cs="Calibri"/>
                <w:color w:val="000000"/>
                <w:sz w:val="15"/>
                <w:szCs w:val="15"/>
              </w:rPr>
              <w:t>84 Machinery and mechanical appliances, parts thereof</w:t>
            </w:r>
          </w:p>
        </w:tc>
        <w:tc>
          <w:tcPr>
            <w:tcW w:w="371" w:type="pct"/>
            <w:noWrap/>
            <w:hideMark/>
          </w:tcPr>
          <w:p w14:paraId="01B4431A" w14:textId="77777777" w:rsidR="00120717" w:rsidRPr="007A4ECB" w:rsidRDefault="00120717" w:rsidP="00A94807">
            <w:pPr>
              <w:jc w:val="right"/>
              <w:rPr>
                <w:rFonts w:cs="Calibri"/>
                <w:color w:val="000000"/>
                <w:sz w:val="15"/>
                <w:szCs w:val="15"/>
              </w:rPr>
            </w:pPr>
            <w:r w:rsidRPr="007A4ECB">
              <w:rPr>
                <w:rFonts w:cs="Calibri"/>
                <w:color w:val="000000"/>
                <w:sz w:val="15"/>
                <w:szCs w:val="15"/>
              </w:rPr>
              <w:t>13.3</w:t>
            </w:r>
          </w:p>
        </w:tc>
        <w:tc>
          <w:tcPr>
            <w:tcW w:w="372" w:type="pct"/>
            <w:noWrap/>
            <w:hideMark/>
          </w:tcPr>
          <w:p w14:paraId="7B7EE8F3" w14:textId="77777777" w:rsidR="00120717" w:rsidRPr="007A4ECB" w:rsidRDefault="00120717" w:rsidP="00A94807">
            <w:pPr>
              <w:jc w:val="right"/>
              <w:rPr>
                <w:rFonts w:cs="Calibri"/>
                <w:color w:val="000000"/>
                <w:sz w:val="15"/>
                <w:szCs w:val="15"/>
              </w:rPr>
            </w:pPr>
            <w:r w:rsidRPr="007A4ECB">
              <w:rPr>
                <w:rFonts w:cs="Calibri"/>
                <w:color w:val="000000"/>
                <w:sz w:val="15"/>
                <w:szCs w:val="15"/>
              </w:rPr>
              <w:t>13.3</w:t>
            </w:r>
          </w:p>
        </w:tc>
        <w:tc>
          <w:tcPr>
            <w:tcW w:w="371" w:type="pct"/>
            <w:noWrap/>
            <w:hideMark/>
          </w:tcPr>
          <w:p w14:paraId="4EBBAE6F" w14:textId="77777777" w:rsidR="00120717" w:rsidRPr="007A4ECB" w:rsidRDefault="00120717" w:rsidP="00A94807">
            <w:pPr>
              <w:jc w:val="right"/>
              <w:rPr>
                <w:rFonts w:cs="Calibri"/>
                <w:color w:val="000000"/>
                <w:sz w:val="15"/>
                <w:szCs w:val="15"/>
              </w:rPr>
            </w:pPr>
            <w:r w:rsidRPr="007A4ECB">
              <w:rPr>
                <w:rFonts w:cs="Calibri"/>
                <w:color w:val="000000"/>
                <w:sz w:val="15"/>
                <w:szCs w:val="15"/>
              </w:rPr>
              <w:t>14.4</w:t>
            </w:r>
          </w:p>
        </w:tc>
        <w:tc>
          <w:tcPr>
            <w:tcW w:w="372" w:type="pct"/>
            <w:noWrap/>
            <w:hideMark/>
          </w:tcPr>
          <w:p w14:paraId="111FC858" w14:textId="77777777" w:rsidR="00120717" w:rsidRPr="007A4ECB" w:rsidRDefault="00120717" w:rsidP="00A94807">
            <w:pPr>
              <w:jc w:val="right"/>
              <w:rPr>
                <w:rFonts w:cs="Calibri"/>
                <w:color w:val="000000"/>
                <w:sz w:val="15"/>
                <w:szCs w:val="15"/>
              </w:rPr>
            </w:pPr>
            <w:r w:rsidRPr="007A4ECB">
              <w:rPr>
                <w:rFonts w:cs="Calibri"/>
                <w:color w:val="000000"/>
                <w:sz w:val="15"/>
                <w:szCs w:val="15"/>
              </w:rPr>
              <w:t>13.8</w:t>
            </w:r>
          </w:p>
        </w:tc>
        <w:tc>
          <w:tcPr>
            <w:tcW w:w="371" w:type="pct"/>
            <w:noWrap/>
            <w:hideMark/>
          </w:tcPr>
          <w:p w14:paraId="0B55A0A7" w14:textId="77777777" w:rsidR="00120717" w:rsidRPr="007A4ECB" w:rsidRDefault="00120717" w:rsidP="00A94807">
            <w:pPr>
              <w:jc w:val="right"/>
              <w:rPr>
                <w:rFonts w:cs="Calibri"/>
                <w:color w:val="000000"/>
                <w:sz w:val="15"/>
                <w:szCs w:val="15"/>
              </w:rPr>
            </w:pPr>
            <w:r w:rsidRPr="007A4ECB">
              <w:rPr>
                <w:rFonts w:cs="Calibri"/>
                <w:color w:val="000000"/>
                <w:sz w:val="15"/>
                <w:szCs w:val="15"/>
              </w:rPr>
              <w:t>14.5</w:t>
            </w:r>
          </w:p>
        </w:tc>
        <w:tc>
          <w:tcPr>
            <w:tcW w:w="372" w:type="pct"/>
            <w:noWrap/>
            <w:hideMark/>
          </w:tcPr>
          <w:p w14:paraId="6F00E17C" w14:textId="77777777" w:rsidR="00120717" w:rsidRPr="007A4ECB" w:rsidRDefault="00120717" w:rsidP="00A94807">
            <w:pPr>
              <w:jc w:val="right"/>
              <w:rPr>
                <w:rFonts w:cs="Calibri"/>
                <w:color w:val="000000"/>
                <w:sz w:val="15"/>
                <w:szCs w:val="15"/>
              </w:rPr>
            </w:pPr>
            <w:r w:rsidRPr="007A4ECB">
              <w:rPr>
                <w:rFonts w:cs="Calibri"/>
                <w:color w:val="000000"/>
                <w:sz w:val="15"/>
                <w:szCs w:val="15"/>
              </w:rPr>
              <w:t>14.4</w:t>
            </w:r>
          </w:p>
        </w:tc>
        <w:tc>
          <w:tcPr>
            <w:tcW w:w="370" w:type="pct"/>
          </w:tcPr>
          <w:p w14:paraId="0FD74271" w14:textId="77777777" w:rsidR="00120717" w:rsidRPr="007A4ECB" w:rsidRDefault="00120717" w:rsidP="00A94807">
            <w:pPr>
              <w:jc w:val="right"/>
              <w:rPr>
                <w:rFonts w:cs="Calibri"/>
                <w:color w:val="000000"/>
                <w:sz w:val="15"/>
                <w:szCs w:val="15"/>
              </w:rPr>
            </w:pPr>
            <w:r w:rsidRPr="007A4ECB">
              <w:rPr>
                <w:rFonts w:cs="Calibri"/>
                <w:color w:val="000000"/>
                <w:sz w:val="15"/>
                <w:szCs w:val="15"/>
              </w:rPr>
              <w:t>14.1</w:t>
            </w:r>
          </w:p>
        </w:tc>
      </w:tr>
      <w:tr w:rsidR="00120717" w:rsidRPr="007A4ECB" w14:paraId="492F6DDA"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77541A31" w14:textId="77777777" w:rsidR="00120717" w:rsidRPr="007A4ECB" w:rsidRDefault="00120717" w:rsidP="00A94807">
            <w:pPr>
              <w:tabs>
                <w:tab w:val="left" w:pos="227"/>
              </w:tabs>
              <w:ind w:left="454"/>
              <w:jc w:val="left"/>
              <w:rPr>
                <w:rFonts w:cs="Calibri"/>
                <w:color w:val="000000"/>
                <w:sz w:val="15"/>
                <w:szCs w:val="15"/>
              </w:rPr>
            </w:pPr>
            <w:r w:rsidRPr="007A4ECB">
              <w:rPr>
                <w:rFonts w:cs="Calibri"/>
                <w:color w:val="000000"/>
                <w:sz w:val="15"/>
                <w:szCs w:val="15"/>
              </w:rPr>
              <w:t>8411 Turbojets, turbo-propellers, and other gas turbines</w:t>
            </w:r>
          </w:p>
        </w:tc>
        <w:tc>
          <w:tcPr>
            <w:tcW w:w="371" w:type="pct"/>
            <w:noWrap/>
            <w:hideMark/>
          </w:tcPr>
          <w:p w14:paraId="707DBC10" w14:textId="77777777" w:rsidR="00120717" w:rsidRPr="007A4ECB" w:rsidRDefault="00120717" w:rsidP="00A94807">
            <w:pPr>
              <w:jc w:val="right"/>
              <w:rPr>
                <w:rFonts w:cs="Calibri"/>
                <w:color w:val="000000"/>
                <w:sz w:val="15"/>
                <w:szCs w:val="15"/>
              </w:rPr>
            </w:pPr>
            <w:r w:rsidRPr="007A4ECB">
              <w:rPr>
                <w:rFonts w:cs="Calibri"/>
                <w:color w:val="000000"/>
                <w:sz w:val="15"/>
                <w:szCs w:val="15"/>
              </w:rPr>
              <w:t>1.4</w:t>
            </w:r>
          </w:p>
        </w:tc>
        <w:tc>
          <w:tcPr>
            <w:tcW w:w="372" w:type="pct"/>
            <w:noWrap/>
            <w:hideMark/>
          </w:tcPr>
          <w:p w14:paraId="22A4B22B" w14:textId="77777777" w:rsidR="00120717" w:rsidRPr="007A4ECB" w:rsidRDefault="00120717" w:rsidP="00A94807">
            <w:pPr>
              <w:jc w:val="right"/>
              <w:rPr>
                <w:rFonts w:cs="Calibri"/>
                <w:color w:val="000000"/>
                <w:sz w:val="15"/>
                <w:szCs w:val="15"/>
              </w:rPr>
            </w:pPr>
            <w:r w:rsidRPr="007A4ECB">
              <w:rPr>
                <w:rFonts w:cs="Calibri"/>
                <w:color w:val="000000"/>
                <w:sz w:val="15"/>
                <w:szCs w:val="15"/>
              </w:rPr>
              <w:t>1.6</w:t>
            </w:r>
          </w:p>
        </w:tc>
        <w:tc>
          <w:tcPr>
            <w:tcW w:w="371" w:type="pct"/>
            <w:noWrap/>
            <w:hideMark/>
          </w:tcPr>
          <w:p w14:paraId="2353D4F1" w14:textId="77777777" w:rsidR="00120717" w:rsidRPr="007A4ECB" w:rsidRDefault="00120717" w:rsidP="00A94807">
            <w:pPr>
              <w:jc w:val="right"/>
              <w:rPr>
                <w:rFonts w:cs="Calibri"/>
                <w:color w:val="000000"/>
                <w:sz w:val="15"/>
                <w:szCs w:val="15"/>
              </w:rPr>
            </w:pPr>
            <w:r w:rsidRPr="007A4ECB">
              <w:rPr>
                <w:rFonts w:cs="Calibri"/>
                <w:color w:val="000000"/>
                <w:sz w:val="15"/>
                <w:szCs w:val="15"/>
              </w:rPr>
              <w:t>2.0</w:t>
            </w:r>
          </w:p>
        </w:tc>
        <w:tc>
          <w:tcPr>
            <w:tcW w:w="372" w:type="pct"/>
            <w:noWrap/>
            <w:hideMark/>
          </w:tcPr>
          <w:p w14:paraId="621CF9AA" w14:textId="77777777" w:rsidR="00120717" w:rsidRPr="007A4ECB" w:rsidRDefault="00120717" w:rsidP="00A94807">
            <w:pPr>
              <w:jc w:val="right"/>
              <w:rPr>
                <w:rFonts w:cs="Calibri"/>
                <w:color w:val="000000"/>
                <w:sz w:val="15"/>
                <w:szCs w:val="15"/>
              </w:rPr>
            </w:pPr>
            <w:r w:rsidRPr="007A4ECB">
              <w:rPr>
                <w:rFonts w:cs="Calibri"/>
                <w:color w:val="000000"/>
                <w:sz w:val="15"/>
                <w:szCs w:val="15"/>
              </w:rPr>
              <w:t>1.9</w:t>
            </w:r>
          </w:p>
        </w:tc>
        <w:tc>
          <w:tcPr>
            <w:tcW w:w="371" w:type="pct"/>
            <w:noWrap/>
            <w:hideMark/>
          </w:tcPr>
          <w:p w14:paraId="0CA2DFFA" w14:textId="77777777" w:rsidR="00120717" w:rsidRPr="007A4ECB" w:rsidRDefault="00120717" w:rsidP="00A94807">
            <w:pPr>
              <w:jc w:val="right"/>
              <w:rPr>
                <w:rFonts w:cs="Calibri"/>
                <w:color w:val="000000"/>
                <w:sz w:val="15"/>
                <w:szCs w:val="15"/>
              </w:rPr>
            </w:pPr>
            <w:r w:rsidRPr="007A4ECB">
              <w:rPr>
                <w:rFonts w:cs="Calibri"/>
                <w:color w:val="000000"/>
                <w:sz w:val="15"/>
                <w:szCs w:val="15"/>
              </w:rPr>
              <w:t>2.5</w:t>
            </w:r>
          </w:p>
        </w:tc>
        <w:tc>
          <w:tcPr>
            <w:tcW w:w="372" w:type="pct"/>
            <w:noWrap/>
            <w:hideMark/>
          </w:tcPr>
          <w:p w14:paraId="5F773EE7" w14:textId="77777777" w:rsidR="00120717" w:rsidRPr="007A4ECB" w:rsidRDefault="00120717" w:rsidP="00A94807">
            <w:pPr>
              <w:jc w:val="right"/>
              <w:rPr>
                <w:rFonts w:cs="Calibri"/>
                <w:color w:val="000000"/>
                <w:sz w:val="15"/>
                <w:szCs w:val="15"/>
              </w:rPr>
            </w:pPr>
            <w:r w:rsidRPr="007A4ECB">
              <w:rPr>
                <w:rFonts w:cs="Calibri"/>
                <w:color w:val="000000"/>
                <w:sz w:val="15"/>
                <w:szCs w:val="15"/>
              </w:rPr>
              <w:t>2.0</w:t>
            </w:r>
          </w:p>
        </w:tc>
        <w:tc>
          <w:tcPr>
            <w:tcW w:w="370" w:type="pct"/>
          </w:tcPr>
          <w:p w14:paraId="7CB50FE3" w14:textId="77777777" w:rsidR="00120717" w:rsidRPr="007A4ECB" w:rsidRDefault="00120717" w:rsidP="00A94807">
            <w:pPr>
              <w:jc w:val="right"/>
              <w:rPr>
                <w:rFonts w:cs="Calibri"/>
                <w:color w:val="000000"/>
                <w:sz w:val="15"/>
                <w:szCs w:val="15"/>
              </w:rPr>
            </w:pPr>
            <w:r w:rsidRPr="007A4ECB">
              <w:rPr>
                <w:rFonts w:cs="Calibri"/>
                <w:color w:val="000000"/>
                <w:sz w:val="15"/>
                <w:szCs w:val="15"/>
              </w:rPr>
              <w:t>1.6</w:t>
            </w:r>
          </w:p>
        </w:tc>
      </w:tr>
      <w:tr w:rsidR="00120717" w:rsidRPr="007A4ECB" w14:paraId="3778A8E5" w14:textId="77777777" w:rsidTr="00A94807">
        <w:tc>
          <w:tcPr>
            <w:tcW w:w="2401" w:type="pct"/>
            <w:noWrap/>
            <w:hideMark/>
          </w:tcPr>
          <w:p w14:paraId="3B961DBC" w14:textId="77777777" w:rsidR="00120717" w:rsidRPr="007A4ECB" w:rsidRDefault="00120717" w:rsidP="00A94807">
            <w:pPr>
              <w:tabs>
                <w:tab w:val="left" w:pos="227"/>
              </w:tabs>
              <w:ind w:left="454"/>
              <w:jc w:val="left"/>
              <w:rPr>
                <w:rFonts w:cs="Calibri"/>
                <w:color w:val="000000"/>
                <w:sz w:val="15"/>
                <w:szCs w:val="15"/>
              </w:rPr>
            </w:pPr>
            <w:r w:rsidRPr="007A4ECB">
              <w:rPr>
                <w:rFonts w:cs="Calibri"/>
                <w:color w:val="000000"/>
                <w:sz w:val="15"/>
                <w:szCs w:val="15"/>
              </w:rPr>
              <w:t>8471 Automatic data processing machines and units thereof (..)</w:t>
            </w:r>
          </w:p>
        </w:tc>
        <w:tc>
          <w:tcPr>
            <w:tcW w:w="371" w:type="pct"/>
            <w:noWrap/>
            <w:hideMark/>
          </w:tcPr>
          <w:p w14:paraId="08FF9176" w14:textId="77777777" w:rsidR="00120717" w:rsidRPr="007A4ECB" w:rsidRDefault="00120717" w:rsidP="00A94807">
            <w:pPr>
              <w:jc w:val="right"/>
              <w:rPr>
                <w:rFonts w:cs="Calibri"/>
                <w:color w:val="000000"/>
                <w:sz w:val="15"/>
                <w:szCs w:val="15"/>
              </w:rPr>
            </w:pPr>
            <w:r w:rsidRPr="007A4ECB">
              <w:rPr>
                <w:rFonts w:cs="Calibri"/>
                <w:color w:val="000000"/>
                <w:sz w:val="15"/>
                <w:szCs w:val="15"/>
              </w:rPr>
              <w:t>2.5</w:t>
            </w:r>
          </w:p>
        </w:tc>
        <w:tc>
          <w:tcPr>
            <w:tcW w:w="372" w:type="pct"/>
            <w:noWrap/>
            <w:hideMark/>
          </w:tcPr>
          <w:p w14:paraId="4F7C1F61" w14:textId="77777777" w:rsidR="00120717" w:rsidRPr="007A4ECB" w:rsidRDefault="00120717" w:rsidP="00A94807">
            <w:pPr>
              <w:jc w:val="right"/>
              <w:rPr>
                <w:rFonts w:cs="Calibri"/>
                <w:color w:val="000000"/>
                <w:sz w:val="15"/>
                <w:szCs w:val="15"/>
              </w:rPr>
            </w:pPr>
            <w:r w:rsidRPr="007A4ECB">
              <w:rPr>
                <w:rFonts w:cs="Calibri"/>
                <w:color w:val="000000"/>
                <w:sz w:val="15"/>
                <w:szCs w:val="15"/>
              </w:rPr>
              <w:t>2.1</w:t>
            </w:r>
          </w:p>
        </w:tc>
        <w:tc>
          <w:tcPr>
            <w:tcW w:w="371" w:type="pct"/>
            <w:noWrap/>
            <w:hideMark/>
          </w:tcPr>
          <w:p w14:paraId="67CC98F6" w14:textId="77777777" w:rsidR="00120717" w:rsidRPr="007A4ECB" w:rsidRDefault="00120717" w:rsidP="00A94807">
            <w:pPr>
              <w:jc w:val="right"/>
              <w:rPr>
                <w:rFonts w:cs="Calibri"/>
                <w:color w:val="000000"/>
                <w:sz w:val="15"/>
                <w:szCs w:val="15"/>
              </w:rPr>
            </w:pPr>
            <w:r w:rsidRPr="007A4ECB">
              <w:rPr>
                <w:rFonts w:cs="Calibri"/>
                <w:color w:val="000000"/>
                <w:sz w:val="15"/>
                <w:szCs w:val="15"/>
              </w:rPr>
              <w:t>2.3</w:t>
            </w:r>
          </w:p>
        </w:tc>
        <w:tc>
          <w:tcPr>
            <w:tcW w:w="372" w:type="pct"/>
            <w:noWrap/>
            <w:hideMark/>
          </w:tcPr>
          <w:p w14:paraId="2F151592" w14:textId="77777777" w:rsidR="00120717" w:rsidRPr="007A4ECB" w:rsidRDefault="00120717" w:rsidP="00A94807">
            <w:pPr>
              <w:jc w:val="right"/>
              <w:rPr>
                <w:rFonts w:cs="Calibri"/>
                <w:color w:val="000000"/>
                <w:sz w:val="15"/>
                <w:szCs w:val="15"/>
              </w:rPr>
            </w:pPr>
            <w:r w:rsidRPr="007A4ECB">
              <w:rPr>
                <w:rFonts w:cs="Calibri"/>
                <w:color w:val="000000"/>
                <w:sz w:val="15"/>
                <w:szCs w:val="15"/>
              </w:rPr>
              <w:t>2.1</w:t>
            </w:r>
          </w:p>
        </w:tc>
        <w:tc>
          <w:tcPr>
            <w:tcW w:w="371" w:type="pct"/>
            <w:noWrap/>
            <w:hideMark/>
          </w:tcPr>
          <w:p w14:paraId="56E953B6" w14:textId="77777777" w:rsidR="00120717" w:rsidRPr="007A4ECB" w:rsidRDefault="00120717" w:rsidP="00A94807">
            <w:pPr>
              <w:jc w:val="right"/>
              <w:rPr>
                <w:rFonts w:cs="Calibri"/>
                <w:color w:val="000000"/>
                <w:sz w:val="15"/>
                <w:szCs w:val="15"/>
              </w:rPr>
            </w:pPr>
            <w:r w:rsidRPr="007A4ECB">
              <w:rPr>
                <w:rFonts w:cs="Calibri"/>
                <w:color w:val="000000"/>
                <w:sz w:val="15"/>
                <w:szCs w:val="15"/>
              </w:rPr>
              <w:t>2.2</w:t>
            </w:r>
          </w:p>
        </w:tc>
        <w:tc>
          <w:tcPr>
            <w:tcW w:w="372" w:type="pct"/>
            <w:noWrap/>
            <w:hideMark/>
          </w:tcPr>
          <w:p w14:paraId="503D4682" w14:textId="77777777" w:rsidR="00120717" w:rsidRPr="007A4ECB" w:rsidRDefault="00120717" w:rsidP="00A94807">
            <w:pPr>
              <w:jc w:val="right"/>
              <w:rPr>
                <w:rFonts w:cs="Calibri"/>
                <w:color w:val="000000"/>
                <w:sz w:val="15"/>
                <w:szCs w:val="15"/>
              </w:rPr>
            </w:pPr>
            <w:r w:rsidRPr="007A4ECB">
              <w:rPr>
                <w:rFonts w:cs="Calibri"/>
                <w:color w:val="000000"/>
                <w:sz w:val="15"/>
                <w:szCs w:val="15"/>
              </w:rPr>
              <w:t>2.6</w:t>
            </w:r>
          </w:p>
        </w:tc>
        <w:tc>
          <w:tcPr>
            <w:tcW w:w="370" w:type="pct"/>
          </w:tcPr>
          <w:p w14:paraId="59C6B773" w14:textId="77777777" w:rsidR="00120717" w:rsidRPr="007A4ECB" w:rsidRDefault="00120717" w:rsidP="00A94807">
            <w:pPr>
              <w:jc w:val="right"/>
              <w:rPr>
                <w:rFonts w:cs="Calibri"/>
                <w:color w:val="000000"/>
                <w:sz w:val="15"/>
                <w:szCs w:val="15"/>
              </w:rPr>
            </w:pPr>
            <w:r w:rsidRPr="007A4ECB">
              <w:rPr>
                <w:rFonts w:cs="Calibri"/>
                <w:color w:val="000000"/>
                <w:sz w:val="15"/>
                <w:szCs w:val="15"/>
              </w:rPr>
              <w:t>2.3</w:t>
            </w:r>
          </w:p>
        </w:tc>
      </w:tr>
      <w:tr w:rsidR="00120717" w:rsidRPr="007A4ECB" w14:paraId="55C4884A"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2AF4252C" w14:textId="77777777" w:rsidR="00120717" w:rsidRPr="007A4ECB" w:rsidRDefault="00120717" w:rsidP="00A94807">
            <w:pPr>
              <w:ind w:left="227"/>
              <w:jc w:val="left"/>
              <w:rPr>
                <w:rFonts w:cs="Calibri"/>
                <w:color w:val="000000"/>
                <w:sz w:val="15"/>
                <w:szCs w:val="15"/>
              </w:rPr>
            </w:pPr>
            <w:r w:rsidRPr="007A4ECB">
              <w:rPr>
                <w:rFonts w:cs="Calibri"/>
                <w:color w:val="000000"/>
                <w:sz w:val="15"/>
                <w:szCs w:val="15"/>
              </w:rPr>
              <w:t>85 Electrical machineries and parts thereof</w:t>
            </w:r>
          </w:p>
        </w:tc>
        <w:tc>
          <w:tcPr>
            <w:tcW w:w="371" w:type="pct"/>
            <w:noWrap/>
            <w:hideMark/>
          </w:tcPr>
          <w:p w14:paraId="7342C380" w14:textId="77777777" w:rsidR="00120717" w:rsidRPr="007A4ECB" w:rsidRDefault="00120717" w:rsidP="00A94807">
            <w:pPr>
              <w:jc w:val="right"/>
              <w:rPr>
                <w:rFonts w:cs="Calibri"/>
                <w:color w:val="000000"/>
                <w:sz w:val="15"/>
                <w:szCs w:val="15"/>
              </w:rPr>
            </w:pPr>
            <w:r w:rsidRPr="007A4ECB">
              <w:rPr>
                <w:rFonts w:cs="Calibri"/>
                <w:color w:val="000000"/>
                <w:sz w:val="15"/>
                <w:szCs w:val="15"/>
              </w:rPr>
              <w:t>8.3</w:t>
            </w:r>
          </w:p>
        </w:tc>
        <w:tc>
          <w:tcPr>
            <w:tcW w:w="372" w:type="pct"/>
            <w:noWrap/>
            <w:hideMark/>
          </w:tcPr>
          <w:p w14:paraId="63530061" w14:textId="77777777" w:rsidR="00120717" w:rsidRPr="007A4ECB" w:rsidRDefault="00120717" w:rsidP="00A94807">
            <w:pPr>
              <w:jc w:val="right"/>
              <w:rPr>
                <w:rFonts w:cs="Calibri"/>
                <w:color w:val="000000"/>
                <w:sz w:val="15"/>
                <w:szCs w:val="15"/>
              </w:rPr>
            </w:pPr>
            <w:r w:rsidRPr="007A4ECB">
              <w:rPr>
                <w:rFonts w:cs="Calibri"/>
                <w:color w:val="000000"/>
                <w:sz w:val="15"/>
                <w:szCs w:val="15"/>
              </w:rPr>
              <w:t>8.3</w:t>
            </w:r>
          </w:p>
        </w:tc>
        <w:tc>
          <w:tcPr>
            <w:tcW w:w="371" w:type="pct"/>
            <w:noWrap/>
            <w:hideMark/>
          </w:tcPr>
          <w:p w14:paraId="02428540" w14:textId="77777777" w:rsidR="00120717" w:rsidRPr="007A4ECB" w:rsidRDefault="00120717" w:rsidP="00A94807">
            <w:pPr>
              <w:jc w:val="right"/>
              <w:rPr>
                <w:rFonts w:cs="Calibri"/>
                <w:color w:val="000000"/>
                <w:sz w:val="15"/>
                <w:szCs w:val="15"/>
              </w:rPr>
            </w:pPr>
            <w:r w:rsidRPr="007A4ECB">
              <w:rPr>
                <w:rFonts w:cs="Calibri"/>
                <w:color w:val="000000"/>
                <w:sz w:val="15"/>
                <w:szCs w:val="15"/>
              </w:rPr>
              <w:t>8.3</w:t>
            </w:r>
          </w:p>
        </w:tc>
        <w:tc>
          <w:tcPr>
            <w:tcW w:w="372" w:type="pct"/>
            <w:noWrap/>
            <w:hideMark/>
          </w:tcPr>
          <w:p w14:paraId="4CFE8CF7" w14:textId="77777777" w:rsidR="00120717" w:rsidRPr="007A4ECB" w:rsidRDefault="00120717" w:rsidP="00A94807">
            <w:pPr>
              <w:jc w:val="right"/>
              <w:rPr>
                <w:rFonts w:cs="Calibri"/>
                <w:color w:val="000000"/>
                <w:sz w:val="15"/>
                <w:szCs w:val="15"/>
              </w:rPr>
            </w:pPr>
            <w:r w:rsidRPr="007A4ECB">
              <w:rPr>
                <w:rFonts w:cs="Calibri"/>
                <w:color w:val="000000"/>
                <w:sz w:val="15"/>
                <w:szCs w:val="15"/>
              </w:rPr>
              <w:t>8.1</w:t>
            </w:r>
          </w:p>
        </w:tc>
        <w:tc>
          <w:tcPr>
            <w:tcW w:w="371" w:type="pct"/>
            <w:noWrap/>
            <w:hideMark/>
          </w:tcPr>
          <w:p w14:paraId="5C72B9B8" w14:textId="77777777" w:rsidR="00120717" w:rsidRPr="007A4ECB" w:rsidRDefault="00120717" w:rsidP="00A94807">
            <w:pPr>
              <w:jc w:val="right"/>
              <w:rPr>
                <w:rFonts w:cs="Calibri"/>
                <w:color w:val="000000"/>
                <w:sz w:val="15"/>
                <w:szCs w:val="15"/>
              </w:rPr>
            </w:pPr>
            <w:r w:rsidRPr="007A4ECB">
              <w:rPr>
                <w:rFonts w:cs="Calibri"/>
                <w:color w:val="000000"/>
                <w:sz w:val="15"/>
                <w:szCs w:val="15"/>
              </w:rPr>
              <w:t>8.4</w:t>
            </w:r>
          </w:p>
        </w:tc>
        <w:tc>
          <w:tcPr>
            <w:tcW w:w="372" w:type="pct"/>
            <w:noWrap/>
            <w:hideMark/>
          </w:tcPr>
          <w:p w14:paraId="384BBE75" w14:textId="77777777" w:rsidR="00120717" w:rsidRPr="007A4ECB" w:rsidRDefault="00120717" w:rsidP="00A94807">
            <w:pPr>
              <w:jc w:val="right"/>
              <w:rPr>
                <w:rFonts w:cs="Calibri"/>
                <w:color w:val="000000"/>
                <w:sz w:val="15"/>
                <w:szCs w:val="15"/>
              </w:rPr>
            </w:pPr>
            <w:r w:rsidRPr="007A4ECB">
              <w:rPr>
                <w:rFonts w:cs="Calibri"/>
                <w:color w:val="000000"/>
                <w:sz w:val="15"/>
                <w:szCs w:val="15"/>
              </w:rPr>
              <w:t>9.3</w:t>
            </w:r>
          </w:p>
        </w:tc>
        <w:tc>
          <w:tcPr>
            <w:tcW w:w="370" w:type="pct"/>
          </w:tcPr>
          <w:p w14:paraId="4CD65696" w14:textId="77777777" w:rsidR="00120717" w:rsidRPr="007A4ECB" w:rsidRDefault="00120717" w:rsidP="00A94807">
            <w:pPr>
              <w:jc w:val="right"/>
              <w:rPr>
                <w:rFonts w:cs="Calibri"/>
                <w:color w:val="000000"/>
                <w:sz w:val="15"/>
                <w:szCs w:val="15"/>
              </w:rPr>
            </w:pPr>
            <w:r w:rsidRPr="007A4ECB">
              <w:rPr>
                <w:rFonts w:cs="Calibri"/>
                <w:color w:val="000000"/>
                <w:sz w:val="15"/>
                <w:szCs w:val="15"/>
              </w:rPr>
              <w:t>8.9</w:t>
            </w:r>
          </w:p>
        </w:tc>
      </w:tr>
      <w:tr w:rsidR="00120717" w:rsidRPr="007A4ECB" w14:paraId="7FACA75D" w14:textId="77777777" w:rsidTr="00A94807">
        <w:tc>
          <w:tcPr>
            <w:tcW w:w="2401" w:type="pct"/>
            <w:noWrap/>
            <w:hideMark/>
          </w:tcPr>
          <w:p w14:paraId="6FAD69E1" w14:textId="77777777" w:rsidR="00120717" w:rsidRPr="007A4ECB" w:rsidRDefault="00120717" w:rsidP="00A94807">
            <w:pPr>
              <w:tabs>
                <w:tab w:val="left" w:pos="227"/>
              </w:tabs>
              <w:ind w:left="454"/>
              <w:jc w:val="left"/>
              <w:rPr>
                <w:rFonts w:cs="Calibri"/>
                <w:color w:val="000000"/>
                <w:sz w:val="15"/>
                <w:szCs w:val="15"/>
              </w:rPr>
            </w:pPr>
            <w:r w:rsidRPr="007A4ECB">
              <w:rPr>
                <w:rFonts w:cs="Calibri"/>
                <w:color w:val="000000"/>
                <w:sz w:val="15"/>
                <w:szCs w:val="15"/>
              </w:rPr>
              <w:t>8517 Telephone sets, including telephones for cellular networks (..)</w:t>
            </w:r>
          </w:p>
        </w:tc>
        <w:tc>
          <w:tcPr>
            <w:tcW w:w="371" w:type="pct"/>
            <w:noWrap/>
            <w:hideMark/>
          </w:tcPr>
          <w:p w14:paraId="6AC3C543" w14:textId="77777777" w:rsidR="00120717" w:rsidRPr="007A4ECB" w:rsidRDefault="00120717" w:rsidP="00A94807">
            <w:pPr>
              <w:jc w:val="right"/>
              <w:rPr>
                <w:rFonts w:cs="Calibri"/>
                <w:color w:val="000000"/>
                <w:sz w:val="15"/>
                <w:szCs w:val="15"/>
              </w:rPr>
            </w:pPr>
            <w:r w:rsidRPr="007A4ECB">
              <w:rPr>
                <w:rFonts w:cs="Calibri"/>
                <w:color w:val="000000"/>
                <w:sz w:val="15"/>
                <w:szCs w:val="15"/>
              </w:rPr>
              <w:t>2.7</w:t>
            </w:r>
          </w:p>
        </w:tc>
        <w:tc>
          <w:tcPr>
            <w:tcW w:w="372" w:type="pct"/>
            <w:noWrap/>
            <w:hideMark/>
          </w:tcPr>
          <w:p w14:paraId="73738429" w14:textId="77777777" w:rsidR="00120717" w:rsidRPr="007A4ECB" w:rsidRDefault="00120717" w:rsidP="00A94807">
            <w:pPr>
              <w:jc w:val="right"/>
              <w:rPr>
                <w:rFonts w:cs="Calibri"/>
                <w:color w:val="000000"/>
                <w:sz w:val="15"/>
                <w:szCs w:val="15"/>
              </w:rPr>
            </w:pPr>
            <w:r w:rsidRPr="007A4ECB">
              <w:rPr>
                <w:rFonts w:cs="Calibri"/>
                <w:color w:val="000000"/>
                <w:sz w:val="15"/>
                <w:szCs w:val="15"/>
              </w:rPr>
              <w:t>2.8</w:t>
            </w:r>
          </w:p>
        </w:tc>
        <w:tc>
          <w:tcPr>
            <w:tcW w:w="371" w:type="pct"/>
            <w:noWrap/>
            <w:hideMark/>
          </w:tcPr>
          <w:p w14:paraId="31A21D85" w14:textId="77777777" w:rsidR="00120717" w:rsidRPr="007A4ECB" w:rsidRDefault="00120717" w:rsidP="00A94807">
            <w:pPr>
              <w:jc w:val="right"/>
              <w:rPr>
                <w:rFonts w:cs="Calibri"/>
                <w:color w:val="000000"/>
                <w:sz w:val="15"/>
                <w:szCs w:val="15"/>
              </w:rPr>
            </w:pPr>
            <w:r w:rsidRPr="007A4ECB">
              <w:rPr>
                <w:rFonts w:cs="Calibri"/>
                <w:color w:val="000000"/>
                <w:sz w:val="15"/>
                <w:szCs w:val="15"/>
              </w:rPr>
              <w:t>2.8</w:t>
            </w:r>
          </w:p>
        </w:tc>
        <w:tc>
          <w:tcPr>
            <w:tcW w:w="372" w:type="pct"/>
            <w:noWrap/>
            <w:hideMark/>
          </w:tcPr>
          <w:p w14:paraId="33533E46" w14:textId="77777777" w:rsidR="00120717" w:rsidRPr="007A4ECB" w:rsidRDefault="00120717" w:rsidP="00A94807">
            <w:pPr>
              <w:jc w:val="right"/>
              <w:rPr>
                <w:rFonts w:cs="Calibri"/>
                <w:color w:val="000000"/>
                <w:sz w:val="15"/>
                <w:szCs w:val="15"/>
              </w:rPr>
            </w:pPr>
            <w:r w:rsidRPr="007A4ECB">
              <w:rPr>
                <w:rFonts w:cs="Calibri"/>
                <w:color w:val="000000"/>
                <w:sz w:val="15"/>
                <w:szCs w:val="15"/>
              </w:rPr>
              <w:t>2.8</w:t>
            </w:r>
          </w:p>
        </w:tc>
        <w:tc>
          <w:tcPr>
            <w:tcW w:w="371" w:type="pct"/>
            <w:noWrap/>
            <w:hideMark/>
          </w:tcPr>
          <w:p w14:paraId="1B88DDCC" w14:textId="77777777" w:rsidR="00120717" w:rsidRPr="007A4ECB" w:rsidRDefault="00120717" w:rsidP="00A94807">
            <w:pPr>
              <w:jc w:val="right"/>
              <w:rPr>
                <w:rFonts w:cs="Calibri"/>
                <w:color w:val="000000"/>
                <w:sz w:val="15"/>
                <w:szCs w:val="15"/>
              </w:rPr>
            </w:pPr>
            <w:r w:rsidRPr="007A4ECB">
              <w:rPr>
                <w:rFonts w:cs="Calibri"/>
                <w:color w:val="000000"/>
                <w:sz w:val="15"/>
                <w:szCs w:val="15"/>
              </w:rPr>
              <w:t>2.8</w:t>
            </w:r>
          </w:p>
        </w:tc>
        <w:tc>
          <w:tcPr>
            <w:tcW w:w="372" w:type="pct"/>
            <w:noWrap/>
            <w:hideMark/>
          </w:tcPr>
          <w:p w14:paraId="6CB190D5" w14:textId="77777777" w:rsidR="00120717" w:rsidRPr="007A4ECB" w:rsidRDefault="00120717" w:rsidP="00A94807">
            <w:pPr>
              <w:jc w:val="right"/>
              <w:rPr>
                <w:rFonts w:cs="Calibri"/>
                <w:color w:val="000000"/>
                <w:sz w:val="15"/>
                <w:szCs w:val="15"/>
              </w:rPr>
            </w:pPr>
            <w:r w:rsidRPr="007A4ECB">
              <w:rPr>
                <w:rFonts w:cs="Calibri"/>
                <w:color w:val="000000"/>
                <w:sz w:val="15"/>
                <w:szCs w:val="15"/>
              </w:rPr>
              <w:t>2.9</w:t>
            </w:r>
          </w:p>
        </w:tc>
        <w:tc>
          <w:tcPr>
            <w:tcW w:w="370" w:type="pct"/>
          </w:tcPr>
          <w:p w14:paraId="730E1E48" w14:textId="77777777" w:rsidR="00120717" w:rsidRPr="007A4ECB" w:rsidRDefault="00120717" w:rsidP="00A94807">
            <w:pPr>
              <w:jc w:val="right"/>
              <w:rPr>
                <w:rFonts w:cs="Calibri"/>
                <w:color w:val="000000"/>
                <w:sz w:val="15"/>
                <w:szCs w:val="15"/>
              </w:rPr>
            </w:pPr>
            <w:r w:rsidRPr="007A4ECB">
              <w:rPr>
                <w:rFonts w:cs="Calibri"/>
                <w:color w:val="000000"/>
                <w:sz w:val="15"/>
                <w:szCs w:val="15"/>
              </w:rPr>
              <w:t>2.6</w:t>
            </w:r>
          </w:p>
        </w:tc>
      </w:tr>
      <w:tr w:rsidR="00120717" w:rsidRPr="007A4ECB" w14:paraId="777FD8E7"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1D9D9AB1" w14:textId="77777777" w:rsidR="00120717" w:rsidRPr="007A4ECB" w:rsidRDefault="00120717" w:rsidP="00A94807">
            <w:pPr>
              <w:jc w:val="left"/>
              <w:rPr>
                <w:rFonts w:cs="Calibri"/>
                <w:color w:val="000000"/>
                <w:sz w:val="15"/>
                <w:szCs w:val="15"/>
              </w:rPr>
            </w:pPr>
            <w:r w:rsidRPr="007A4ECB">
              <w:rPr>
                <w:rFonts w:cs="Calibri"/>
                <w:color w:val="000000"/>
                <w:sz w:val="15"/>
                <w:szCs w:val="15"/>
              </w:rPr>
              <w:t>17 Transport equipment</w:t>
            </w:r>
          </w:p>
        </w:tc>
        <w:tc>
          <w:tcPr>
            <w:tcW w:w="371" w:type="pct"/>
            <w:noWrap/>
            <w:hideMark/>
          </w:tcPr>
          <w:p w14:paraId="42442E2D" w14:textId="77777777" w:rsidR="00120717" w:rsidRPr="007A4ECB" w:rsidRDefault="00120717" w:rsidP="00A94807">
            <w:pPr>
              <w:jc w:val="right"/>
              <w:rPr>
                <w:rFonts w:cs="Calibri"/>
                <w:color w:val="000000"/>
                <w:sz w:val="15"/>
                <w:szCs w:val="15"/>
              </w:rPr>
            </w:pPr>
            <w:r w:rsidRPr="007A4ECB">
              <w:rPr>
                <w:rFonts w:cs="Calibri"/>
                <w:color w:val="000000"/>
                <w:sz w:val="15"/>
                <w:szCs w:val="15"/>
              </w:rPr>
              <w:t>18.1</w:t>
            </w:r>
          </w:p>
        </w:tc>
        <w:tc>
          <w:tcPr>
            <w:tcW w:w="372" w:type="pct"/>
            <w:noWrap/>
            <w:hideMark/>
          </w:tcPr>
          <w:p w14:paraId="4CAC3ED3" w14:textId="77777777" w:rsidR="00120717" w:rsidRPr="007A4ECB" w:rsidRDefault="00120717" w:rsidP="00A94807">
            <w:pPr>
              <w:jc w:val="right"/>
              <w:rPr>
                <w:rFonts w:cs="Calibri"/>
                <w:color w:val="000000"/>
                <w:sz w:val="15"/>
                <w:szCs w:val="15"/>
              </w:rPr>
            </w:pPr>
            <w:r w:rsidRPr="007A4ECB">
              <w:rPr>
                <w:rFonts w:cs="Calibri"/>
                <w:color w:val="000000"/>
                <w:sz w:val="15"/>
                <w:szCs w:val="15"/>
              </w:rPr>
              <w:t>18.7</w:t>
            </w:r>
          </w:p>
        </w:tc>
        <w:tc>
          <w:tcPr>
            <w:tcW w:w="371" w:type="pct"/>
            <w:noWrap/>
            <w:hideMark/>
          </w:tcPr>
          <w:p w14:paraId="06F313A0" w14:textId="77777777" w:rsidR="00120717" w:rsidRPr="007A4ECB" w:rsidRDefault="00120717" w:rsidP="00A94807">
            <w:pPr>
              <w:jc w:val="right"/>
              <w:rPr>
                <w:rFonts w:cs="Calibri"/>
                <w:color w:val="000000"/>
                <w:sz w:val="15"/>
                <w:szCs w:val="15"/>
              </w:rPr>
            </w:pPr>
            <w:r w:rsidRPr="007A4ECB">
              <w:rPr>
                <w:rFonts w:cs="Calibri"/>
                <w:color w:val="000000"/>
                <w:sz w:val="15"/>
                <w:szCs w:val="15"/>
              </w:rPr>
              <w:t>18.2</w:t>
            </w:r>
          </w:p>
        </w:tc>
        <w:tc>
          <w:tcPr>
            <w:tcW w:w="372" w:type="pct"/>
            <w:noWrap/>
            <w:hideMark/>
          </w:tcPr>
          <w:p w14:paraId="364494FA" w14:textId="77777777" w:rsidR="00120717" w:rsidRPr="007A4ECB" w:rsidRDefault="00120717" w:rsidP="00A94807">
            <w:pPr>
              <w:jc w:val="right"/>
              <w:rPr>
                <w:rFonts w:cs="Calibri"/>
                <w:color w:val="000000"/>
                <w:sz w:val="15"/>
                <w:szCs w:val="15"/>
              </w:rPr>
            </w:pPr>
            <w:r w:rsidRPr="007A4ECB">
              <w:rPr>
                <w:rFonts w:cs="Calibri"/>
                <w:color w:val="000000"/>
                <w:sz w:val="15"/>
                <w:szCs w:val="15"/>
              </w:rPr>
              <w:t>17.1</w:t>
            </w:r>
          </w:p>
        </w:tc>
        <w:tc>
          <w:tcPr>
            <w:tcW w:w="371" w:type="pct"/>
            <w:noWrap/>
            <w:hideMark/>
          </w:tcPr>
          <w:p w14:paraId="001408FA" w14:textId="77777777" w:rsidR="00120717" w:rsidRPr="007A4ECB" w:rsidRDefault="00120717" w:rsidP="00A94807">
            <w:pPr>
              <w:jc w:val="right"/>
              <w:rPr>
                <w:rFonts w:cs="Calibri"/>
                <w:color w:val="000000"/>
                <w:sz w:val="15"/>
                <w:szCs w:val="15"/>
              </w:rPr>
            </w:pPr>
            <w:r w:rsidRPr="007A4ECB">
              <w:rPr>
                <w:rFonts w:cs="Calibri"/>
                <w:color w:val="000000"/>
                <w:sz w:val="15"/>
                <w:szCs w:val="15"/>
              </w:rPr>
              <w:t>16.2</w:t>
            </w:r>
          </w:p>
        </w:tc>
        <w:tc>
          <w:tcPr>
            <w:tcW w:w="372" w:type="pct"/>
            <w:noWrap/>
            <w:hideMark/>
          </w:tcPr>
          <w:p w14:paraId="1BA8FD3E" w14:textId="77777777" w:rsidR="00120717" w:rsidRPr="007A4ECB" w:rsidRDefault="00120717" w:rsidP="00A94807">
            <w:pPr>
              <w:jc w:val="right"/>
              <w:rPr>
                <w:rFonts w:cs="Calibri"/>
                <w:color w:val="000000"/>
                <w:sz w:val="15"/>
                <w:szCs w:val="15"/>
              </w:rPr>
            </w:pPr>
            <w:r w:rsidRPr="007A4ECB">
              <w:rPr>
                <w:rFonts w:cs="Calibri"/>
                <w:color w:val="000000"/>
                <w:sz w:val="15"/>
                <w:szCs w:val="15"/>
              </w:rPr>
              <w:t>13.5</w:t>
            </w:r>
          </w:p>
        </w:tc>
        <w:tc>
          <w:tcPr>
            <w:tcW w:w="370" w:type="pct"/>
          </w:tcPr>
          <w:p w14:paraId="3D0803A0" w14:textId="77777777" w:rsidR="00120717" w:rsidRPr="007A4ECB" w:rsidRDefault="00120717" w:rsidP="00A94807">
            <w:pPr>
              <w:jc w:val="right"/>
              <w:rPr>
                <w:rFonts w:cs="Calibri"/>
                <w:color w:val="000000"/>
                <w:sz w:val="15"/>
                <w:szCs w:val="15"/>
              </w:rPr>
            </w:pPr>
            <w:r w:rsidRPr="007A4ECB">
              <w:rPr>
                <w:rFonts w:cs="Calibri"/>
                <w:color w:val="000000"/>
                <w:sz w:val="15"/>
                <w:szCs w:val="15"/>
              </w:rPr>
              <w:t>16.0</w:t>
            </w:r>
          </w:p>
        </w:tc>
      </w:tr>
      <w:tr w:rsidR="00120717" w:rsidRPr="007A4ECB" w14:paraId="502CA5C9" w14:textId="77777777" w:rsidTr="00A94807">
        <w:tc>
          <w:tcPr>
            <w:tcW w:w="2401" w:type="pct"/>
            <w:noWrap/>
            <w:hideMark/>
          </w:tcPr>
          <w:p w14:paraId="7EB11691" w14:textId="77777777" w:rsidR="00120717" w:rsidRPr="007A4ECB" w:rsidRDefault="00120717" w:rsidP="00A94807">
            <w:pPr>
              <w:ind w:left="227"/>
              <w:jc w:val="left"/>
              <w:rPr>
                <w:rFonts w:cs="Calibri"/>
                <w:color w:val="000000"/>
                <w:sz w:val="15"/>
                <w:szCs w:val="15"/>
              </w:rPr>
            </w:pPr>
            <w:r w:rsidRPr="007A4ECB">
              <w:rPr>
                <w:rFonts w:cs="Calibri"/>
                <w:color w:val="000000"/>
                <w:sz w:val="15"/>
                <w:szCs w:val="15"/>
              </w:rPr>
              <w:t>87 Vehicles other than railway, tramway</w:t>
            </w:r>
          </w:p>
        </w:tc>
        <w:tc>
          <w:tcPr>
            <w:tcW w:w="371" w:type="pct"/>
            <w:noWrap/>
            <w:hideMark/>
          </w:tcPr>
          <w:p w14:paraId="6ABBB43B" w14:textId="77777777" w:rsidR="00120717" w:rsidRPr="007A4ECB" w:rsidRDefault="00120717" w:rsidP="00A94807">
            <w:pPr>
              <w:jc w:val="right"/>
              <w:rPr>
                <w:rFonts w:cs="Calibri"/>
                <w:color w:val="000000"/>
                <w:sz w:val="15"/>
                <w:szCs w:val="15"/>
              </w:rPr>
            </w:pPr>
            <w:r w:rsidRPr="007A4ECB">
              <w:rPr>
                <w:rFonts w:cs="Calibri"/>
                <w:color w:val="000000"/>
                <w:sz w:val="15"/>
                <w:szCs w:val="15"/>
              </w:rPr>
              <w:t>13.4</w:t>
            </w:r>
          </w:p>
        </w:tc>
        <w:tc>
          <w:tcPr>
            <w:tcW w:w="372" w:type="pct"/>
            <w:noWrap/>
            <w:hideMark/>
          </w:tcPr>
          <w:p w14:paraId="3DFE2981" w14:textId="77777777" w:rsidR="00120717" w:rsidRPr="007A4ECB" w:rsidRDefault="00120717" w:rsidP="00A94807">
            <w:pPr>
              <w:jc w:val="right"/>
              <w:rPr>
                <w:rFonts w:cs="Calibri"/>
                <w:color w:val="000000"/>
                <w:sz w:val="15"/>
                <w:szCs w:val="15"/>
              </w:rPr>
            </w:pPr>
            <w:r w:rsidRPr="007A4ECB">
              <w:rPr>
                <w:rFonts w:cs="Calibri"/>
                <w:color w:val="000000"/>
                <w:sz w:val="15"/>
                <w:szCs w:val="15"/>
              </w:rPr>
              <w:t>14.9</w:t>
            </w:r>
          </w:p>
        </w:tc>
        <w:tc>
          <w:tcPr>
            <w:tcW w:w="371" w:type="pct"/>
            <w:noWrap/>
            <w:hideMark/>
          </w:tcPr>
          <w:p w14:paraId="5A8B0D2F" w14:textId="77777777" w:rsidR="00120717" w:rsidRPr="007A4ECB" w:rsidRDefault="00120717" w:rsidP="00A94807">
            <w:pPr>
              <w:jc w:val="right"/>
              <w:rPr>
                <w:rFonts w:cs="Calibri"/>
                <w:color w:val="000000"/>
                <w:sz w:val="15"/>
                <w:szCs w:val="15"/>
              </w:rPr>
            </w:pPr>
            <w:r w:rsidRPr="007A4ECB">
              <w:rPr>
                <w:rFonts w:cs="Calibri"/>
                <w:color w:val="000000"/>
                <w:sz w:val="15"/>
                <w:szCs w:val="15"/>
              </w:rPr>
              <w:t>15.8</w:t>
            </w:r>
          </w:p>
        </w:tc>
        <w:tc>
          <w:tcPr>
            <w:tcW w:w="372" w:type="pct"/>
            <w:noWrap/>
            <w:hideMark/>
          </w:tcPr>
          <w:p w14:paraId="23859D51" w14:textId="77777777" w:rsidR="00120717" w:rsidRPr="007A4ECB" w:rsidRDefault="00120717" w:rsidP="00A94807">
            <w:pPr>
              <w:jc w:val="right"/>
              <w:rPr>
                <w:rFonts w:cs="Calibri"/>
                <w:color w:val="000000"/>
                <w:sz w:val="15"/>
                <w:szCs w:val="15"/>
              </w:rPr>
            </w:pPr>
            <w:r w:rsidRPr="007A4ECB">
              <w:rPr>
                <w:rFonts w:cs="Calibri"/>
                <w:color w:val="000000"/>
                <w:sz w:val="15"/>
                <w:szCs w:val="15"/>
              </w:rPr>
              <w:t>14.3</w:t>
            </w:r>
          </w:p>
        </w:tc>
        <w:tc>
          <w:tcPr>
            <w:tcW w:w="371" w:type="pct"/>
            <w:noWrap/>
            <w:hideMark/>
          </w:tcPr>
          <w:p w14:paraId="57F0ECB7" w14:textId="77777777" w:rsidR="00120717" w:rsidRPr="007A4ECB" w:rsidRDefault="00120717" w:rsidP="00A94807">
            <w:pPr>
              <w:jc w:val="right"/>
              <w:rPr>
                <w:rFonts w:cs="Calibri"/>
                <w:color w:val="000000"/>
                <w:sz w:val="15"/>
                <w:szCs w:val="15"/>
              </w:rPr>
            </w:pPr>
            <w:r w:rsidRPr="007A4ECB">
              <w:rPr>
                <w:rFonts w:cs="Calibri"/>
                <w:color w:val="000000"/>
                <w:sz w:val="15"/>
                <w:szCs w:val="15"/>
              </w:rPr>
              <w:t>13.3</w:t>
            </w:r>
          </w:p>
        </w:tc>
        <w:tc>
          <w:tcPr>
            <w:tcW w:w="372" w:type="pct"/>
            <w:noWrap/>
            <w:hideMark/>
          </w:tcPr>
          <w:p w14:paraId="50B5FC79" w14:textId="77777777" w:rsidR="00120717" w:rsidRPr="007A4ECB" w:rsidRDefault="00120717" w:rsidP="00A94807">
            <w:pPr>
              <w:jc w:val="right"/>
              <w:rPr>
                <w:rFonts w:cs="Calibri"/>
                <w:color w:val="000000"/>
                <w:sz w:val="15"/>
                <w:szCs w:val="15"/>
              </w:rPr>
            </w:pPr>
            <w:r w:rsidRPr="007A4ECB">
              <w:rPr>
                <w:rFonts w:cs="Calibri"/>
                <w:color w:val="000000"/>
                <w:sz w:val="15"/>
                <w:szCs w:val="15"/>
              </w:rPr>
              <w:t>11.3</w:t>
            </w:r>
          </w:p>
        </w:tc>
        <w:tc>
          <w:tcPr>
            <w:tcW w:w="370" w:type="pct"/>
          </w:tcPr>
          <w:p w14:paraId="70A39F8C" w14:textId="77777777" w:rsidR="00120717" w:rsidRPr="007A4ECB" w:rsidRDefault="00120717" w:rsidP="00A94807">
            <w:pPr>
              <w:jc w:val="right"/>
              <w:rPr>
                <w:rFonts w:cs="Calibri"/>
                <w:color w:val="000000"/>
                <w:sz w:val="15"/>
                <w:szCs w:val="15"/>
              </w:rPr>
            </w:pPr>
            <w:r w:rsidRPr="007A4ECB">
              <w:rPr>
                <w:rFonts w:cs="Calibri"/>
                <w:color w:val="000000"/>
                <w:sz w:val="15"/>
                <w:szCs w:val="15"/>
              </w:rPr>
              <w:t>14.6</w:t>
            </w:r>
          </w:p>
        </w:tc>
      </w:tr>
      <w:tr w:rsidR="00120717" w:rsidRPr="007A4ECB" w14:paraId="64FB0E74"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5BE0E776" w14:textId="77777777" w:rsidR="00120717" w:rsidRPr="007A4ECB" w:rsidRDefault="00120717" w:rsidP="00A94807">
            <w:pPr>
              <w:tabs>
                <w:tab w:val="left" w:pos="227"/>
              </w:tabs>
              <w:ind w:left="454"/>
              <w:jc w:val="left"/>
              <w:rPr>
                <w:rFonts w:cs="Calibri"/>
                <w:color w:val="000000"/>
                <w:sz w:val="15"/>
                <w:szCs w:val="15"/>
              </w:rPr>
            </w:pPr>
            <w:r w:rsidRPr="007A4ECB">
              <w:rPr>
                <w:rFonts w:cs="Calibri"/>
                <w:color w:val="000000"/>
                <w:sz w:val="15"/>
                <w:szCs w:val="15"/>
              </w:rPr>
              <w:t>8703 Motor vehicles for the transport of persons (&lt;10)</w:t>
            </w:r>
          </w:p>
        </w:tc>
        <w:tc>
          <w:tcPr>
            <w:tcW w:w="371" w:type="pct"/>
            <w:noWrap/>
            <w:hideMark/>
          </w:tcPr>
          <w:p w14:paraId="5E1C72BB" w14:textId="77777777" w:rsidR="00120717" w:rsidRPr="007A4ECB" w:rsidRDefault="00120717" w:rsidP="00A94807">
            <w:pPr>
              <w:jc w:val="right"/>
              <w:rPr>
                <w:rFonts w:cs="Calibri"/>
                <w:color w:val="000000"/>
                <w:sz w:val="15"/>
                <w:szCs w:val="15"/>
              </w:rPr>
            </w:pPr>
            <w:r w:rsidRPr="007A4ECB">
              <w:rPr>
                <w:rFonts w:cs="Calibri"/>
                <w:color w:val="000000"/>
                <w:sz w:val="15"/>
                <w:szCs w:val="15"/>
              </w:rPr>
              <w:t>8.3</w:t>
            </w:r>
          </w:p>
        </w:tc>
        <w:tc>
          <w:tcPr>
            <w:tcW w:w="372" w:type="pct"/>
            <w:noWrap/>
            <w:hideMark/>
          </w:tcPr>
          <w:p w14:paraId="046A5A1C" w14:textId="77777777" w:rsidR="00120717" w:rsidRPr="007A4ECB" w:rsidRDefault="00120717" w:rsidP="00A94807">
            <w:pPr>
              <w:jc w:val="right"/>
              <w:rPr>
                <w:rFonts w:cs="Calibri"/>
                <w:color w:val="000000"/>
                <w:sz w:val="15"/>
                <w:szCs w:val="15"/>
              </w:rPr>
            </w:pPr>
            <w:r w:rsidRPr="007A4ECB">
              <w:rPr>
                <w:rFonts w:cs="Calibri"/>
                <w:color w:val="000000"/>
                <w:sz w:val="15"/>
                <w:szCs w:val="15"/>
              </w:rPr>
              <w:t>9.3</w:t>
            </w:r>
          </w:p>
        </w:tc>
        <w:tc>
          <w:tcPr>
            <w:tcW w:w="371" w:type="pct"/>
            <w:noWrap/>
            <w:hideMark/>
          </w:tcPr>
          <w:p w14:paraId="7F0FA668" w14:textId="77777777" w:rsidR="00120717" w:rsidRPr="007A4ECB" w:rsidRDefault="00120717" w:rsidP="00A94807">
            <w:pPr>
              <w:jc w:val="right"/>
              <w:rPr>
                <w:rFonts w:cs="Calibri"/>
                <w:color w:val="000000"/>
                <w:sz w:val="15"/>
                <w:szCs w:val="15"/>
              </w:rPr>
            </w:pPr>
            <w:r w:rsidRPr="007A4ECB">
              <w:rPr>
                <w:rFonts w:cs="Calibri"/>
                <w:color w:val="000000"/>
                <w:sz w:val="15"/>
                <w:szCs w:val="15"/>
              </w:rPr>
              <w:t>9.6</w:t>
            </w:r>
          </w:p>
        </w:tc>
        <w:tc>
          <w:tcPr>
            <w:tcW w:w="372" w:type="pct"/>
            <w:noWrap/>
            <w:hideMark/>
          </w:tcPr>
          <w:p w14:paraId="166FD381" w14:textId="77777777" w:rsidR="00120717" w:rsidRPr="007A4ECB" w:rsidRDefault="00120717" w:rsidP="00A94807">
            <w:pPr>
              <w:jc w:val="right"/>
              <w:rPr>
                <w:rFonts w:cs="Calibri"/>
                <w:color w:val="000000"/>
                <w:sz w:val="15"/>
                <w:szCs w:val="15"/>
              </w:rPr>
            </w:pPr>
            <w:r w:rsidRPr="007A4ECB">
              <w:rPr>
                <w:rFonts w:cs="Calibri"/>
                <w:color w:val="000000"/>
                <w:sz w:val="15"/>
                <w:szCs w:val="15"/>
              </w:rPr>
              <w:t>8.2</w:t>
            </w:r>
          </w:p>
        </w:tc>
        <w:tc>
          <w:tcPr>
            <w:tcW w:w="371" w:type="pct"/>
            <w:noWrap/>
            <w:hideMark/>
          </w:tcPr>
          <w:p w14:paraId="5B11A8BE" w14:textId="77777777" w:rsidR="00120717" w:rsidRPr="007A4ECB" w:rsidRDefault="00120717" w:rsidP="00A94807">
            <w:pPr>
              <w:jc w:val="right"/>
              <w:rPr>
                <w:rFonts w:cs="Calibri"/>
                <w:color w:val="000000"/>
                <w:sz w:val="15"/>
                <w:szCs w:val="15"/>
              </w:rPr>
            </w:pPr>
            <w:r w:rsidRPr="007A4ECB">
              <w:rPr>
                <w:rFonts w:cs="Calibri"/>
                <w:color w:val="000000"/>
                <w:sz w:val="15"/>
                <w:szCs w:val="15"/>
              </w:rPr>
              <w:t>7.7</w:t>
            </w:r>
          </w:p>
        </w:tc>
        <w:tc>
          <w:tcPr>
            <w:tcW w:w="372" w:type="pct"/>
            <w:noWrap/>
            <w:hideMark/>
          </w:tcPr>
          <w:p w14:paraId="4F8379A8" w14:textId="77777777" w:rsidR="00120717" w:rsidRPr="007A4ECB" w:rsidRDefault="00120717" w:rsidP="00A94807">
            <w:pPr>
              <w:jc w:val="right"/>
              <w:rPr>
                <w:rFonts w:cs="Calibri"/>
                <w:color w:val="000000"/>
                <w:sz w:val="15"/>
                <w:szCs w:val="15"/>
              </w:rPr>
            </w:pPr>
            <w:r w:rsidRPr="007A4ECB">
              <w:rPr>
                <w:rFonts w:cs="Calibri"/>
                <w:color w:val="000000"/>
                <w:sz w:val="15"/>
                <w:szCs w:val="15"/>
              </w:rPr>
              <w:t>6.6</w:t>
            </w:r>
          </w:p>
        </w:tc>
        <w:tc>
          <w:tcPr>
            <w:tcW w:w="370" w:type="pct"/>
          </w:tcPr>
          <w:p w14:paraId="01DF0CCF" w14:textId="77777777" w:rsidR="00120717" w:rsidRPr="007A4ECB" w:rsidRDefault="00120717" w:rsidP="00A94807">
            <w:pPr>
              <w:jc w:val="right"/>
              <w:rPr>
                <w:rFonts w:cs="Calibri"/>
                <w:color w:val="000000"/>
                <w:sz w:val="15"/>
                <w:szCs w:val="15"/>
              </w:rPr>
            </w:pPr>
            <w:r w:rsidRPr="007A4ECB">
              <w:rPr>
                <w:rFonts w:cs="Calibri"/>
                <w:color w:val="000000"/>
                <w:sz w:val="15"/>
                <w:szCs w:val="15"/>
              </w:rPr>
              <w:t>8.6</w:t>
            </w:r>
          </w:p>
        </w:tc>
      </w:tr>
      <w:tr w:rsidR="00120717" w:rsidRPr="007A4ECB" w14:paraId="5EB63915" w14:textId="77777777" w:rsidTr="00A94807">
        <w:tc>
          <w:tcPr>
            <w:tcW w:w="2401" w:type="pct"/>
            <w:noWrap/>
            <w:hideMark/>
          </w:tcPr>
          <w:p w14:paraId="0E666D42" w14:textId="77777777" w:rsidR="00120717" w:rsidRPr="007A4ECB" w:rsidRDefault="00120717" w:rsidP="00A94807">
            <w:pPr>
              <w:tabs>
                <w:tab w:val="left" w:pos="227"/>
              </w:tabs>
              <w:ind w:left="454"/>
              <w:jc w:val="left"/>
              <w:rPr>
                <w:rFonts w:cs="Calibri"/>
                <w:color w:val="000000"/>
                <w:sz w:val="15"/>
                <w:szCs w:val="15"/>
              </w:rPr>
            </w:pPr>
            <w:r w:rsidRPr="007A4ECB">
              <w:rPr>
                <w:rFonts w:cs="Calibri"/>
                <w:color w:val="000000"/>
                <w:sz w:val="15"/>
                <w:szCs w:val="15"/>
              </w:rPr>
              <w:t>8704 Motor vehicles for the transport of goods</w:t>
            </w:r>
          </w:p>
        </w:tc>
        <w:tc>
          <w:tcPr>
            <w:tcW w:w="371" w:type="pct"/>
            <w:noWrap/>
            <w:hideMark/>
          </w:tcPr>
          <w:p w14:paraId="0A7A43CA" w14:textId="77777777" w:rsidR="00120717" w:rsidRPr="007A4ECB" w:rsidRDefault="00120717" w:rsidP="00A94807">
            <w:pPr>
              <w:jc w:val="right"/>
              <w:rPr>
                <w:rFonts w:cs="Calibri"/>
                <w:color w:val="000000"/>
                <w:sz w:val="15"/>
                <w:szCs w:val="15"/>
              </w:rPr>
            </w:pPr>
            <w:r w:rsidRPr="007A4ECB">
              <w:rPr>
                <w:rFonts w:cs="Calibri"/>
                <w:color w:val="000000"/>
                <w:sz w:val="15"/>
                <w:szCs w:val="15"/>
              </w:rPr>
              <w:t>2.8</w:t>
            </w:r>
          </w:p>
        </w:tc>
        <w:tc>
          <w:tcPr>
            <w:tcW w:w="372" w:type="pct"/>
            <w:noWrap/>
            <w:hideMark/>
          </w:tcPr>
          <w:p w14:paraId="0F874273" w14:textId="77777777" w:rsidR="00120717" w:rsidRPr="007A4ECB" w:rsidRDefault="00120717" w:rsidP="00A94807">
            <w:pPr>
              <w:jc w:val="right"/>
              <w:rPr>
                <w:rFonts w:cs="Calibri"/>
                <w:color w:val="000000"/>
                <w:sz w:val="15"/>
                <w:szCs w:val="15"/>
              </w:rPr>
            </w:pPr>
            <w:r w:rsidRPr="007A4ECB">
              <w:rPr>
                <w:rFonts w:cs="Calibri"/>
                <w:color w:val="000000"/>
                <w:sz w:val="15"/>
                <w:szCs w:val="15"/>
              </w:rPr>
              <w:t>2.9</w:t>
            </w:r>
          </w:p>
        </w:tc>
        <w:tc>
          <w:tcPr>
            <w:tcW w:w="371" w:type="pct"/>
            <w:noWrap/>
            <w:hideMark/>
          </w:tcPr>
          <w:p w14:paraId="530CF3BE" w14:textId="77777777" w:rsidR="00120717" w:rsidRPr="007A4ECB" w:rsidRDefault="00120717" w:rsidP="00A94807">
            <w:pPr>
              <w:jc w:val="right"/>
              <w:rPr>
                <w:rFonts w:cs="Calibri"/>
                <w:color w:val="000000"/>
                <w:sz w:val="15"/>
                <w:szCs w:val="15"/>
              </w:rPr>
            </w:pPr>
            <w:r w:rsidRPr="007A4ECB">
              <w:rPr>
                <w:rFonts w:cs="Calibri"/>
                <w:color w:val="000000"/>
                <w:sz w:val="15"/>
                <w:szCs w:val="15"/>
              </w:rPr>
              <w:t>3.2</w:t>
            </w:r>
          </w:p>
        </w:tc>
        <w:tc>
          <w:tcPr>
            <w:tcW w:w="372" w:type="pct"/>
            <w:noWrap/>
            <w:hideMark/>
          </w:tcPr>
          <w:p w14:paraId="32EFA22E" w14:textId="77777777" w:rsidR="00120717" w:rsidRPr="007A4ECB" w:rsidRDefault="00120717" w:rsidP="00A94807">
            <w:pPr>
              <w:jc w:val="right"/>
              <w:rPr>
                <w:rFonts w:cs="Calibri"/>
                <w:color w:val="000000"/>
                <w:sz w:val="15"/>
                <w:szCs w:val="15"/>
              </w:rPr>
            </w:pPr>
            <w:r w:rsidRPr="007A4ECB">
              <w:rPr>
                <w:rFonts w:cs="Calibri"/>
                <w:color w:val="000000"/>
                <w:sz w:val="15"/>
                <w:szCs w:val="15"/>
              </w:rPr>
              <w:t>3.0</w:t>
            </w:r>
          </w:p>
        </w:tc>
        <w:tc>
          <w:tcPr>
            <w:tcW w:w="371" w:type="pct"/>
            <w:noWrap/>
            <w:hideMark/>
          </w:tcPr>
          <w:p w14:paraId="2E2D969A" w14:textId="77777777" w:rsidR="00120717" w:rsidRPr="007A4ECB" w:rsidRDefault="00120717" w:rsidP="00A94807">
            <w:pPr>
              <w:jc w:val="right"/>
              <w:rPr>
                <w:rFonts w:cs="Calibri"/>
                <w:color w:val="000000"/>
                <w:sz w:val="15"/>
                <w:szCs w:val="15"/>
              </w:rPr>
            </w:pPr>
            <w:r w:rsidRPr="007A4ECB">
              <w:rPr>
                <w:rFonts w:cs="Calibri"/>
                <w:color w:val="000000"/>
                <w:sz w:val="15"/>
                <w:szCs w:val="15"/>
              </w:rPr>
              <w:t>2.8</w:t>
            </w:r>
          </w:p>
        </w:tc>
        <w:tc>
          <w:tcPr>
            <w:tcW w:w="372" w:type="pct"/>
            <w:noWrap/>
            <w:hideMark/>
          </w:tcPr>
          <w:p w14:paraId="25F76E42" w14:textId="77777777" w:rsidR="00120717" w:rsidRPr="007A4ECB" w:rsidRDefault="00120717" w:rsidP="00A94807">
            <w:pPr>
              <w:jc w:val="right"/>
              <w:rPr>
                <w:rFonts w:cs="Calibri"/>
                <w:color w:val="000000"/>
                <w:sz w:val="15"/>
                <w:szCs w:val="15"/>
              </w:rPr>
            </w:pPr>
            <w:r w:rsidRPr="007A4ECB">
              <w:rPr>
                <w:rFonts w:cs="Calibri"/>
                <w:color w:val="000000"/>
                <w:sz w:val="15"/>
                <w:szCs w:val="15"/>
              </w:rPr>
              <w:t>2.2</w:t>
            </w:r>
          </w:p>
        </w:tc>
        <w:tc>
          <w:tcPr>
            <w:tcW w:w="370" w:type="pct"/>
          </w:tcPr>
          <w:p w14:paraId="204DAB6D" w14:textId="77777777" w:rsidR="00120717" w:rsidRPr="007A4ECB" w:rsidRDefault="00120717" w:rsidP="00A94807">
            <w:pPr>
              <w:jc w:val="right"/>
              <w:rPr>
                <w:rFonts w:cs="Calibri"/>
                <w:color w:val="000000"/>
                <w:sz w:val="15"/>
                <w:szCs w:val="15"/>
              </w:rPr>
            </w:pPr>
            <w:r w:rsidRPr="007A4ECB">
              <w:rPr>
                <w:rFonts w:cs="Calibri"/>
                <w:color w:val="000000"/>
                <w:sz w:val="15"/>
                <w:szCs w:val="15"/>
              </w:rPr>
              <w:t>3.0</w:t>
            </w:r>
          </w:p>
        </w:tc>
      </w:tr>
      <w:tr w:rsidR="00120717" w:rsidRPr="007A4ECB" w14:paraId="661ECE26"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0FB8B538" w14:textId="77777777" w:rsidR="00120717" w:rsidRPr="007A4ECB" w:rsidRDefault="00120717" w:rsidP="00A94807">
            <w:pPr>
              <w:jc w:val="left"/>
              <w:rPr>
                <w:rFonts w:cs="Calibri"/>
                <w:color w:val="000000"/>
                <w:sz w:val="15"/>
                <w:szCs w:val="15"/>
              </w:rPr>
            </w:pPr>
            <w:r w:rsidRPr="007A4ECB">
              <w:rPr>
                <w:rFonts w:cs="Calibri"/>
                <w:color w:val="000000"/>
                <w:sz w:val="15"/>
                <w:szCs w:val="15"/>
              </w:rPr>
              <w:t>18 Precision equipment</w:t>
            </w:r>
          </w:p>
        </w:tc>
        <w:tc>
          <w:tcPr>
            <w:tcW w:w="371" w:type="pct"/>
            <w:noWrap/>
            <w:hideMark/>
          </w:tcPr>
          <w:p w14:paraId="3C0CEFF9" w14:textId="77777777" w:rsidR="00120717" w:rsidRPr="007A4ECB" w:rsidRDefault="00120717" w:rsidP="00A94807">
            <w:pPr>
              <w:jc w:val="right"/>
              <w:rPr>
                <w:rFonts w:cs="Calibri"/>
                <w:color w:val="000000"/>
                <w:sz w:val="15"/>
                <w:szCs w:val="15"/>
              </w:rPr>
            </w:pPr>
            <w:r w:rsidRPr="007A4ECB">
              <w:rPr>
                <w:rFonts w:cs="Calibri"/>
                <w:color w:val="000000"/>
                <w:sz w:val="15"/>
                <w:szCs w:val="15"/>
              </w:rPr>
              <w:t>3.3</w:t>
            </w:r>
          </w:p>
        </w:tc>
        <w:tc>
          <w:tcPr>
            <w:tcW w:w="372" w:type="pct"/>
            <w:noWrap/>
            <w:hideMark/>
          </w:tcPr>
          <w:p w14:paraId="575EFA00" w14:textId="77777777" w:rsidR="00120717" w:rsidRPr="007A4ECB" w:rsidRDefault="00120717" w:rsidP="00A94807">
            <w:pPr>
              <w:jc w:val="right"/>
              <w:rPr>
                <w:rFonts w:cs="Calibri"/>
                <w:color w:val="000000"/>
                <w:sz w:val="15"/>
                <w:szCs w:val="15"/>
              </w:rPr>
            </w:pPr>
            <w:r w:rsidRPr="007A4ECB">
              <w:rPr>
                <w:rFonts w:cs="Calibri"/>
                <w:color w:val="000000"/>
                <w:sz w:val="15"/>
                <w:szCs w:val="15"/>
              </w:rPr>
              <w:t>3.4</w:t>
            </w:r>
          </w:p>
        </w:tc>
        <w:tc>
          <w:tcPr>
            <w:tcW w:w="371" w:type="pct"/>
            <w:noWrap/>
            <w:hideMark/>
          </w:tcPr>
          <w:p w14:paraId="71A9A3F8" w14:textId="77777777" w:rsidR="00120717" w:rsidRPr="007A4ECB" w:rsidRDefault="00120717" w:rsidP="00A94807">
            <w:pPr>
              <w:jc w:val="right"/>
              <w:rPr>
                <w:rFonts w:cs="Calibri"/>
                <w:color w:val="000000"/>
                <w:sz w:val="15"/>
                <w:szCs w:val="15"/>
              </w:rPr>
            </w:pPr>
            <w:r w:rsidRPr="007A4ECB">
              <w:rPr>
                <w:rFonts w:cs="Calibri"/>
                <w:color w:val="000000"/>
                <w:sz w:val="15"/>
                <w:szCs w:val="15"/>
              </w:rPr>
              <w:t>3.2</w:t>
            </w:r>
          </w:p>
        </w:tc>
        <w:tc>
          <w:tcPr>
            <w:tcW w:w="372" w:type="pct"/>
            <w:noWrap/>
            <w:hideMark/>
          </w:tcPr>
          <w:p w14:paraId="1404565C" w14:textId="77777777" w:rsidR="00120717" w:rsidRPr="007A4ECB" w:rsidRDefault="00120717" w:rsidP="00A94807">
            <w:pPr>
              <w:jc w:val="right"/>
              <w:rPr>
                <w:rFonts w:cs="Calibri"/>
                <w:color w:val="000000"/>
                <w:sz w:val="15"/>
                <w:szCs w:val="15"/>
              </w:rPr>
            </w:pPr>
            <w:r w:rsidRPr="007A4ECB">
              <w:rPr>
                <w:rFonts w:cs="Calibri"/>
                <w:color w:val="000000"/>
                <w:sz w:val="15"/>
                <w:szCs w:val="15"/>
              </w:rPr>
              <w:t>3.0</w:t>
            </w:r>
          </w:p>
        </w:tc>
        <w:tc>
          <w:tcPr>
            <w:tcW w:w="371" w:type="pct"/>
            <w:noWrap/>
            <w:hideMark/>
          </w:tcPr>
          <w:p w14:paraId="0571C53E" w14:textId="77777777" w:rsidR="00120717" w:rsidRPr="007A4ECB" w:rsidRDefault="00120717" w:rsidP="00A94807">
            <w:pPr>
              <w:jc w:val="right"/>
              <w:rPr>
                <w:rFonts w:cs="Calibri"/>
                <w:color w:val="000000"/>
                <w:sz w:val="15"/>
                <w:szCs w:val="15"/>
              </w:rPr>
            </w:pPr>
            <w:r w:rsidRPr="007A4ECB">
              <w:rPr>
                <w:rFonts w:cs="Calibri"/>
                <w:color w:val="000000"/>
                <w:sz w:val="15"/>
                <w:szCs w:val="15"/>
              </w:rPr>
              <w:t>3.4</w:t>
            </w:r>
          </w:p>
        </w:tc>
        <w:tc>
          <w:tcPr>
            <w:tcW w:w="372" w:type="pct"/>
            <w:noWrap/>
            <w:hideMark/>
          </w:tcPr>
          <w:p w14:paraId="78A88960" w14:textId="77777777" w:rsidR="00120717" w:rsidRPr="007A4ECB" w:rsidRDefault="00120717" w:rsidP="00A94807">
            <w:pPr>
              <w:jc w:val="right"/>
              <w:rPr>
                <w:rFonts w:cs="Calibri"/>
                <w:color w:val="000000"/>
                <w:sz w:val="15"/>
                <w:szCs w:val="15"/>
              </w:rPr>
            </w:pPr>
            <w:r w:rsidRPr="007A4ECB">
              <w:rPr>
                <w:rFonts w:cs="Calibri"/>
                <w:color w:val="000000"/>
                <w:sz w:val="15"/>
                <w:szCs w:val="15"/>
              </w:rPr>
              <w:t>3.8</w:t>
            </w:r>
          </w:p>
        </w:tc>
        <w:tc>
          <w:tcPr>
            <w:tcW w:w="370" w:type="pct"/>
          </w:tcPr>
          <w:p w14:paraId="74AB2E5E" w14:textId="77777777" w:rsidR="00120717" w:rsidRPr="007A4ECB" w:rsidRDefault="00120717" w:rsidP="00A94807">
            <w:pPr>
              <w:jc w:val="right"/>
              <w:rPr>
                <w:rFonts w:cs="Calibri"/>
                <w:color w:val="000000"/>
                <w:sz w:val="15"/>
                <w:szCs w:val="15"/>
              </w:rPr>
            </w:pPr>
            <w:r w:rsidRPr="007A4ECB">
              <w:rPr>
                <w:rFonts w:cs="Calibri"/>
                <w:color w:val="000000"/>
                <w:sz w:val="15"/>
                <w:szCs w:val="15"/>
              </w:rPr>
              <w:t>3.6</w:t>
            </w:r>
          </w:p>
        </w:tc>
      </w:tr>
      <w:tr w:rsidR="00120717" w:rsidRPr="007A4ECB" w14:paraId="5ED39DD4" w14:textId="77777777" w:rsidTr="00A94807">
        <w:tc>
          <w:tcPr>
            <w:tcW w:w="2401" w:type="pct"/>
            <w:noWrap/>
            <w:hideMark/>
          </w:tcPr>
          <w:p w14:paraId="46D76757" w14:textId="77777777" w:rsidR="00120717" w:rsidRPr="007A4ECB" w:rsidRDefault="00120717" w:rsidP="00A94807">
            <w:pPr>
              <w:ind w:left="227"/>
              <w:jc w:val="left"/>
              <w:rPr>
                <w:rFonts w:cs="Calibri"/>
                <w:color w:val="000000"/>
                <w:sz w:val="15"/>
                <w:szCs w:val="15"/>
              </w:rPr>
            </w:pPr>
            <w:r w:rsidRPr="007A4ECB">
              <w:rPr>
                <w:rFonts w:cs="Calibri"/>
                <w:color w:val="000000"/>
                <w:sz w:val="15"/>
                <w:szCs w:val="15"/>
              </w:rPr>
              <w:t>90 Optical, photographic, measuring, medical instruments (..)</w:t>
            </w:r>
          </w:p>
        </w:tc>
        <w:tc>
          <w:tcPr>
            <w:tcW w:w="371" w:type="pct"/>
            <w:noWrap/>
            <w:hideMark/>
          </w:tcPr>
          <w:p w14:paraId="50A43EC9" w14:textId="77777777" w:rsidR="00120717" w:rsidRPr="007A4ECB" w:rsidRDefault="00120717" w:rsidP="00A94807">
            <w:pPr>
              <w:jc w:val="right"/>
              <w:rPr>
                <w:rFonts w:cs="Calibri"/>
                <w:color w:val="000000"/>
                <w:sz w:val="15"/>
                <w:szCs w:val="15"/>
              </w:rPr>
            </w:pPr>
            <w:r w:rsidRPr="007A4ECB">
              <w:rPr>
                <w:rFonts w:cs="Calibri"/>
                <w:color w:val="000000"/>
                <w:sz w:val="15"/>
                <w:szCs w:val="15"/>
              </w:rPr>
              <w:t>3.1</w:t>
            </w:r>
          </w:p>
        </w:tc>
        <w:tc>
          <w:tcPr>
            <w:tcW w:w="372" w:type="pct"/>
            <w:noWrap/>
            <w:hideMark/>
          </w:tcPr>
          <w:p w14:paraId="4809781D" w14:textId="77777777" w:rsidR="00120717" w:rsidRPr="007A4ECB" w:rsidRDefault="00120717" w:rsidP="00A94807">
            <w:pPr>
              <w:jc w:val="right"/>
              <w:rPr>
                <w:rFonts w:cs="Calibri"/>
                <w:color w:val="000000"/>
                <w:sz w:val="15"/>
                <w:szCs w:val="15"/>
              </w:rPr>
            </w:pPr>
            <w:r w:rsidRPr="007A4ECB">
              <w:rPr>
                <w:rFonts w:cs="Calibri"/>
                <w:color w:val="000000"/>
                <w:sz w:val="15"/>
                <w:szCs w:val="15"/>
              </w:rPr>
              <w:t>3.2</w:t>
            </w:r>
          </w:p>
        </w:tc>
        <w:tc>
          <w:tcPr>
            <w:tcW w:w="371" w:type="pct"/>
            <w:noWrap/>
            <w:hideMark/>
          </w:tcPr>
          <w:p w14:paraId="2E51DB3C" w14:textId="77777777" w:rsidR="00120717" w:rsidRPr="007A4ECB" w:rsidRDefault="00120717" w:rsidP="00A94807">
            <w:pPr>
              <w:jc w:val="right"/>
              <w:rPr>
                <w:rFonts w:cs="Calibri"/>
                <w:color w:val="000000"/>
                <w:sz w:val="15"/>
                <w:szCs w:val="15"/>
              </w:rPr>
            </w:pPr>
            <w:r w:rsidRPr="007A4ECB">
              <w:rPr>
                <w:rFonts w:cs="Calibri"/>
                <w:color w:val="000000"/>
                <w:sz w:val="15"/>
                <w:szCs w:val="15"/>
              </w:rPr>
              <w:t>3.0</w:t>
            </w:r>
          </w:p>
        </w:tc>
        <w:tc>
          <w:tcPr>
            <w:tcW w:w="372" w:type="pct"/>
            <w:noWrap/>
            <w:hideMark/>
          </w:tcPr>
          <w:p w14:paraId="15545974" w14:textId="77777777" w:rsidR="00120717" w:rsidRPr="007A4ECB" w:rsidRDefault="00120717" w:rsidP="00A94807">
            <w:pPr>
              <w:jc w:val="right"/>
              <w:rPr>
                <w:rFonts w:cs="Calibri"/>
                <w:color w:val="000000"/>
                <w:sz w:val="15"/>
                <w:szCs w:val="15"/>
              </w:rPr>
            </w:pPr>
            <w:r w:rsidRPr="007A4ECB">
              <w:rPr>
                <w:rFonts w:cs="Calibri"/>
                <w:color w:val="000000"/>
                <w:sz w:val="15"/>
                <w:szCs w:val="15"/>
              </w:rPr>
              <w:t>2.8</w:t>
            </w:r>
          </w:p>
        </w:tc>
        <w:tc>
          <w:tcPr>
            <w:tcW w:w="371" w:type="pct"/>
            <w:noWrap/>
            <w:hideMark/>
          </w:tcPr>
          <w:p w14:paraId="5FF863A5" w14:textId="77777777" w:rsidR="00120717" w:rsidRPr="007A4ECB" w:rsidRDefault="00120717" w:rsidP="00A94807">
            <w:pPr>
              <w:jc w:val="right"/>
              <w:rPr>
                <w:rFonts w:cs="Calibri"/>
                <w:color w:val="000000"/>
                <w:sz w:val="15"/>
                <w:szCs w:val="15"/>
              </w:rPr>
            </w:pPr>
            <w:r w:rsidRPr="007A4ECB">
              <w:rPr>
                <w:rFonts w:cs="Calibri"/>
                <w:color w:val="000000"/>
                <w:sz w:val="15"/>
                <w:szCs w:val="15"/>
              </w:rPr>
              <w:t>3.1</w:t>
            </w:r>
          </w:p>
        </w:tc>
        <w:tc>
          <w:tcPr>
            <w:tcW w:w="372" w:type="pct"/>
            <w:noWrap/>
            <w:hideMark/>
          </w:tcPr>
          <w:p w14:paraId="5713AD19" w14:textId="77777777" w:rsidR="00120717" w:rsidRPr="007A4ECB" w:rsidRDefault="00120717" w:rsidP="00A94807">
            <w:pPr>
              <w:jc w:val="right"/>
              <w:rPr>
                <w:rFonts w:cs="Calibri"/>
                <w:color w:val="000000"/>
                <w:sz w:val="15"/>
                <w:szCs w:val="15"/>
              </w:rPr>
            </w:pPr>
            <w:r w:rsidRPr="007A4ECB">
              <w:rPr>
                <w:rFonts w:cs="Calibri"/>
                <w:color w:val="000000"/>
                <w:sz w:val="15"/>
                <w:szCs w:val="15"/>
              </w:rPr>
              <w:t>3.6</w:t>
            </w:r>
          </w:p>
        </w:tc>
        <w:tc>
          <w:tcPr>
            <w:tcW w:w="370" w:type="pct"/>
          </w:tcPr>
          <w:p w14:paraId="28E47119" w14:textId="77777777" w:rsidR="00120717" w:rsidRPr="007A4ECB" w:rsidRDefault="00120717" w:rsidP="00A94807">
            <w:pPr>
              <w:jc w:val="right"/>
              <w:rPr>
                <w:rFonts w:cs="Calibri"/>
                <w:color w:val="000000"/>
                <w:sz w:val="15"/>
                <w:szCs w:val="15"/>
              </w:rPr>
            </w:pPr>
            <w:r w:rsidRPr="007A4ECB">
              <w:rPr>
                <w:rFonts w:cs="Calibri"/>
                <w:color w:val="000000"/>
                <w:sz w:val="15"/>
                <w:szCs w:val="15"/>
              </w:rPr>
              <w:t>3.3</w:t>
            </w:r>
          </w:p>
        </w:tc>
      </w:tr>
      <w:tr w:rsidR="00120717" w:rsidRPr="007A4ECB" w14:paraId="6D800FFF"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775AAE5F" w14:textId="77777777" w:rsidR="00120717" w:rsidRPr="007A4ECB" w:rsidRDefault="00120717" w:rsidP="00A94807">
            <w:pPr>
              <w:jc w:val="left"/>
              <w:rPr>
                <w:rFonts w:cs="Calibri"/>
                <w:color w:val="000000"/>
                <w:sz w:val="15"/>
                <w:szCs w:val="15"/>
              </w:rPr>
            </w:pPr>
            <w:r w:rsidRPr="007A4ECB">
              <w:rPr>
                <w:rFonts w:cs="Calibri"/>
                <w:color w:val="000000"/>
                <w:sz w:val="15"/>
                <w:szCs w:val="15"/>
              </w:rPr>
              <w:t>19 Arms and ammunition</w:t>
            </w:r>
          </w:p>
        </w:tc>
        <w:tc>
          <w:tcPr>
            <w:tcW w:w="371" w:type="pct"/>
            <w:noWrap/>
            <w:hideMark/>
          </w:tcPr>
          <w:p w14:paraId="6CE062FA" w14:textId="77777777" w:rsidR="00120717" w:rsidRPr="007A4ECB" w:rsidRDefault="00120717" w:rsidP="00A94807">
            <w:pPr>
              <w:jc w:val="right"/>
              <w:rPr>
                <w:rFonts w:cs="Calibri"/>
                <w:color w:val="000000"/>
                <w:sz w:val="15"/>
                <w:szCs w:val="15"/>
              </w:rPr>
            </w:pPr>
            <w:r w:rsidRPr="007A4ECB">
              <w:rPr>
                <w:rFonts w:cs="Calibri"/>
                <w:color w:val="000000"/>
                <w:sz w:val="15"/>
                <w:szCs w:val="15"/>
              </w:rPr>
              <w:t>0.2</w:t>
            </w:r>
          </w:p>
        </w:tc>
        <w:tc>
          <w:tcPr>
            <w:tcW w:w="372" w:type="pct"/>
            <w:noWrap/>
            <w:hideMark/>
          </w:tcPr>
          <w:p w14:paraId="77420362" w14:textId="77777777" w:rsidR="00120717" w:rsidRPr="007A4ECB" w:rsidRDefault="00120717" w:rsidP="00A94807">
            <w:pPr>
              <w:jc w:val="right"/>
              <w:rPr>
                <w:rFonts w:cs="Calibri"/>
                <w:color w:val="000000"/>
                <w:sz w:val="15"/>
                <w:szCs w:val="15"/>
              </w:rPr>
            </w:pPr>
            <w:r w:rsidRPr="007A4ECB">
              <w:rPr>
                <w:rFonts w:cs="Calibri"/>
                <w:color w:val="000000"/>
                <w:sz w:val="15"/>
                <w:szCs w:val="15"/>
              </w:rPr>
              <w:t>0.1</w:t>
            </w:r>
          </w:p>
        </w:tc>
        <w:tc>
          <w:tcPr>
            <w:tcW w:w="371" w:type="pct"/>
            <w:noWrap/>
            <w:hideMark/>
          </w:tcPr>
          <w:p w14:paraId="3A88BC77" w14:textId="77777777" w:rsidR="00120717" w:rsidRPr="007A4ECB" w:rsidRDefault="00120717" w:rsidP="00A94807">
            <w:pPr>
              <w:jc w:val="right"/>
              <w:rPr>
                <w:rFonts w:cs="Calibri"/>
                <w:color w:val="000000"/>
                <w:sz w:val="15"/>
                <w:szCs w:val="15"/>
              </w:rPr>
            </w:pPr>
            <w:r w:rsidRPr="007A4ECB">
              <w:rPr>
                <w:rFonts w:cs="Calibri"/>
                <w:color w:val="000000"/>
                <w:sz w:val="15"/>
                <w:szCs w:val="15"/>
              </w:rPr>
              <w:t>0.2</w:t>
            </w:r>
          </w:p>
        </w:tc>
        <w:tc>
          <w:tcPr>
            <w:tcW w:w="372" w:type="pct"/>
            <w:noWrap/>
            <w:hideMark/>
          </w:tcPr>
          <w:p w14:paraId="2AB2F06E" w14:textId="77777777" w:rsidR="00120717" w:rsidRPr="007A4ECB" w:rsidRDefault="00120717" w:rsidP="00A94807">
            <w:pPr>
              <w:jc w:val="right"/>
              <w:rPr>
                <w:rFonts w:cs="Calibri"/>
                <w:color w:val="000000"/>
                <w:sz w:val="15"/>
                <w:szCs w:val="15"/>
              </w:rPr>
            </w:pPr>
            <w:r w:rsidRPr="007A4ECB">
              <w:rPr>
                <w:rFonts w:cs="Calibri"/>
                <w:color w:val="000000"/>
                <w:sz w:val="15"/>
                <w:szCs w:val="15"/>
              </w:rPr>
              <w:t>0.1</w:t>
            </w:r>
          </w:p>
        </w:tc>
        <w:tc>
          <w:tcPr>
            <w:tcW w:w="371" w:type="pct"/>
            <w:noWrap/>
            <w:hideMark/>
          </w:tcPr>
          <w:p w14:paraId="2DBE8594" w14:textId="77777777" w:rsidR="00120717" w:rsidRPr="007A4ECB" w:rsidRDefault="00120717" w:rsidP="00A94807">
            <w:pPr>
              <w:jc w:val="right"/>
              <w:rPr>
                <w:rFonts w:cs="Calibri"/>
                <w:color w:val="000000"/>
                <w:sz w:val="15"/>
                <w:szCs w:val="15"/>
              </w:rPr>
            </w:pPr>
            <w:r w:rsidRPr="007A4ECB">
              <w:rPr>
                <w:rFonts w:cs="Calibri"/>
                <w:color w:val="000000"/>
                <w:sz w:val="15"/>
                <w:szCs w:val="15"/>
              </w:rPr>
              <w:t>0.2</w:t>
            </w:r>
          </w:p>
        </w:tc>
        <w:tc>
          <w:tcPr>
            <w:tcW w:w="372" w:type="pct"/>
            <w:noWrap/>
            <w:hideMark/>
          </w:tcPr>
          <w:p w14:paraId="01173B89" w14:textId="77777777" w:rsidR="00120717" w:rsidRPr="007A4ECB" w:rsidRDefault="00120717" w:rsidP="00A94807">
            <w:pPr>
              <w:jc w:val="right"/>
              <w:rPr>
                <w:rFonts w:cs="Calibri"/>
                <w:color w:val="000000"/>
                <w:sz w:val="15"/>
                <w:szCs w:val="15"/>
              </w:rPr>
            </w:pPr>
            <w:r w:rsidRPr="007A4ECB">
              <w:rPr>
                <w:rFonts w:cs="Calibri"/>
                <w:color w:val="000000"/>
                <w:sz w:val="15"/>
                <w:szCs w:val="15"/>
              </w:rPr>
              <w:t>0.1</w:t>
            </w:r>
          </w:p>
        </w:tc>
        <w:tc>
          <w:tcPr>
            <w:tcW w:w="370" w:type="pct"/>
          </w:tcPr>
          <w:p w14:paraId="7353B628" w14:textId="77777777" w:rsidR="00120717" w:rsidRPr="007A4ECB" w:rsidRDefault="00120717" w:rsidP="00A94807">
            <w:pPr>
              <w:jc w:val="right"/>
              <w:rPr>
                <w:rFonts w:cs="Calibri"/>
                <w:color w:val="000000"/>
                <w:sz w:val="15"/>
                <w:szCs w:val="15"/>
              </w:rPr>
            </w:pPr>
            <w:r w:rsidRPr="007A4ECB">
              <w:rPr>
                <w:rFonts w:cs="Calibri"/>
                <w:color w:val="000000"/>
                <w:sz w:val="15"/>
                <w:szCs w:val="15"/>
              </w:rPr>
              <w:t>0.1</w:t>
            </w:r>
          </w:p>
        </w:tc>
      </w:tr>
      <w:tr w:rsidR="00120717" w:rsidRPr="007A4ECB" w14:paraId="1729033E" w14:textId="77777777" w:rsidTr="00A94807">
        <w:tc>
          <w:tcPr>
            <w:tcW w:w="2401" w:type="pct"/>
            <w:noWrap/>
            <w:hideMark/>
          </w:tcPr>
          <w:p w14:paraId="64F28B91" w14:textId="77777777" w:rsidR="00120717" w:rsidRPr="007A4ECB" w:rsidRDefault="00120717" w:rsidP="00A94807">
            <w:pPr>
              <w:jc w:val="left"/>
              <w:rPr>
                <w:rFonts w:cs="Calibri"/>
                <w:color w:val="000000"/>
                <w:sz w:val="15"/>
                <w:szCs w:val="15"/>
              </w:rPr>
            </w:pPr>
            <w:r w:rsidRPr="007A4ECB">
              <w:rPr>
                <w:rFonts w:cs="Calibri"/>
                <w:color w:val="000000"/>
                <w:sz w:val="15"/>
                <w:szCs w:val="15"/>
              </w:rPr>
              <w:t>20 Miscellaneous manufactured articles</w:t>
            </w:r>
          </w:p>
        </w:tc>
        <w:tc>
          <w:tcPr>
            <w:tcW w:w="371" w:type="pct"/>
            <w:noWrap/>
            <w:hideMark/>
          </w:tcPr>
          <w:p w14:paraId="47E1231A" w14:textId="77777777" w:rsidR="00120717" w:rsidRPr="007A4ECB" w:rsidRDefault="00120717" w:rsidP="00A94807">
            <w:pPr>
              <w:jc w:val="right"/>
              <w:rPr>
                <w:rFonts w:cs="Calibri"/>
                <w:color w:val="000000"/>
                <w:sz w:val="15"/>
                <w:szCs w:val="15"/>
              </w:rPr>
            </w:pPr>
            <w:r w:rsidRPr="007A4ECB">
              <w:rPr>
                <w:rFonts w:cs="Calibri"/>
                <w:color w:val="000000"/>
                <w:sz w:val="15"/>
                <w:szCs w:val="15"/>
              </w:rPr>
              <w:t>3.5</w:t>
            </w:r>
          </w:p>
        </w:tc>
        <w:tc>
          <w:tcPr>
            <w:tcW w:w="372" w:type="pct"/>
            <w:noWrap/>
            <w:hideMark/>
          </w:tcPr>
          <w:p w14:paraId="230C65BA" w14:textId="77777777" w:rsidR="00120717" w:rsidRPr="007A4ECB" w:rsidRDefault="00120717" w:rsidP="00A94807">
            <w:pPr>
              <w:jc w:val="right"/>
              <w:rPr>
                <w:rFonts w:cs="Calibri"/>
                <w:color w:val="000000"/>
                <w:sz w:val="15"/>
                <w:szCs w:val="15"/>
              </w:rPr>
            </w:pPr>
            <w:r w:rsidRPr="007A4ECB">
              <w:rPr>
                <w:rFonts w:cs="Calibri"/>
                <w:color w:val="000000"/>
                <w:sz w:val="15"/>
                <w:szCs w:val="15"/>
              </w:rPr>
              <w:t>3.7</w:t>
            </w:r>
          </w:p>
        </w:tc>
        <w:tc>
          <w:tcPr>
            <w:tcW w:w="371" w:type="pct"/>
            <w:noWrap/>
            <w:hideMark/>
          </w:tcPr>
          <w:p w14:paraId="2DA75CC6" w14:textId="77777777" w:rsidR="00120717" w:rsidRPr="007A4ECB" w:rsidRDefault="00120717" w:rsidP="00A94807">
            <w:pPr>
              <w:jc w:val="right"/>
              <w:rPr>
                <w:rFonts w:cs="Calibri"/>
                <w:color w:val="000000"/>
                <w:sz w:val="15"/>
                <w:szCs w:val="15"/>
              </w:rPr>
            </w:pPr>
            <w:r w:rsidRPr="007A4ECB">
              <w:rPr>
                <w:rFonts w:cs="Calibri"/>
                <w:color w:val="000000"/>
                <w:sz w:val="15"/>
                <w:szCs w:val="15"/>
              </w:rPr>
              <w:t>3.5</w:t>
            </w:r>
          </w:p>
        </w:tc>
        <w:tc>
          <w:tcPr>
            <w:tcW w:w="372" w:type="pct"/>
            <w:noWrap/>
            <w:hideMark/>
          </w:tcPr>
          <w:p w14:paraId="089EE75B" w14:textId="77777777" w:rsidR="00120717" w:rsidRPr="007A4ECB" w:rsidRDefault="00120717" w:rsidP="00A94807">
            <w:pPr>
              <w:jc w:val="right"/>
              <w:rPr>
                <w:rFonts w:cs="Calibri"/>
                <w:color w:val="000000"/>
                <w:sz w:val="15"/>
                <w:szCs w:val="15"/>
              </w:rPr>
            </w:pPr>
            <w:r w:rsidRPr="007A4ECB">
              <w:rPr>
                <w:rFonts w:cs="Calibri"/>
                <w:color w:val="000000"/>
                <w:sz w:val="15"/>
                <w:szCs w:val="15"/>
              </w:rPr>
              <w:t>3.4</w:t>
            </w:r>
          </w:p>
        </w:tc>
        <w:tc>
          <w:tcPr>
            <w:tcW w:w="371" w:type="pct"/>
            <w:noWrap/>
            <w:hideMark/>
          </w:tcPr>
          <w:p w14:paraId="531E5637" w14:textId="77777777" w:rsidR="00120717" w:rsidRPr="007A4ECB" w:rsidRDefault="00120717" w:rsidP="00A94807">
            <w:pPr>
              <w:jc w:val="right"/>
              <w:rPr>
                <w:rFonts w:cs="Calibri"/>
                <w:color w:val="000000"/>
                <w:sz w:val="15"/>
                <w:szCs w:val="15"/>
              </w:rPr>
            </w:pPr>
            <w:r w:rsidRPr="007A4ECB">
              <w:rPr>
                <w:rFonts w:cs="Calibri"/>
                <w:color w:val="000000"/>
                <w:sz w:val="15"/>
                <w:szCs w:val="15"/>
              </w:rPr>
              <w:t>3.5</w:t>
            </w:r>
          </w:p>
        </w:tc>
        <w:tc>
          <w:tcPr>
            <w:tcW w:w="372" w:type="pct"/>
            <w:noWrap/>
            <w:hideMark/>
          </w:tcPr>
          <w:p w14:paraId="4DDE52BF" w14:textId="77777777" w:rsidR="00120717" w:rsidRPr="007A4ECB" w:rsidRDefault="00120717" w:rsidP="00A94807">
            <w:pPr>
              <w:jc w:val="right"/>
              <w:rPr>
                <w:rFonts w:cs="Calibri"/>
                <w:color w:val="000000"/>
                <w:sz w:val="15"/>
                <w:szCs w:val="15"/>
              </w:rPr>
            </w:pPr>
            <w:r w:rsidRPr="007A4ECB">
              <w:rPr>
                <w:rFonts w:cs="Calibri"/>
                <w:color w:val="000000"/>
                <w:sz w:val="15"/>
                <w:szCs w:val="15"/>
              </w:rPr>
              <w:t>3.6</w:t>
            </w:r>
          </w:p>
        </w:tc>
        <w:tc>
          <w:tcPr>
            <w:tcW w:w="370" w:type="pct"/>
          </w:tcPr>
          <w:p w14:paraId="65195043" w14:textId="77777777" w:rsidR="00120717" w:rsidRPr="007A4ECB" w:rsidRDefault="00120717" w:rsidP="00A94807">
            <w:pPr>
              <w:jc w:val="right"/>
              <w:rPr>
                <w:rFonts w:cs="Calibri"/>
                <w:color w:val="000000"/>
                <w:sz w:val="15"/>
                <w:szCs w:val="15"/>
              </w:rPr>
            </w:pPr>
            <w:r w:rsidRPr="007A4ECB">
              <w:rPr>
                <w:rFonts w:cs="Calibri"/>
                <w:color w:val="000000"/>
                <w:sz w:val="15"/>
                <w:szCs w:val="15"/>
              </w:rPr>
              <w:t>4.0</w:t>
            </w:r>
          </w:p>
        </w:tc>
      </w:tr>
      <w:tr w:rsidR="00120717" w:rsidRPr="007A4ECB" w14:paraId="1C8CAD9A"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1B6E2064" w14:textId="77777777" w:rsidR="00120717" w:rsidRPr="007A4ECB" w:rsidRDefault="00120717" w:rsidP="00A94807">
            <w:pPr>
              <w:ind w:left="227"/>
              <w:jc w:val="left"/>
              <w:rPr>
                <w:rFonts w:cs="Calibri"/>
                <w:color w:val="000000"/>
                <w:sz w:val="15"/>
                <w:szCs w:val="15"/>
              </w:rPr>
            </w:pPr>
            <w:r w:rsidRPr="007A4ECB">
              <w:rPr>
                <w:rFonts w:cs="Calibri"/>
                <w:color w:val="000000"/>
                <w:sz w:val="15"/>
                <w:szCs w:val="15"/>
              </w:rPr>
              <w:t>94 Furniture, lighting, signs, prefabricated buildings</w:t>
            </w:r>
          </w:p>
        </w:tc>
        <w:tc>
          <w:tcPr>
            <w:tcW w:w="371" w:type="pct"/>
            <w:noWrap/>
            <w:hideMark/>
          </w:tcPr>
          <w:p w14:paraId="6ADD5F03" w14:textId="77777777" w:rsidR="00120717" w:rsidRPr="007A4ECB" w:rsidRDefault="00120717" w:rsidP="00A94807">
            <w:pPr>
              <w:jc w:val="right"/>
              <w:rPr>
                <w:rFonts w:cs="Calibri"/>
                <w:color w:val="000000"/>
                <w:sz w:val="15"/>
                <w:szCs w:val="15"/>
              </w:rPr>
            </w:pPr>
            <w:r w:rsidRPr="007A4ECB">
              <w:rPr>
                <w:rFonts w:cs="Calibri"/>
                <w:color w:val="000000"/>
                <w:sz w:val="15"/>
                <w:szCs w:val="15"/>
              </w:rPr>
              <w:t>2.0</w:t>
            </w:r>
          </w:p>
        </w:tc>
        <w:tc>
          <w:tcPr>
            <w:tcW w:w="372" w:type="pct"/>
            <w:noWrap/>
            <w:hideMark/>
          </w:tcPr>
          <w:p w14:paraId="4992E941" w14:textId="77777777" w:rsidR="00120717" w:rsidRPr="007A4ECB" w:rsidRDefault="00120717" w:rsidP="00A94807">
            <w:pPr>
              <w:jc w:val="right"/>
              <w:rPr>
                <w:rFonts w:cs="Calibri"/>
                <w:color w:val="000000"/>
                <w:sz w:val="15"/>
                <w:szCs w:val="15"/>
              </w:rPr>
            </w:pPr>
            <w:r w:rsidRPr="007A4ECB">
              <w:rPr>
                <w:rFonts w:cs="Calibri"/>
                <w:color w:val="000000"/>
                <w:sz w:val="15"/>
                <w:szCs w:val="15"/>
              </w:rPr>
              <w:t>2.2</w:t>
            </w:r>
          </w:p>
        </w:tc>
        <w:tc>
          <w:tcPr>
            <w:tcW w:w="371" w:type="pct"/>
            <w:noWrap/>
            <w:hideMark/>
          </w:tcPr>
          <w:p w14:paraId="240B437F" w14:textId="77777777" w:rsidR="00120717" w:rsidRPr="007A4ECB" w:rsidRDefault="00120717" w:rsidP="00A94807">
            <w:pPr>
              <w:jc w:val="right"/>
              <w:rPr>
                <w:rFonts w:cs="Calibri"/>
                <w:color w:val="000000"/>
                <w:sz w:val="15"/>
                <w:szCs w:val="15"/>
              </w:rPr>
            </w:pPr>
            <w:r w:rsidRPr="007A4ECB">
              <w:rPr>
                <w:rFonts w:cs="Calibri"/>
                <w:color w:val="000000"/>
                <w:sz w:val="15"/>
                <w:szCs w:val="15"/>
              </w:rPr>
              <w:t>2.1</w:t>
            </w:r>
          </w:p>
        </w:tc>
        <w:tc>
          <w:tcPr>
            <w:tcW w:w="372" w:type="pct"/>
            <w:noWrap/>
            <w:hideMark/>
          </w:tcPr>
          <w:p w14:paraId="5F2933A7" w14:textId="77777777" w:rsidR="00120717" w:rsidRPr="007A4ECB" w:rsidRDefault="00120717" w:rsidP="00A94807">
            <w:pPr>
              <w:jc w:val="right"/>
              <w:rPr>
                <w:rFonts w:cs="Calibri"/>
                <w:color w:val="000000"/>
                <w:sz w:val="15"/>
                <w:szCs w:val="15"/>
              </w:rPr>
            </w:pPr>
            <w:r w:rsidRPr="007A4ECB">
              <w:rPr>
                <w:rFonts w:cs="Calibri"/>
                <w:color w:val="000000"/>
                <w:sz w:val="15"/>
                <w:szCs w:val="15"/>
              </w:rPr>
              <w:t>2.0</w:t>
            </w:r>
          </w:p>
        </w:tc>
        <w:tc>
          <w:tcPr>
            <w:tcW w:w="371" w:type="pct"/>
            <w:noWrap/>
            <w:hideMark/>
          </w:tcPr>
          <w:p w14:paraId="4AAF89AD" w14:textId="77777777" w:rsidR="00120717" w:rsidRPr="007A4ECB" w:rsidRDefault="00120717" w:rsidP="00A94807">
            <w:pPr>
              <w:jc w:val="right"/>
              <w:rPr>
                <w:rFonts w:cs="Calibri"/>
                <w:color w:val="000000"/>
                <w:sz w:val="15"/>
                <w:szCs w:val="15"/>
              </w:rPr>
            </w:pPr>
            <w:r w:rsidRPr="007A4ECB">
              <w:rPr>
                <w:rFonts w:cs="Calibri"/>
                <w:color w:val="000000"/>
                <w:sz w:val="15"/>
                <w:szCs w:val="15"/>
              </w:rPr>
              <w:t>2.1</w:t>
            </w:r>
          </w:p>
        </w:tc>
        <w:tc>
          <w:tcPr>
            <w:tcW w:w="372" w:type="pct"/>
            <w:noWrap/>
            <w:hideMark/>
          </w:tcPr>
          <w:p w14:paraId="4B417CED" w14:textId="77777777" w:rsidR="00120717" w:rsidRPr="007A4ECB" w:rsidRDefault="00120717" w:rsidP="00A94807">
            <w:pPr>
              <w:jc w:val="right"/>
              <w:rPr>
                <w:rFonts w:cs="Calibri"/>
                <w:color w:val="000000"/>
                <w:sz w:val="15"/>
                <w:szCs w:val="15"/>
              </w:rPr>
            </w:pPr>
            <w:r w:rsidRPr="007A4ECB">
              <w:rPr>
                <w:rFonts w:cs="Calibri"/>
                <w:color w:val="000000"/>
                <w:sz w:val="15"/>
                <w:szCs w:val="15"/>
              </w:rPr>
              <w:t>2.1</w:t>
            </w:r>
          </w:p>
        </w:tc>
        <w:tc>
          <w:tcPr>
            <w:tcW w:w="370" w:type="pct"/>
          </w:tcPr>
          <w:p w14:paraId="2A626A17" w14:textId="77777777" w:rsidR="00120717" w:rsidRPr="007A4ECB" w:rsidRDefault="00120717" w:rsidP="00A94807">
            <w:pPr>
              <w:jc w:val="right"/>
              <w:rPr>
                <w:rFonts w:cs="Calibri"/>
                <w:color w:val="000000"/>
                <w:sz w:val="15"/>
                <w:szCs w:val="15"/>
              </w:rPr>
            </w:pPr>
            <w:r w:rsidRPr="007A4ECB">
              <w:rPr>
                <w:rFonts w:cs="Calibri"/>
                <w:color w:val="000000"/>
                <w:sz w:val="15"/>
                <w:szCs w:val="15"/>
              </w:rPr>
              <w:t>2.3</w:t>
            </w:r>
          </w:p>
        </w:tc>
      </w:tr>
      <w:tr w:rsidR="00120717" w:rsidRPr="007A4ECB" w14:paraId="6E764049" w14:textId="77777777" w:rsidTr="00A94807">
        <w:tc>
          <w:tcPr>
            <w:tcW w:w="2401" w:type="pct"/>
            <w:noWrap/>
            <w:hideMark/>
          </w:tcPr>
          <w:p w14:paraId="5BECBE17" w14:textId="77777777" w:rsidR="00120717" w:rsidRPr="007A4ECB" w:rsidRDefault="00120717" w:rsidP="00A94807">
            <w:pPr>
              <w:jc w:val="left"/>
              <w:rPr>
                <w:rFonts w:cs="Calibri"/>
                <w:color w:val="000000"/>
                <w:sz w:val="15"/>
                <w:szCs w:val="15"/>
              </w:rPr>
            </w:pPr>
            <w:r w:rsidRPr="007A4ECB">
              <w:rPr>
                <w:rFonts w:cs="Calibri"/>
                <w:color w:val="000000"/>
                <w:sz w:val="15"/>
                <w:szCs w:val="15"/>
              </w:rPr>
              <w:t>21 Works of art, etc.</w:t>
            </w:r>
          </w:p>
        </w:tc>
        <w:tc>
          <w:tcPr>
            <w:tcW w:w="371" w:type="pct"/>
            <w:noWrap/>
            <w:hideMark/>
          </w:tcPr>
          <w:p w14:paraId="24456DB2" w14:textId="77777777" w:rsidR="00120717" w:rsidRPr="007A4ECB" w:rsidRDefault="00120717" w:rsidP="00A94807">
            <w:pPr>
              <w:jc w:val="right"/>
              <w:rPr>
                <w:rFonts w:cs="Calibri"/>
                <w:color w:val="000000"/>
                <w:sz w:val="15"/>
                <w:szCs w:val="15"/>
              </w:rPr>
            </w:pPr>
            <w:r w:rsidRPr="007A4ECB">
              <w:rPr>
                <w:rFonts w:cs="Calibri"/>
                <w:color w:val="000000"/>
                <w:sz w:val="15"/>
                <w:szCs w:val="15"/>
              </w:rPr>
              <w:t>0.1</w:t>
            </w:r>
          </w:p>
        </w:tc>
        <w:tc>
          <w:tcPr>
            <w:tcW w:w="372" w:type="pct"/>
            <w:noWrap/>
            <w:hideMark/>
          </w:tcPr>
          <w:p w14:paraId="168E0A60" w14:textId="77777777" w:rsidR="00120717" w:rsidRPr="007A4ECB" w:rsidRDefault="00120717" w:rsidP="00A94807">
            <w:pPr>
              <w:jc w:val="right"/>
              <w:rPr>
                <w:rFonts w:cs="Calibri"/>
                <w:color w:val="000000"/>
                <w:sz w:val="15"/>
                <w:szCs w:val="15"/>
              </w:rPr>
            </w:pPr>
            <w:r w:rsidRPr="007A4ECB">
              <w:rPr>
                <w:rFonts w:cs="Calibri"/>
                <w:color w:val="000000"/>
                <w:sz w:val="15"/>
                <w:szCs w:val="15"/>
              </w:rPr>
              <w:t>0.1</w:t>
            </w:r>
          </w:p>
        </w:tc>
        <w:tc>
          <w:tcPr>
            <w:tcW w:w="371" w:type="pct"/>
            <w:noWrap/>
            <w:hideMark/>
          </w:tcPr>
          <w:p w14:paraId="6230CE01" w14:textId="77777777" w:rsidR="00120717" w:rsidRPr="007A4ECB" w:rsidRDefault="00120717" w:rsidP="00A94807">
            <w:pPr>
              <w:jc w:val="right"/>
              <w:rPr>
                <w:rFonts w:cs="Calibri"/>
                <w:color w:val="000000"/>
                <w:sz w:val="15"/>
                <w:szCs w:val="15"/>
              </w:rPr>
            </w:pPr>
            <w:r w:rsidRPr="007A4ECB">
              <w:rPr>
                <w:rFonts w:cs="Calibri"/>
                <w:color w:val="000000"/>
                <w:sz w:val="15"/>
                <w:szCs w:val="15"/>
              </w:rPr>
              <w:t>0.1</w:t>
            </w:r>
          </w:p>
        </w:tc>
        <w:tc>
          <w:tcPr>
            <w:tcW w:w="372" w:type="pct"/>
            <w:noWrap/>
            <w:hideMark/>
          </w:tcPr>
          <w:p w14:paraId="055BE0FF" w14:textId="77777777" w:rsidR="00120717" w:rsidRPr="007A4ECB" w:rsidRDefault="00120717" w:rsidP="00A94807">
            <w:pPr>
              <w:jc w:val="right"/>
              <w:rPr>
                <w:rFonts w:cs="Calibri"/>
                <w:color w:val="000000"/>
                <w:sz w:val="15"/>
                <w:szCs w:val="15"/>
              </w:rPr>
            </w:pPr>
            <w:r w:rsidRPr="007A4ECB">
              <w:rPr>
                <w:rFonts w:cs="Calibri"/>
                <w:color w:val="000000"/>
                <w:sz w:val="15"/>
                <w:szCs w:val="15"/>
              </w:rPr>
              <w:t>0.1</w:t>
            </w:r>
          </w:p>
        </w:tc>
        <w:tc>
          <w:tcPr>
            <w:tcW w:w="371" w:type="pct"/>
            <w:noWrap/>
            <w:hideMark/>
          </w:tcPr>
          <w:p w14:paraId="30D347F1" w14:textId="77777777" w:rsidR="00120717" w:rsidRPr="007A4ECB" w:rsidRDefault="00120717" w:rsidP="00A94807">
            <w:pPr>
              <w:jc w:val="right"/>
              <w:rPr>
                <w:rFonts w:cs="Calibri"/>
                <w:color w:val="000000"/>
                <w:sz w:val="15"/>
                <w:szCs w:val="15"/>
              </w:rPr>
            </w:pPr>
            <w:r w:rsidRPr="007A4ECB">
              <w:rPr>
                <w:rFonts w:cs="Calibri"/>
                <w:color w:val="000000"/>
                <w:sz w:val="15"/>
                <w:szCs w:val="15"/>
              </w:rPr>
              <w:t>0.1</w:t>
            </w:r>
          </w:p>
        </w:tc>
        <w:tc>
          <w:tcPr>
            <w:tcW w:w="372" w:type="pct"/>
            <w:noWrap/>
            <w:hideMark/>
          </w:tcPr>
          <w:p w14:paraId="347BAFF5" w14:textId="77777777" w:rsidR="00120717" w:rsidRPr="007A4ECB" w:rsidRDefault="00120717" w:rsidP="00A94807">
            <w:pPr>
              <w:jc w:val="right"/>
              <w:rPr>
                <w:rFonts w:cs="Calibri"/>
                <w:color w:val="000000"/>
                <w:sz w:val="15"/>
                <w:szCs w:val="15"/>
              </w:rPr>
            </w:pPr>
            <w:r w:rsidRPr="007A4ECB">
              <w:rPr>
                <w:rFonts w:cs="Calibri"/>
                <w:color w:val="000000"/>
                <w:sz w:val="15"/>
                <w:szCs w:val="15"/>
              </w:rPr>
              <w:t>0.1</w:t>
            </w:r>
          </w:p>
        </w:tc>
        <w:tc>
          <w:tcPr>
            <w:tcW w:w="370" w:type="pct"/>
          </w:tcPr>
          <w:p w14:paraId="081A27D1" w14:textId="77777777" w:rsidR="00120717" w:rsidRPr="007A4ECB" w:rsidRDefault="00120717" w:rsidP="00A94807">
            <w:pPr>
              <w:jc w:val="right"/>
              <w:rPr>
                <w:rFonts w:cs="Calibri"/>
                <w:color w:val="000000"/>
                <w:sz w:val="15"/>
                <w:szCs w:val="15"/>
              </w:rPr>
            </w:pPr>
            <w:r w:rsidRPr="007A4ECB">
              <w:rPr>
                <w:rFonts w:cs="Calibri"/>
                <w:color w:val="000000"/>
                <w:sz w:val="15"/>
                <w:szCs w:val="15"/>
              </w:rPr>
              <w:t>0.1</w:t>
            </w:r>
          </w:p>
        </w:tc>
      </w:tr>
      <w:tr w:rsidR="00120717" w:rsidRPr="007A4ECB" w14:paraId="51A9377E" w14:textId="77777777" w:rsidTr="00A94807">
        <w:trPr>
          <w:cnfStyle w:val="000000010000" w:firstRow="0" w:lastRow="0" w:firstColumn="0" w:lastColumn="0" w:oddVBand="0" w:evenVBand="0" w:oddHBand="0" w:evenHBand="1" w:firstRowFirstColumn="0" w:firstRowLastColumn="0" w:lastRowFirstColumn="0" w:lastRowLastColumn="0"/>
        </w:trPr>
        <w:tc>
          <w:tcPr>
            <w:tcW w:w="2401" w:type="pct"/>
            <w:noWrap/>
            <w:hideMark/>
          </w:tcPr>
          <w:p w14:paraId="498D15AC" w14:textId="77777777" w:rsidR="00120717" w:rsidRPr="007A4ECB" w:rsidRDefault="00120717" w:rsidP="00A94807">
            <w:pPr>
              <w:jc w:val="left"/>
              <w:rPr>
                <w:rFonts w:cs="Calibri"/>
                <w:color w:val="000000"/>
                <w:sz w:val="15"/>
                <w:szCs w:val="15"/>
              </w:rPr>
            </w:pPr>
            <w:r w:rsidRPr="007A4ECB">
              <w:rPr>
                <w:rFonts w:cs="Calibri"/>
                <w:color w:val="000000"/>
                <w:sz w:val="15"/>
                <w:szCs w:val="15"/>
              </w:rPr>
              <w:t>Other</w:t>
            </w:r>
          </w:p>
        </w:tc>
        <w:tc>
          <w:tcPr>
            <w:tcW w:w="371" w:type="pct"/>
            <w:noWrap/>
            <w:hideMark/>
          </w:tcPr>
          <w:p w14:paraId="448549B7" w14:textId="77777777" w:rsidR="00120717" w:rsidRPr="007A4ECB" w:rsidRDefault="00120717" w:rsidP="00A94807">
            <w:pPr>
              <w:jc w:val="right"/>
              <w:rPr>
                <w:rFonts w:cs="Calibri"/>
                <w:color w:val="000000"/>
                <w:sz w:val="15"/>
                <w:szCs w:val="15"/>
              </w:rPr>
            </w:pPr>
            <w:r w:rsidRPr="007A4ECB">
              <w:rPr>
                <w:rFonts w:cs="Calibri"/>
                <w:color w:val="000000"/>
                <w:sz w:val="15"/>
                <w:szCs w:val="15"/>
              </w:rPr>
              <w:t>0.5</w:t>
            </w:r>
          </w:p>
        </w:tc>
        <w:tc>
          <w:tcPr>
            <w:tcW w:w="372" w:type="pct"/>
            <w:noWrap/>
            <w:hideMark/>
          </w:tcPr>
          <w:p w14:paraId="4869D057" w14:textId="77777777" w:rsidR="00120717" w:rsidRPr="007A4ECB" w:rsidRDefault="00120717" w:rsidP="00A94807">
            <w:pPr>
              <w:jc w:val="right"/>
              <w:rPr>
                <w:rFonts w:cs="Calibri"/>
                <w:color w:val="000000"/>
                <w:sz w:val="15"/>
                <w:szCs w:val="15"/>
              </w:rPr>
            </w:pPr>
            <w:r w:rsidRPr="007A4ECB">
              <w:rPr>
                <w:rFonts w:cs="Calibri"/>
                <w:color w:val="000000"/>
                <w:sz w:val="15"/>
                <w:szCs w:val="15"/>
              </w:rPr>
              <w:t>0.7</w:t>
            </w:r>
          </w:p>
        </w:tc>
        <w:tc>
          <w:tcPr>
            <w:tcW w:w="371" w:type="pct"/>
            <w:noWrap/>
            <w:hideMark/>
          </w:tcPr>
          <w:p w14:paraId="1E6A71CC" w14:textId="77777777" w:rsidR="00120717" w:rsidRPr="007A4ECB" w:rsidRDefault="00120717" w:rsidP="00A94807">
            <w:pPr>
              <w:jc w:val="right"/>
              <w:rPr>
                <w:rFonts w:cs="Calibri"/>
                <w:color w:val="000000"/>
                <w:sz w:val="15"/>
                <w:szCs w:val="15"/>
              </w:rPr>
            </w:pPr>
            <w:r w:rsidRPr="007A4ECB">
              <w:rPr>
                <w:rFonts w:cs="Calibri"/>
                <w:color w:val="000000"/>
                <w:sz w:val="15"/>
                <w:szCs w:val="15"/>
              </w:rPr>
              <w:t>0.8</w:t>
            </w:r>
          </w:p>
        </w:tc>
        <w:tc>
          <w:tcPr>
            <w:tcW w:w="372" w:type="pct"/>
            <w:noWrap/>
            <w:hideMark/>
          </w:tcPr>
          <w:p w14:paraId="749C70EE" w14:textId="77777777" w:rsidR="00120717" w:rsidRPr="007A4ECB" w:rsidRDefault="00120717" w:rsidP="00A94807">
            <w:pPr>
              <w:jc w:val="right"/>
              <w:rPr>
                <w:rFonts w:cs="Calibri"/>
                <w:color w:val="000000"/>
                <w:sz w:val="15"/>
                <w:szCs w:val="15"/>
              </w:rPr>
            </w:pPr>
            <w:r w:rsidRPr="007A4ECB">
              <w:rPr>
                <w:rFonts w:cs="Calibri"/>
                <w:color w:val="000000"/>
                <w:sz w:val="15"/>
                <w:szCs w:val="15"/>
              </w:rPr>
              <w:t>1.0</w:t>
            </w:r>
          </w:p>
        </w:tc>
        <w:tc>
          <w:tcPr>
            <w:tcW w:w="371" w:type="pct"/>
            <w:noWrap/>
            <w:hideMark/>
          </w:tcPr>
          <w:p w14:paraId="30A541CA" w14:textId="77777777" w:rsidR="00120717" w:rsidRPr="007A4ECB" w:rsidRDefault="00120717" w:rsidP="00A94807">
            <w:pPr>
              <w:jc w:val="right"/>
              <w:rPr>
                <w:rFonts w:cs="Calibri"/>
                <w:color w:val="000000"/>
                <w:sz w:val="15"/>
                <w:szCs w:val="15"/>
              </w:rPr>
            </w:pPr>
            <w:r w:rsidRPr="007A4ECB">
              <w:rPr>
                <w:rFonts w:cs="Calibri"/>
                <w:color w:val="000000"/>
                <w:sz w:val="15"/>
                <w:szCs w:val="15"/>
              </w:rPr>
              <w:t>1.1</w:t>
            </w:r>
          </w:p>
        </w:tc>
        <w:tc>
          <w:tcPr>
            <w:tcW w:w="372" w:type="pct"/>
            <w:noWrap/>
            <w:hideMark/>
          </w:tcPr>
          <w:p w14:paraId="4ED9A871" w14:textId="77777777" w:rsidR="00120717" w:rsidRPr="007A4ECB" w:rsidRDefault="00120717" w:rsidP="00A94807">
            <w:pPr>
              <w:jc w:val="right"/>
              <w:rPr>
                <w:rFonts w:cs="Calibri"/>
                <w:color w:val="000000"/>
                <w:sz w:val="15"/>
                <w:szCs w:val="15"/>
              </w:rPr>
            </w:pPr>
            <w:r w:rsidRPr="007A4ECB">
              <w:rPr>
                <w:rFonts w:cs="Calibri"/>
                <w:color w:val="000000"/>
                <w:sz w:val="15"/>
                <w:szCs w:val="15"/>
              </w:rPr>
              <w:t>1.0</w:t>
            </w:r>
          </w:p>
        </w:tc>
        <w:tc>
          <w:tcPr>
            <w:tcW w:w="370" w:type="pct"/>
          </w:tcPr>
          <w:p w14:paraId="0F1FCA86" w14:textId="77777777" w:rsidR="00120717" w:rsidRPr="007A4ECB" w:rsidRDefault="00120717" w:rsidP="00A94807">
            <w:pPr>
              <w:jc w:val="right"/>
              <w:rPr>
                <w:rFonts w:cs="Calibri"/>
                <w:color w:val="000000"/>
                <w:sz w:val="15"/>
                <w:szCs w:val="15"/>
              </w:rPr>
            </w:pPr>
            <w:r w:rsidRPr="007A4ECB">
              <w:rPr>
                <w:rFonts w:cs="Calibri"/>
                <w:color w:val="000000"/>
                <w:sz w:val="15"/>
                <w:szCs w:val="15"/>
              </w:rPr>
              <w:t>1.4</w:t>
            </w:r>
          </w:p>
        </w:tc>
      </w:tr>
    </w:tbl>
    <w:p w14:paraId="63C2BB2E" w14:textId="77777777" w:rsidR="00120717" w:rsidRPr="00B93EE1" w:rsidRDefault="00120717" w:rsidP="006B1D61">
      <w:pPr>
        <w:pStyle w:val="NoteText"/>
        <w:spacing w:before="120"/>
        <w:rPr>
          <w:lang w:eastAsia="en-GB"/>
        </w:rPr>
      </w:pPr>
      <w:r w:rsidRPr="00B93EE1">
        <w:rPr>
          <w:lang w:eastAsia="en-GB"/>
        </w:rPr>
        <w:t>Source:</w:t>
      </w:r>
      <w:r w:rsidRPr="00B93EE1">
        <w:rPr>
          <w:lang w:eastAsia="en-GB"/>
        </w:rPr>
        <w:tab/>
        <w:t>WTO Secretariat calculations, based on UN Comtrade database.</w:t>
      </w:r>
    </w:p>
    <w:p w14:paraId="4093CED2" w14:textId="77777777" w:rsidR="00120717" w:rsidRPr="00B93EE1" w:rsidRDefault="00120717" w:rsidP="00E7313E">
      <w:pPr>
        <w:pStyle w:val="NoteText"/>
        <w:rPr>
          <w:rFonts w:eastAsia="Calibri"/>
        </w:rPr>
      </w:pPr>
    </w:p>
    <w:p w14:paraId="0172127A" w14:textId="77777777" w:rsidR="00120717" w:rsidRPr="00B93EE1" w:rsidRDefault="00120717" w:rsidP="00F64A35">
      <w:pPr>
        <w:pStyle w:val="NoteText"/>
        <w:rPr>
          <w:rFonts w:eastAsia="Calibri"/>
        </w:rPr>
      </w:pPr>
    </w:p>
    <w:p w14:paraId="103B910A" w14:textId="77777777" w:rsidR="00120717" w:rsidRPr="00B93EE1" w:rsidRDefault="00120717" w:rsidP="00E7313E">
      <w:pPr>
        <w:jc w:val="left"/>
        <w:rPr>
          <w:rFonts w:eastAsia="Calibri"/>
          <w:sz w:val="16"/>
        </w:rPr>
      </w:pPr>
      <w:r w:rsidRPr="00B93EE1">
        <w:rPr>
          <w:rFonts w:eastAsia="Calibri"/>
        </w:rPr>
        <w:br w:type="page"/>
      </w:r>
    </w:p>
    <w:p w14:paraId="5837E162" w14:textId="21FF88C6" w:rsidR="00120717" w:rsidRPr="00B93EE1" w:rsidRDefault="00DE713E" w:rsidP="00DE713E">
      <w:pPr>
        <w:pStyle w:val="Caption"/>
      </w:pPr>
      <w:bookmarkStart w:id="261" w:name="_Toc97803825"/>
      <w:r>
        <w:lastRenderedPageBreak/>
        <w:t>Table A1.</w:t>
      </w:r>
      <w:r w:rsidR="0012793B">
        <w:fldChar w:fldCharType="begin"/>
      </w:r>
      <w:r w:rsidR="0012793B">
        <w:instrText xml:space="preserve"> SEQ Table_A1. \* ARABIC </w:instrText>
      </w:r>
      <w:r w:rsidR="0012793B">
        <w:fldChar w:fldCharType="separate"/>
      </w:r>
      <w:r>
        <w:rPr>
          <w:noProof/>
        </w:rPr>
        <w:t>4</w:t>
      </w:r>
      <w:r w:rsidR="0012793B">
        <w:rPr>
          <w:noProof/>
        </w:rPr>
        <w:fldChar w:fldCharType="end"/>
      </w:r>
      <w:r w:rsidR="00120717" w:rsidRPr="00B93EE1">
        <w:t xml:space="preserve"> Merchandise imports by origin, 2015-21</w:t>
      </w:r>
      <w:bookmarkEnd w:id="261"/>
    </w:p>
    <w:tbl>
      <w:tblPr>
        <w:tblStyle w:val="WTOTable1"/>
        <w:tblW w:w="5000" w:type="pct"/>
        <w:tblLook w:val="04A0" w:firstRow="1" w:lastRow="0" w:firstColumn="1" w:lastColumn="0" w:noHBand="0" w:noVBand="1"/>
      </w:tblPr>
      <w:tblGrid>
        <w:gridCol w:w="3396"/>
        <w:gridCol w:w="805"/>
        <w:gridCol w:w="804"/>
        <w:gridCol w:w="804"/>
        <w:gridCol w:w="804"/>
        <w:gridCol w:w="804"/>
        <w:gridCol w:w="804"/>
        <w:gridCol w:w="795"/>
      </w:tblGrid>
      <w:tr w:rsidR="00120717" w:rsidRPr="007A4ECB" w14:paraId="020F5A14" w14:textId="77777777" w:rsidTr="00F62DB6">
        <w:trPr>
          <w:cnfStyle w:val="100000000000" w:firstRow="1" w:lastRow="0" w:firstColumn="0" w:lastColumn="0" w:oddVBand="0" w:evenVBand="0" w:oddHBand="0" w:evenHBand="0" w:firstRowFirstColumn="0" w:firstRowLastColumn="0" w:lastRowFirstColumn="0" w:lastRowLastColumn="0"/>
          <w:trHeight w:val="144"/>
        </w:trPr>
        <w:tc>
          <w:tcPr>
            <w:tcW w:w="1883" w:type="pct"/>
            <w:noWrap/>
            <w:hideMark/>
          </w:tcPr>
          <w:p w14:paraId="72CE4D25" w14:textId="77777777" w:rsidR="00120717" w:rsidRPr="007A4ECB" w:rsidRDefault="00120717">
            <w:pPr>
              <w:jc w:val="left"/>
              <w:rPr>
                <w:color w:val="000000"/>
                <w:sz w:val="16"/>
                <w:szCs w:val="16"/>
              </w:rPr>
            </w:pPr>
            <w:r w:rsidRPr="007A4ECB">
              <w:rPr>
                <w:color w:val="000000"/>
                <w:sz w:val="16"/>
                <w:szCs w:val="16"/>
              </w:rPr>
              <w:t> </w:t>
            </w:r>
          </w:p>
        </w:tc>
        <w:tc>
          <w:tcPr>
            <w:tcW w:w="446" w:type="pct"/>
            <w:noWrap/>
            <w:hideMark/>
          </w:tcPr>
          <w:p w14:paraId="6F72732F" w14:textId="77777777" w:rsidR="00120717" w:rsidRPr="007A4ECB" w:rsidRDefault="00120717" w:rsidP="00BF60A8">
            <w:pPr>
              <w:ind w:right="113"/>
              <w:jc w:val="right"/>
              <w:rPr>
                <w:color w:val="FFFFFF" w:themeColor="background1"/>
                <w:sz w:val="16"/>
                <w:szCs w:val="16"/>
              </w:rPr>
            </w:pPr>
            <w:r w:rsidRPr="007A4ECB">
              <w:rPr>
                <w:color w:val="FFFFFF" w:themeColor="background1"/>
                <w:sz w:val="16"/>
                <w:szCs w:val="16"/>
              </w:rPr>
              <w:t>2015</w:t>
            </w:r>
          </w:p>
        </w:tc>
        <w:tc>
          <w:tcPr>
            <w:tcW w:w="446" w:type="pct"/>
            <w:noWrap/>
            <w:hideMark/>
          </w:tcPr>
          <w:p w14:paraId="14B9BDE6" w14:textId="77777777" w:rsidR="00120717" w:rsidRPr="007A4ECB" w:rsidRDefault="00120717" w:rsidP="00BF60A8">
            <w:pPr>
              <w:ind w:right="113"/>
              <w:jc w:val="right"/>
              <w:rPr>
                <w:color w:val="FFFFFF" w:themeColor="background1"/>
                <w:sz w:val="16"/>
                <w:szCs w:val="16"/>
              </w:rPr>
            </w:pPr>
            <w:r w:rsidRPr="007A4ECB">
              <w:rPr>
                <w:color w:val="FFFFFF" w:themeColor="background1"/>
                <w:sz w:val="16"/>
                <w:szCs w:val="16"/>
              </w:rPr>
              <w:t>2016</w:t>
            </w:r>
          </w:p>
        </w:tc>
        <w:tc>
          <w:tcPr>
            <w:tcW w:w="446" w:type="pct"/>
            <w:noWrap/>
            <w:hideMark/>
          </w:tcPr>
          <w:p w14:paraId="34B6E2B8" w14:textId="77777777" w:rsidR="00120717" w:rsidRPr="007A4ECB" w:rsidRDefault="00120717" w:rsidP="00BF60A8">
            <w:pPr>
              <w:ind w:right="113"/>
              <w:jc w:val="right"/>
              <w:rPr>
                <w:color w:val="FFFFFF" w:themeColor="background1"/>
                <w:sz w:val="16"/>
                <w:szCs w:val="16"/>
              </w:rPr>
            </w:pPr>
            <w:r w:rsidRPr="007A4ECB">
              <w:rPr>
                <w:color w:val="FFFFFF" w:themeColor="background1"/>
                <w:sz w:val="16"/>
                <w:szCs w:val="16"/>
              </w:rPr>
              <w:t>2017</w:t>
            </w:r>
          </w:p>
        </w:tc>
        <w:tc>
          <w:tcPr>
            <w:tcW w:w="446" w:type="pct"/>
            <w:noWrap/>
            <w:hideMark/>
          </w:tcPr>
          <w:p w14:paraId="67246F3A" w14:textId="77777777" w:rsidR="00120717" w:rsidRPr="007A4ECB" w:rsidRDefault="00120717" w:rsidP="00BF60A8">
            <w:pPr>
              <w:ind w:right="113"/>
              <w:jc w:val="right"/>
              <w:rPr>
                <w:color w:val="FFFFFF" w:themeColor="background1"/>
                <w:sz w:val="16"/>
                <w:szCs w:val="16"/>
              </w:rPr>
            </w:pPr>
            <w:r w:rsidRPr="007A4ECB">
              <w:rPr>
                <w:color w:val="FFFFFF" w:themeColor="background1"/>
                <w:sz w:val="16"/>
                <w:szCs w:val="16"/>
              </w:rPr>
              <w:t>2018</w:t>
            </w:r>
          </w:p>
        </w:tc>
        <w:tc>
          <w:tcPr>
            <w:tcW w:w="446" w:type="pct"/>
            <w:noWrap/>
            <w:hideMark/>
          </w:tcPr>
          <w:p w14:paraId="7BCC01B9" w14:textId="77777777" w:rsidR="00120717" w:rsidRPr="007A4ECB" w:rsidRDefault="00120717" w:rsidP="00BF60A8">
            <w:pPr>
              <w:ind w:right="113"/>
              <w:jc w:val="right"/>
              <w:rPr>
                <w:color w:val="FFFFFF" w:themeColor="background1"/>
                <w:sz w:val="16"/>
                <w:szCs w:val="16"/>
              </w:rPr>
            </w:pPr>
            <w:r w:rsidRPr="007A4ECB">
              <w:rPr>
                <w:color w:val="FFFFFF" w:themeColor="background1"/>
                <w:sz w:val="16"/>
                <w:szCs w:val="16"/>
              </w:rPr>
              <w:t>2019</w:t>
            </w:r>
          </w:p>
        </w:tc>
        <w:tc>
          <w:tcPr>
            <w:tcW w:w="446" w:type="pct"/>
            <w:noWrap/>
            <w:hideMark/>
          </w:tcPr>
          <w:p w14:paraId="5C6B077F" w14:textId="77777777" w:rsidR="00120717" w:rsidRPr="007A4ECB" w:rsidRDefault="00120717" w:rsidP="00BF60A8">
            <w:pPr>
              <w:ind w:right="113"/>
              <w:jc w:val="right"/>
              <w:rPr>
                <w:color w:val="FFFFFF" w:themeColor="background1"/>
                <w:sz w:val="16"/>
                <w:szCs w:val="16"/>
              </w:rPr>
            </w:pPr>
            <w:r w:rsidRPr="007A4ECB">
              <w:rPr>
                <w:color w:val="FFFFFF" w:themeColor="background1"/>
                <w:sz w:val="16"/>
                <w:szCs w:val="16"/>
              </w:rPr>
              <w:t>2020</w:t>
            </w:r>
          </w:p>
        </w:tc>
        <w:tc>
          <w:tcPr>
            <w:tcW w:w="441" w:type="pct"/>
            <w:noWrap/>
            <w:hideMark/>
          </w:tcPr>
          <w:p w14:paraId="110B858E" w14:textId="77777777" w:rsidR="00120717" w:rsidRPr="007A4ECB" w:rsidRDefault="00120717" w:rsidP="00BF60A8">
            <w:pPr>
              <w:ind w:right="113"/>
              <w:jc w:val="right"/>
              <w:rPr>
                <w:color w:val="FFFFFF" w:themeColor="background1"/>
                <w:sz w:val="16"/>
                <w:szCs w:val="16"/>
              </w:rPr>
            </w:pPr>
            <w:r w:rsidRPr="007A4ECB">
              <w:rPr>
                <w:color w:val="FFFFFF" w:themeColor="background1"/>
                <w:sz w:val="16"/>
                <w:szCs w:val="16"/>
              </w:rPr>
              <w:t>2021</w:t>
            </w:r>
          </w:p>
        </w:tc>
      </w:tr>
      <w:tr w:rsidR="00120717" w:rsidRPr="007A4ECB" w14:paraId="70E6848C" w14:textId="77777777" w:rsidTr="00F62DB6">
        <w:trPr>
          <w:trHeight w:val="101"/>
        </w:trPr>
        <w:tc>
          <w:tcPr>
            <w:tcW w:w="1883" w:type="pct"/>
            <w:noWrap/>
            <w:hideMark/>
          </w:tcPr>
          <w:p w14:paraId="21FF5B4D" w14:textId="77777777" w:rsidR="00120717" w:rsidRPr="007A4ECB" w:rsidRDefault="00120717">
            <w:pPr>
              <w:rPr>
                <w:sz w:val="16"/>
                <w:szCs w:val="16"/>
              </w:rPr>
            </w:pPr>
            <w:r w:rsidRPr="007A4ECB">
              <w:rPr>
                <w:sz w:val="16"/>
                <w:szCs w:val="16"/>
              </w:rPr>
              <w:t>Total imports (USD billion)</w:t>
            </w:r>
          </w:p>
        </w:tc>
        <w:tc>
          <w:tcPr>
            <w:tcW w:w="446" w:type="pct"/>
            <w:noWrap/>
            <w:hideMark/>
          </w:tcPr>
          <w:p w14:paraId="5C5E6EFE" w14:textId="77777777" w:rsidR="00120717" w:rsidRPr="007A4ECB" w:rsidRDefault="00120717" w:rsidP="00BF60A8">
            <w:pPr>
              <w:ind w:right="113"/>
              <w:jc w:val="right"/>
              <w:rPr>
                <w:color w:val="000000"/>
                <w:sz w:val="16"/>
                <w:szCs w:val="16"/>
              </w:rPr>
            </w:pPr>
            <w:r w:rsidRPr="007A4ECB">
              <w:rPr>
                <w:color w:val="000000"/>
                <w:sz w:val="16"/>
                <w:szCs w:val="16"/>
              </w:rPr>
              <w:t>36.5</w:t>
            </w:r>
          </w:p>
        </w:tc>
        <w:tc>
          <w:tcPr>
            <w:tcW w:w="446" w:type="pct"/>
            <w:noWrap/>
            <w:hideMark/>
          </w:tcPr>
          <w:p w14:paraId="2DD4E4D6" w14:textId="77777777" w:rsidR="00120717" w:rsidRPr="007A4ECB" w:rsidRDefault="00120717" w:rsidP="00BF60A8">
            <w:pPr>
              <w:ind w:right="113"/>
              <w:jc w:val="right"/>
              <w:rPr>
                <w:color w:val="000000"/>
                <w:sz w:val="16"/>
                <w:szCs w:val="16"/>
              </w:rPr>
            </w:pPr>
            <w:r w:rsidRPr="007A4ECB">
              <w:rPr>
                <w:color w:val="000000"/>
                <w:sz w:val="16"/>
                <w:szCs w:val="16"/>
              </w:rPr>
              <w:t>36.0</w:t>
            </w:r>
          </w:p>
        </w:tc>
        <w:tc>
          <w:tcPr>
            <w:tcW w:w="446" w:type="pct"/>
            <w:noWrap/>
            <w:hideMark/>
          </w:tcPr>
          <w:p w14:paraId="5B5BA20F" w14:textId="77777777" w:rsidR="00120717" w:rsidRPr="007A4ECB" w:rsidRDefault="00120717" w:rsidP="00BF60A8">
            <w:pPr>
              <w:ind w:right="113"/>
              <w:jc w:val="right"/>
              <w:rPr>
                <w:color w:val="000000"/>
                <w:sz w:val="16"/>
                <w:szCs w:val="16"/>
              </w:rPr>
            </w:pPr>
            <w:r w:rsidRPr="007A4ECB">
              <w:rPr>
                <w:color w:val="000000"/>
                <w:sz w:val="16"/>
                <w:szCs w:val="16"/>
              </w:rPr>
              <w:t>40.1</w:t>
            </w:r>
          </w:p>
        </w:tc>
        <w:tc>
          <w:tcPr>
            <w:tcW w:w="446" w:type="pct"/>
            <w:noWrap/>
            <w:hideMark/>
          </w:tcPr>
          <w:p w14:paraId="6564FBC1" w14:textId="77777777" w:rsidR="00120717" w:rsidRPr="007A4ECB" w:rsidRDefault="00120717" w:rsidP="00BF60A8">
            <w:pPr>
              <w:ind w:right="113"/>
              <w:jc w:val="right"/>
              <w:rPr>
                <w:color w:val="000000"/>
                <w:sz w:val="16"/>
                <w:szCs w:val="16"/>
              </w:rPr>
            </w:pPr>
            <w:r w:rsidRPr="007A4ECB">
              <w:rPr>
                <w:color w:val="000000"/>
                <w:sz w:val="16"/>
                <w:szCs w:val="16"/>
              </w:rPr>
              <w:t>43.7</w:t>
            </w:r>
          </w:p>
        </w:tc>
        <w:tc>
          <w:tcPr>
            <w:tcW w:w="446" w:type="pct"/>
            <w:noWrap/>
            <w:hideMark/>
          </w:tcPr>
          <w:p w14:paraId="6E1B00F0" w14:textId="77777777" w:rsidR="00120717" w:rsidRPr="007A4ECB" w:rsidRDefault="00120717" w:rsidP="00BF60A8">
            <w:pPr>
              <w:ind w:right="113"/>
              <w:jc w:val="right"/>
              <w:rPr>
                <w:color w:val="000000"/>
                <w:sz w:val="16"/>
                <w:szCs w:val="16"/>
              </w:rPr>
            </w:pPr>
            <w:r w:rsidRPr="007A4ECB">
              <w:rPr>
                <w:color w:val="000000"/>
                <w:sz w:val="16"/>
                <w:szCs w:val="16"/>
              </w:rPr>
              <w:t>42.3</w:t>
            </w:r>
          </w:p>
        </w:tc>
        <w:tc>
          <w:tcPr>
            <w:tcW w:w="446" w:type="pct"/>
            <w:noWrap/>
            <w:hideMark/>
          </w:tcPr>
          <w:p w14:paraId="1CFFF19F" w14:textId="77777777" w:rsidR="00120717" w:rsidRPr="007A4ECB" w:rsidRDefault="00120717" w:rsidP="00BF60A8">
            <w:pPr>
              <w:ind w:right="113"/>
              <w:jc w:val="right"/>
              <w:rPr>
                <w:color w:val="000000"/>
                <w:sz w:val="16"/>
                <w:szCs w:val="16"/>
              </w:rPr>
            </w:pPr>
            <w:r w:rsidRPr="007A4ECB">
              <w:rPr>
                <w:color w:val="000000"/>
                <w:sz w:val="16"/>
                <w:szCs w:val="16"/>
              </w:rPr>
              <w:t>37.1</w:t>
            </w:r>
          </w:p>
        </w:tc>
        <w:tc>
          <w:tcPr>
            <w:tcW w:w="441" w:type="pct"/>
            <w:noWrap/>
            <w:hideMark/>
          </w:tcPr>
          <w:p w14:paraId="21E5331C" w14:textId="77777777" w:rsidR="00120717" w:rsidRPr="007A4ECB" w:rsidRDefault="00120717" w:rsidP="00BF60A8">
            <w:pPr>
              <w:ind w:right="113"/>
              <w:jc w:val="right"/>
              <w:rPr>
                <w:color w:val="000000"/>
                <w:sz w:val="16"/>
                <w:szCs w:val="16"/>
              </w:rPr>
            </w:pPr>
            <w:r w:rsidRPr="007A4ECB">
              <w:rPr>
                <w:color w:val="000000"/>
                <w:sz w:val="16"/>
                <w:szCs w:val="16"/>
              </w:rPr>
              <w:t>49.4</w:t>
            </w:r>
          </w:p>
        </w:tc>
      </w:tr>
      <w:tr w:rsidR="00120717" w:rsidRPr="007A4ECB" w14:paraId="007BDB66" w14:textId="77777777" w:rsidTr="004E187B">
        <w:trPr>
          <w:cnfStyle w:val="000000010000" w:firstRow="0" w:lastRow="0" w:firstColumn="0" w:lastColumn="0" w:oddVBand="0" w:evenVBand="0" w:oddHBand="0" w:evenHBand="1" w:firstRowFirstColumn="0" w:firstRowLastColumn="0" w:lastRowFirstColumn="0" w:lastRowLastColumn="0"/>
          <w:trHeight w:val="61"/>
        </w:trPr>
        <w:tc>
          <w:tcPr>
            <w:tcW w:w="1883" w:type="pct"/>
            <w:noWrap/>
            <w:hideMark/>
          </w:tcPr>
          <w:p w14:paraId="5677E4B8" w14:textId="77777777" w:rsidR="00120717" w:rsidRPr="007A4ECB" w:rsidRDefault="00120717">
            <w:pPr>
              <w:jc w:val="right"/>
              <w:rPr>
                <w:color w:val="000000"/>
                <w:sz w:val="16"/>
                <w:szCs w:val="16"/>
              </w:rPr>
            </w:pPr>
          </w:p>
        </w:tc>
        <w:tc>
          <w:tcPr>
            <w:tcW w:w="3117" w:type="pct"/>
            <w:gridSpan w:val="7"/>
            <w:noWrap/>
            <w:hideMark/>
          </w:tcPr>
          <w:p w14:paraId="508E5C68" w14:textId="77777777" w:rsidR="00120717" w:rsidRPr="007A4ECB" w:rsidRDefault="00120717">
            <w:pPr>
              <w:jc w:val="center"/>
              <w:rPr>
                <w:b/>
                <w:bCs/>
                <w:sz w:val="16"/>
                <w:szCs w:val="16"/>
              </w:rPr>
            </w:pPr>
            <w:r w:rsidRPr="007A4ECB">
              <w:rPr>
                <w:b/>
                <w:bCs/>
                <w:sz w:val="16"/>
                <w:szCs w:val="16"/>
              </w:rPr>
              <w:t>(% of total imports)</w:t>
            </w:r>
          </w:p>
        </w:tc>
      </w:tr>
      <w:tr w:rsidR="00120717" w:rsidRPr="007A4ECB" w14:paraId="0BF13D41" w14:textId="77777777" w:rsidTr="00F62DB6">
        <w:trPr>
          <w:trHeight w:val="60"/>
        </w:trPr>
        <w:tc>
          <w:tcPr>
            <w:tcW w:w="1883" w:type="pct"/>
            <w:noWrap/>
            <w:hideMark/>
          </w:tcPr>
          <w:p w14:paraId="2A9C94D3" w14:textId="77777777" w:rsidR="00120717" w:rsidRPr="007A4ECB" w:rsidRDefault="00120717">
            <w:pPr>
              <w:jc w:val="left"/>
              <w:rPr>
                <w:sz w:val="16"/>
                <w:szCs w:val="16"/>
              </w:rPr>
            </w:pPr>
            <w:r w:rsidRPr="007A4ECB">
              <w:rPr>
                <w:sz w:val="16"/>
                <w:szCs w:val="16"/>
              </w:rPr>
              <w:t>Americas</w:t>
            </w:r>
          </w:p>
        </w:tc>
        <w:tc>
          <w:tcPr>
            <w:tcW w:w="446" w:type="pct"/>
            <w:noWrap/>
            <w:hideMark/>
          </w:tcPr>
          <w:p w14:paraId="5406220B" w14:textId="77777777" w:rsidR="00120717" w:rsidRPr="007A4ECB" w:rsidRDefault="00120717" w:rsidP="00BF60A8">
            <w:pPr>
              <w:ind w:right="113"/>
              <w:jc w:val="right"/>
              <w:rPr>
                <w:color w:val="000000"/>
                <w:sz w:val="16"/>
                <w:szCs w:val="16"/>
              </w:rPr>
            </w:pPr>
            <w:r w:rsidRPr="007A4ECB">
              <w:rPr>
                <w:color w:val="000000"/>
                <w:sz w:val="16"/>
                <w:szCs w:val="16"/>
              </w:rPr>
              <w:t>15.0</w:t>
            </w:r>
          </w:p>
        </w:tc>
        <w:tc>
          <w:tcPr>
            <w:tcW w:w="446" w:type="pct"/>
            <w:noWrap/>
            <w:hideMark/>
          </w:tcPr>
          <w:p w14:paraId="0A54D89A" w14:textId="77777777" w:rsidR="00120717" w:rsidRPr="007A4ECB" w:rsidRDefault="00120717" w:rsidP="00BF60A8">
            <w:pPr>
              <w:ind w:right="113"/>
              <w:jc w:val="right"/>
              <w:rPr>
                <w:color w:val="000000"/>
                <w:sz w:val="16"/>
                <w:szCs w:val="16"/>
              </w:rPr>
            </w:pPr>
            <w:r w:rsidRPr="007A4ECB">
              <w:rPr>
                <w:color w:val="000000"/>
                <w:sz w:val="16"/>
                <w:szCs w:val="16"/>
              </w:rPr>
              <w:t>14.6</w:t>
            </w:r>
          </w:p>
        </w:tc>
        <w:tc>
          <w:tcPr>
            <w:tcW w:w="446" w:type="pct"/>
            <w:noWrap/>
            <w:hideMark/>
          </w:tcPr>
          <w:p w14:paraId="74064A95" w14:textId="77777777" w:rsidR="00120717" w:rsidRPr="007A4ECB" w:rsidRDefault="00120717" w:rsidP="00BF60A8">
            <w:pPr>
              <w:ind w:right="113"/>
              <w:jc w:val="right"/>
              <w:rPr>
                <w:color w:val="000000"/>
                <w:sz w:val="16"/>
                <w:szCs w:val="16"/>
              </w:rPr>
            </w:pPr>
            <w:r w:rsidRPr="007A4ECB">
              <w:rPr>
                <w:color w:val="000000"/>
                <w:sz w:val="16"/>
                <w:szCs w:val="16"/>
              </w:rPr>
              <w:t>13.8</w:t>
            </w:r>
          </w:p>
        </w:tc>
        <w:tc>
          <w:tcPr>
            <w:tcW w:w="446" w:type="pct"/>
            <w:noWrap/>
            <w:hideMark/>
          </w:tcPr>
          <w:p w14:paraId="306830A3" w14:textId="77777777" w:rsidR="00120717" w:rsidRPr="007A4ECB" w:rsidRDefault="00120717" w:rsidP="00BF60A8">
            <w:pPr>
              <w:ind w:right="113"/>
              <w:jc w:val="right"/>
              <w:rPr>
                <w:color w:val="000000"/>
                <w:sz w:val="16"/>
                <w:szCs w:val="16"/>
              </w:rPr>
            </w:pPr>
            <w:r w:rsidRPr="007A4ECB">
              <w:rPr>
                <w:color w:val="000000"/>
                <w:sz w:val="16"/>
                <w:szCs w:val="16"/>
              </w:rPr>
              <w:t>13.3</w:t>
            </w:r>
          </w:p>
        </w:tc>
        <w:tc>
          <w:tcPr>
            <w:tcW w:w="446" w:type="pct"/>
            <w:noWrap/>
            <w:hideMark/>
          </w:tcPr>
          <w:p w14:paraId="281EB675" w14:textId="77777777" w:rsidR="00120717" w:rsidRPr="007A4ECB" w:rsidRDefault="00120717" w:rsidP="00BF60A8">
            <w:pPr>
              <w:ind w:right="113"/>
              <w:jc w:val="right"/>
              <w:rPr>
                <w:color w:val="000000"/>
                <w:sz w:val="16"/>
                <w:szCs w:val="16"/>
              </w:rPr>
            </w:pPr>
            <w:r w:rsidRPr="007A4ECB">
              <w:rPr>
                <w:color w:val="000000"/>
                <w:sz w:val="16"/>
                <w:szCs w:val="16"/>
              </w:rPr>
              <w:t>13.3</w:t>
            </w:r>
          </w:p>
        </w:tc>
        <w:tc>
          <w:tcPr>
            <w:tcW w:w="446" w:type="pct"/>
            <w:noWrap/>
            <w:hideMark/>
          </w:tcPr>
          <w:p w14:paraId="3D4A66CB" w14:textId="77777777" w:rsidR="00120717" w:rsidRPr="007A4ECB" w:rsidRDefault="00120717" w:rsidP="00BF60A8">
            <w:pPr>
              <w:ind w:right="113"/>
              <w:jc w:val="right"/>
              <w:rPr>
                <w:color w:val="000000"/>
                <w:sz w:val="16"/>
                <w:szCs w:val="16"/>
              </w:rPr>
            </w:pPr>
            <w:r w:rsidRPr="007A4ECB">
              <w:rPr>
                <w:color w:val="000000"/>
                <w:sz w:val="16"/>
                <w:szCs w:val="16"/>
              </w:rPr>
              <w:t>13.1</w:t>
            </w:r>
          </w:p>
        </w:tc>
        <w:tc>
          <w:tcPr>
            <w:tcW w:w="441" w:type="pct"/>
            <w:noWrap/>
            <w:hideMark/>
          </w:tcPr>
          <w:p w14:paraId="6A564DBD" w14:textId="77777777" w:rsidR="00120717" w:rsidRPr="007A4ECB" w:rsidRDefault="00120717" w:rsidP="00BF60A8">
            <w:pPr>
              <w:ind w:right="113"/>
              <w:jc w:val="right"/>
              <w:rPr>
                <w:color w:val="000000"/>
                <w:sz w:val="16"/>
                <w:szCs w:val="16"/>
              </w:rPr>
            </w:pPr>
            <w:r w:rsidRPr="007A4ECB">
              <w:rPr>
                <w:color w:val="000000"/>
                <w:sz w:val="16"/>
                <w:szCs w:val="16"/>
              </w:rPr>
              <w:t>11.5</w:t>
            </w:r>
          </w:p>
        </w:tc>
      </w:tr>
      <w:tr w:rsidR="00120717" w:rsidRPr="007A4ECB" w14:paraId="54CDD6E1" w14:textId="77777777" w:rsidTr="00F62DB6">
        <w:trPr>
          <w:cnfStyle w:val="000000010000" w:firstRow="0" w:lastRow="0" w:firstColumn="0" w:lastColumn="0" w:oddVBand="0" w:evenVBand="0" w:oddHBand="0" w:evenHBand="1" w:firstRowFirstColumn="0" w:firstRowLastColumn="0" w:lastRowFirstColumn="0" w:lastRowLastColumn="0"/>
          <w:trHeight w:val="123"/>
        </w:trPr>
        <w:tc>
          <w:tcPr>
            <w:tcW w:w="1883" w:type="pct"/>
            <w:noWrap/>
            <w:hideMark/>
          </w:tcPr>
          <w:p w14:paraId="40C7A82D" w14:textId="77777777" w:rsidR="00120717" w:rsidRPr="007A4ECB" w:rsidRDefault="00120717" w:rsidP="00BF60A8">
            <w:pPr>
              <w:ind w:left="174"/>
              <w:jc w:val="left"/>
              <w:rPr>
                <w:sz w:val="16"/>
                <w:szCs w:val="16"/>
              </w:rPr>
            </w:pPr>
            <w:r w:rsidRPr="007A4ECB">
              <w:rPr>
                <w:sz w:val="16"/>
                <w:szCs w:val="16"/>
              </w:rPr>
              <w:t>United States</w:t>
            </w:r>
          </w:p>
        </w:tc>
        <w:tc>
          <w:tcPr>
            <w:tcW w:w="446" w:type="pct"/>
            <w:noWrap/>
            <w:hideMark/>
          </w:tcPr>
          <w:p w14:paraId="468B9DB7" w14:textId="77777777" w:rsidR="00120717" w:rsidRPr="007A4ECB" w:rsidRDefault="00120717" w:rsidP="00BF60A8">
            <w:pPr>
              <w:ind w:right="113"/>
              <w:jc w:val="right"/>
              <w:rPr>
                <w:color w:val="000000"/>
                <w:sz w:val="16"/>
                <w:szCs w:val="16"/>
              </w:rPr>
            </w:pPr>
            <w:r w:rsidRPr="007A4ECB">
              <w:rPr>
                <w:color w:val="000000"/>
                <w:sz w:val="16"/>
                <w:szCs w:val="16"/>
              </w:rPr>
              <w:t>11.8</w:t>
            </w:r>
          </w:p>
        </w:tc>
        <w:tc>
          <w:tcPr>
            <w:tcW w:w="446" w:type="pct"/>
            <w:noWrap/>
            <w:hideMark/>
          </w:tcPr>
          <w:p w14:paraId="752E4760" w14:textId="77777777" w:rsidR="00120717" w:rsidRPr="007A4ECB" w:rsidRDefault="00120717" w:rsidP="00BF60A8">
            <w:pPr>
              <w:ind w:right="113"/>
              <w:jc w:val="right"/>
              <w:rPr>
                <w:color w:val="000000"/>
                <w:sz w:val="16"/>
                <w:szCs w:val="16"/>
              </w:rPr>
            </w:pPr>
            <w:r w:rsidRPr="007A4ECB">
              <w:rPr>
                <w:color w:val="000000"/>
                <w:sz w:val="16"/>
                <w:szCs w:val="16"/>
              </w:rPr>
              <w:t>11.3</w:t>
            </w:r>
          </w:p>
        </w:tc>
        <w:tc>
          <w:tcPr>
            <w:tcW w:w="446" w:type="pct"/>
            <w:noWrap/>
            <w:hideMark/>
          </w:tcPr>
          <w:p w14:paraId="0B751C2C" w14:textId="77777777" w:rsidR="00120717" w:rsidRPr="007A4ECB" w:rsidRDefault="00120717" w:rsidP="00BF60A8">
            <w:pPr>
              <w:ind w:right="113"/>
              <w:jc w:val="right"/>
              <w:rPr>
                <w:color w:val="000000"/>
                <w:sz w:val="16"/>
                <w:szCs w:val="16"/>
              </w:rPr>
            </w:pPr>
            <w:r w:rsidRPr="007A4ECB">
              <w:rPr>
                <w:color w:val="000000"/>
                <w:sz w:val="16"/>
                <w:szCs w:val="16"/>
              </w:rPr>
              <w:t>10.7</w:t>
            </w:r>
          </w:p>
        </w:tc>
        <w:tc>
          <w:tcPr>
            <w:tcW w:w="446" w:type="pct"/>
            <w:noWrap/>
            <w:hideMark/>
          </w:tcPr>
          <w:p w14:paraId="26C685D9" w14:textId="77777777" w:rsidR="00120717" w:rsidRPr="007A4ECB" w:rsidRDefault="00120717" w:rsidP="00BF60A8">
            <w:pPr>
              <w:ind w:right="113"/>
              <w:jc w:val="right"/>
              <w:rPr>
                <w:color w:val="000000"/>
                <w:sz w:val="16"/>
                <w:szCs w:val="16"/>
              </w:rPr>
            </w:pPr>
            <w:r w:rsidRPr="007A4ECB">
              <w:rPr>
                <w:color w:val="000000"/>
                <w:sz w:val="16"/>
                <w:szCs w:val="16"/>
              </w:rPr>
              <w:t>10.1</w:t>
            </w:r>
          </w:p>
        </w:tc>
        <w:tc>
          <w:tcPr>
            <w:tcW w:w="446" w:type="pct"/>
            <w:noWrap/>
            <w:hideMark/>
          </w:tcPr>
          <w:p w14:paraId="2909A2B6" w14:textId="77777777" w:rsidR="00120717" w:rsidRPr="007A4ECB" w:rsidRDefault="00120717" w:rsidP="00BF60A8">
            <w:pPr>
              <w:ind w:right="113"/>
              <w:jc w:val="right"/>
              <w:rPr>
                <w:color w:val="000000"/>
                <w:sz w:val="16"/>
                <w:szCs w:val="16"/>
              </w:rPr>
            </w:pPr>
            <w:r w:rsidRPr="007A4ECB">
              <w:rPr>
                <w:color w:val="000000"/>
                <w:sz w:val="16"/>
                <w:szCs w:val="16"/>
              </w:rPr>
              <w:t>10.0</w:t>
            </w:r>
          </w:p>
        </w:tc>
        <w:tc>
          <w:tcPr>
            <w:tcW w:w="446" w:type="pct"/>
            <w:noWrap/>
            <w:hideMark/>
          </w:tcPr>
          <w:p w14:paraId="71B3E187" w14:textId="77777777" w:rsidR="00120717" w:rsidRPr="007A4ECB" w:rsidRDefault="00120717" w:rsidP="00BF60A8">
            <w:pPr>
              <w:ind w:right="113"/>
              <w:jc w:val="right"/>
              <w:rPr>
                <w:color w:val="000000"/>
                <w:sz w:val="16"/>
                <w:szCs w:val="16"/>
              </w:rPr>
            </w:pPr>
            <w:r w:rsidRPr="007A4ECB">
              <w:rPr>
                <w:color w:val="000000"/>
                <w:sz w:val="16"/>
                <w:szCs w:val="16"/>
              </w:rPr>
              <w:t>9.7</w:t>
            </w:r>
          </w:p>
        </w:tc>
        <w:tc>
          <w:tcPr>
            <w:tcW w:w="441" w:type="pct"/>
            <w:noWrap/>
            <w:hideMark/>
          </w:tcPr>
          <w:p w14:paraId="1CDFE7D7" w14:textId="77777777" w:rsidR="00120717" w:rsidRPr="007A4ECB" w:rsidRDefault="00120717" w:rsidP="00BF60A8">
            <w:pPr>
              <w:ind w:right="113"/>
              <w:jc w:val="right"/>
              <w:rPr>
                <w:color w:val="000000"/>
                <w:sz w:val="16"/>
                <w:szCs w:val="16"/>
              </w:rPr>
            </w:pPr>
            <w:r w:rsidRPr="007A4ECB">
              <w:rPr>
                <w:color w:val="000000"/>
                <w:sz w:val="16"/>
                <w:szCs w:val="16"/>
              </w:rPr>
              <w:t>8.6</w:t>
            </w:r>
          </w:p>
        </w:tc>
      </w:tr>
      <w:tr w:rsidR="00120717" w:rsidRPr="007A4ECB" w14:paraId="2DB3857D" w14:textId="77777777" w:rsidTr="00F62DB6">
        <w:trPr>
          <w:trHeight w:val="83"/>
        </w:trPr>
        <w:tc>
          <w:tcPr>
            <w:tcW w:w="1883" w:type="pct"/>
            <w:noWrap/>
            <w:hideMark/>
          </w:tcPr>
          <w:p w14:paraId="77B96348" w14:textId="77777777" w:rsidR="00120717" w:rsidRPr="007A4ECB" w:rsidRDefault="00120717" w:rsidP="00BF60A8">
            <w:pPr>
              <w:ind w:left="174"/>
              <w:jc w:val="left"/>
              <w:rPr>
                <w:sz w:val="16"/>
                <w:szCs w:val="16"/>
              </w:rPr>
            </w:pPr>
            <w:r w:rsidRPr="007A4ECB">
              <w:rPr>
                <w:sz w:val="16"/>
                <w:szCs w:val="16"/>
              </w:rPr>
              <w:t>Other America</w:t>
            </w:r>
          </w:p>
        </w:tc>
        <w:tc>
          <w:tcPr>
            <w:tcW w:w="446" w:type="pct"/>
            <w:noWrap/>
            <w:hideMark/>
          </w:tcPr>
          <w:p w14:paraId="1E22B06D" w14:textId="77777777" w:rsidR="00120717" w:rsidRPr="007A4ECB" w:rsidRDefault="00120717" w:rsidP="00BF60A8">
            <w:pPr>
              <w:ind w:right="113"/>
              <w:jc w:val="right"/>
              <w:rPr>
                <w:color w:val="000000"/>
                <w:sz w:val="16"/>
                <w:szCs w:val="16"/>
              </w:rPr>
            </w:pPr>
            <w:r w:rsidRPr="007A4ECB">
              <w:rPr>
                <w:color w:val="000000"/>
                <w:sz w:val="16"/>
                <w:szCs w:val="16"/>
              </w:rPr>
              <w:t>3.2</w:t>
            </w:r>
          </w:p>
        </w:tc>
        <w:tc>
          <w:tcPr>
            <w:tcW w:w="446" w:type="pct"/>
            <w:noWrap/>
            <w:hideMark/>
          </w:tcPr>
          <w:p w14:paraId="33D71566" w14:textId="77777777" w:rsidR="00120717" w:rsidRPr="007A4ECB" w:rsidRDefault="00120717" w:rsidP="00BF60A8">
            <w:pPr>
              <w:ind w:right="113"/>
              <w:jc w:val="right"/>
              <w:rPr>
                <w:color w:val="000000"/>
                <w:sz w:val="16"/>
                <w:szCs w:val="16"/>
              </w:rPr>
            </w:pPr>
            <w:r w:rsidRPr="007A4ECB">
              <w:rPr>
                <w:color w:val="000000"/>
                <w:sz w:val="16"/>
                <w:szCs w:val="16"/>
              </w:rPr>
              <w:t>3.3</w:t>
            </w:r>
          </w:p>
        </w:tc>
        <w:tc>
          <w:tcPr>
            <w:tcW w:w="446" w:type="pct"/>
            <w:noWrap/>
            <w:hideMark/>
          </w:tcPr>
          <w:p w14:paraId="5D5CAEB0" w14:textId="77777777" w:rsidR="00120717" w:rsidRPr="007A4ECB" w:rsidRDefault="00120717" w:rsidP="00BF60A8">
            <w:pPr>
              <w:ind w:right="113"/>
              <w:jc w:val="right"/>
              <w:rPr>
                <w:color w:val="000000"/>
                <w:sz w:val="16"/>
                <w:szCs w:val="16"/>
              </w:rPr>
            </w:pPr>
            <w:r w:rsidRPr="007A4ECB">
              <w:rPr>
                <w:color w:val="000000"/>
                <w:sz w:val="16"/>
                <w:szCs w:val="16"/>
              </w:rPr>
              <w:t>3.1</w:t>
            </w:r>
          </w:p>
        </w:tc>
        <w:tc>
          <w:tcPr>
            <w:tcW w:w="446" w:type="pct"/>
            <w:noWrap/>
            <w:hideMark/>
          </w:tcPr>
          <w:p w14:paraId="47A67E76" w14:textId="77777777" w:rsidR="00120717" w:rsidRPr="007A4ECB" w:rsidRDefault="00120717" w:rsidP="00BF60A8">
            <w:pPr>
              <w:ind w:right="113"/>
              <w:jc w:val="right"/>
              <w:rPr>
                <w:color w:val="000000"/>
                <w:sz w:val="16"/>
                <w:szCs w:val="16"/>
              </w:rPr>
            </w:pPr>
            <w:r w:rsidRPr="007A4ECB">
              <w:rPr>
                <w:color w:val="000000"/>
                <w:sz w:val="16"/>
                <w:szCs w:val="16"/>
              </w:rPr>
              <w:t>3.2</w:t>
            </w:r>
          </w:p>
        </w:tc>
        <w:tc>
          <w:tcPr>
            <w:tcW w:w="446" w:type="pct"/>
            <w:noWrap/>
            <w:hideMark/>
          </w:tcPr>
          <w:p w14:paraId="594E5D9E" w14:textId="77777777" w:rsidR="00120717" w:rsidRPr="007A4ECB" w:rsidRDefault="00120717" w:rsidP="00BF60A8">
            <w:pPr>
              <w:ind w:right="113"/>
              <w:jc w:val="right"/>
              <w:rPr>
                <w:color w:val="000000"/>
                <w:sz w:val="16"/>
                <w:szCs w:val="16"/>
              </w:rPr>
            </w:pPr>
            <w:r w:rsidRPr="007A4ECB">
              <w:rPr>
                <w:color w:val="000000"/>
                <w:sz w:val="16"/>
                <w:szCs w:val="16"/>
              </w:rPr>
              <w:t>3.3</w:t>
            </w:r>
          </w:p>
        </w:tc>
        <w:tc>
          <w:tcPr>
            <w:tcW w:w="446" w:type="pct"/>
            <w:noWrap/>
            <w:hideMark/>
          </w:tcPr>
          <w:p w14:paraId="2E6A4DB1" w14:textId="77777777" w:rsidR="00120717" w:rsidRPr="007A4ECB" w:rsidRDefault="00120717" w:rsidP="00BF60A8">
            <w:pPr>
              <w:ind w:right="113"/>
              <w:jc w:val="right"/>
              <w:rPr>
                <w:color w:val="000000"/>
                <w:sz w:val="16"/>
                <w:szCs w:val="16"/>
              </w:rPr>
            </w:pPr>
            <w:r w:rsidRPr="007A4ECB">
              <w:rPr>
                <w:color w:val="000000"/>
                <w:sz w:val="16"/>
                <w:szCs w:val="16"/>
              </w:rPr>
              <w:t>3.4</w:t>
            </w:r>
          </w:p>
        </w:tc>
        <w:tc>
          <w:tcPr>
            <w:tcW w:w="441" w:type="pct"/>
            <w:noWrap/>
            <w:hideMark/>
          </w:tcPr>
          <w:p w14:paraId="3F334A3B" w14:textId="77777777" w:rsidR="00120717" w:rsidRPr="007A4ECB" w:rsidRDefault="00120717" w:rsidP="00BF60A8">
            <w:pPr>
              <w:ind w:right="113"/>
              <w:jc w:val="right"/>
              <w:rPr>
                <w:color w:val="000000"/>
                <w:sz w:val="16"/>
                <w:szCs w:val="16"/>
              </w:rPr>
            </w:pPr>
            <w:r w:rsidRPr="007A4ECB">
              <w:rPr>
                <w:color w:val="000000"/>
                <w:sz w:val="16"/>
                <w:szCs w:val="16"/>
              </w:rPr>
              <w:t>2.9</w:t>
            </w:r>
          </w:p>
        </w:tc>
      </w:tr>
      <w:tr w:rsidR="00120717" w:rsidRPr="007A4ECB" w14:paraId="36C5D661" w14:textId="77777777" w:rsidTr="00F62DB6">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5B14CDE5" w14:textId="77777777" w:rsidR="00120717" w:rsidRPr="007A4ECB" w:rsidRDefault="00120717">
            <w:pPr>
              <w:jc w:val="left"/>
              <w:rPr>
                <w:sz w:val="16"/>
                <w:szCs w:val="16"/>
              </w:rPr>
            </w:pPr>
            <w:r w:rsidRPr="007A4ECB">
              <w:rPr>
                <w:sz w:val="16"/>
                <w:szCs w:val="16"/>
              </w:rPr>
              <w:tab/>
              <w:t>Canada</w:t>
            </w:r>
          </w:p>
        </w:tc>
        <w:tc>
          <w:tcPr>
            <w:tcW w:w="446" w:type="pct"/>
            <w:noWrap/>
            <w:hideMark/>
          </w:tcPr>
          <w:p w14:paraId="482BC0F4" w14:textId="77777777" w:rsidR="00120717" w:rsidRPr="007A4ECB" w:rsidRDefault="00120717" w:rsidP="00BF60A8">
            <w:pPr>
              <w:ind w:right="113"/>
              <w:jc w:val="right"/>
              <w:rPr>
                <w:color w:val="000000"/>
                <w:sz w:val="16"/>
                <w:szCs w:val="16"/>
              </w:rPr>
            </w:pPr>
            <w:r w:rsidRPr="007A4ECB">
              <w:rPr>
                <w:color w:val="000000"/>
                <w:sz w:val="16"/>
                <w:szCs w:val="16"/>
              </w:rPr>
              <w:t>1.2</w:t>
            </w:r>
          </w:p>
        </w:tc>
        <w:tc>
          <w:tcPr>
            <w:tcW w:w="446" w:type="pct"/>
            <w:noWrap/>
            <w:hideMark/>
          </w:tcPr>
          <w:p w14:paraId="519626A8" w14:textId="77777777" w:rsidR="00120717" w:rsidRPr="007A4ECB" w:rsidRDefault="00120717" w:rsidP="00BF60A8">
            <w:pPr>
              <w:ind w:right="113"/>
              <w:jc w:val="right"/>
              <w:rPr>
                <w:color w:val="000000"/>
                <w:sz w:val="16"/>
                <w:szCs w:val="16"/>
              </w:rPr>
            </w:pPr>
            <w:r w:rsidRPr="007A4ECB">
              <w:rPr>
                <w:color w:val="000000"/>
                <w:sz w:val="16"/>
                <w:szCs w:val="16"/>
              </w:rPr>
              <w:t>1.3</w:t>
            </w:r>
          </w:p>
        </w:tc>
        <w:tc>
          <w:tcPr>
            <w:tcW w:w="446" w:type="pct"/>
            <w:noWrap/>
            <w:hideMark/>
          </w:tcPr>
          <w:p w14:paraId="0855E8F4" w14:textId="77777777" w:rsidR="00120717" w:rsidRPr="007A4ECB" w:rsidRDefault="00120717" w:rsidP="00BF60A8">
            <w:pPr>
              <w:ind w:right="113"/>
              <w:jc w:val="right"/>
              <w:rPr>
                <w:color w:val="000000"/>
                <w:sz w:val="16"/>
                <w:szCs w:val="16"/>
              </w:rPr>
            </w:pPr>
            <w:r w:rsidRPr="007A4ECB">
              <w:rPr>
                <w:color w:val="000000"/>
                <w:sz w:val="16"/>
                <w:szCs w:val="16"/>
              </w:rPr>
              <w:t>1.1</w:t>
            </w:r>
          </w:p>
        </w:tc>
        <w:tc>
          <w:tcPr>
            <w:tcW w:w="446" w:type="pct"/>
            <w:noWrap/>
            <w:hideMark/>
          </w:tcPr>
          <w:p w14:paraId="62D69E06" w14:textId="77777777" w:rsidR="00120717" w:rsidRPr="007A4ECB" w:rsidRDefault="00120717" w:rsidP="00BF60A8">
            <w:pPr>
              <w:ind w:right="113"/>
              <w:jc w:val="right"/>
              <w:rPr>
                <w:color w:val="000000"/>
                <w:sz w:val="16"/>
                <w:szCs w:val="16"/>
              </w:rPr>
            </w:pPr>
            <w:r w:rsidRPr="007A4ECB">
              <w:rPr>
                <w:color w:val="000000"/>
                <w:sz w:val="16"/>
                <w:szCs w:val="16"/>
              </w:rPr>
              <w:t>1.1</w:t>
            </w:r>
          </w:p>
        </w:tc>
        <w:tc>
          <w:tcPr>
            <w:tcW w:w="446" w:type="pct"/>
            <w:noWrap/>
            <w:hideMark/>
          </w:tcPr>
          <w:p w14:paraId="5E792DA9" w14:textId="77777777" w:rsidR="00120717" w:rsidRPr="007A4ECB" w:rsidRDefault="00120717" w:rsidP="00BF60A8">
            <w:pPr>
              <w:ind w:right="113"/>
              <w:jc w:val="right"/>
              <w:rPr>
                <w:color w:val="000000"/>
                <w:sz w:val="16"/>
                <w:szCs w:val="16"/>
              </w:rPr>
            </w:pPr>
            <w:r w:rsidRPr="007A4ECB">
              <w:rPr>
                <w:color w:val="000000"/>
                <w:sz w:val="16"/>
                <w:szCs w:val="16"/>
              </w:rPr>
              <w:t>1.2</w:t>
            </w:r>
          </w:p>
        </w:tc>
        <w:tc>
          <w:tcPr>
            <w:tcW w:w="446" w:type="pct"/>
            <w:noWrap/>
            <w:hideMark/>
          </w:tcPr>
          <w:p w14:paraId="69D9924B" w14:textId="77777777" w:rsidR="00120717" w:rsidRPr="007A4ECB" w:rsidRDefault="00120717" w:rsidP="00BF60A8">
            <w:pPr>
              <w:ind w:right="113"/>
              <w:jc w:val="right"/>
              <w:rPr>
                <w:color w:val="000000"/>
                <w:sz w:val="16"/>
                <w:szCs w:val="16"/>
              </w:rPr>
            </w:pPr>
            <w:r w:rsidRPr="007A4ECB">
              <w:rPr>
                <w:color w:val="000000"/>
                <w:sz w:val="16"/>
                <w:szCs w:val="16"/>
              </w:rPr>
              <w:t>1.1</w:t>
            </w:r>
          </w:p>
        </w:tc>
        <w:tc>
          <w:tcPr>
            <w:tcW w:w="441" w:type="pct"/>
            <w:noWrap/>
            <w:hideMark/>
          </w:tcPr>
          <w:p w14:paraId="5ACE48A5" w14:textId="77777777" w:rsidR="00120717" w:rsidRPr="007A4ECB" w:rsidRDefault="00120717" w:rsidP="00BF60A8">
            <w:pPr>
              <w:ind w:right="113"/>
              <w:jc w:val="right"/>
              <w:rPr>
                <w:color w:val="000000"/>
                <w:sz w:val="16"/>
                <w:szCs w:val="16"/>
              </w:rPr>
            </w:pPr>
            <w:r w:rsidRPr="007A4ECB">
              <w:rPr>
                <w:color w:val="000000"/>
                <w:sz w:val="16"/>
                <w:szCs w:val="16"/>
              </w:rPr>
              <w:t>1.0</w:t>
            </w:r>
          </w:p>
        </w:tc>
      </w:tr>
      <w:tr w:rsidR="00120717" w:rsidRPr="007A4ECB" w14:paraId="7D8E5219" w14:textId="77777777" w:rsidTr="00F62DB6">
        <w:trPr>
          <w:trHeight w:val="130"/>
        </w:trPr>
        <w:tc>
          <w:tcPr>
            <w:tcW w:w="1883" w:type="pct"/>
            <w:noWrap/>
            <w:hideMark/>
          </w:tcPr>
          <w:p w14:paraId="5EBE2B6A" w14:textId="77777777" w:rsidR="00120717" w:rsidRPr="007A4ECB" w:rsidRDefault="00120717">
            <w:pPr>
              <w:jc w:val="left"/>
              <w:rPr>
                <w:sz w:val="16"/>
                <w:szCs w:val="16"/>
              </w:rPr>
            </w:pPr>
            <w:r w:rsidRPr="007A4ECB">
              <w:rPr>
                <w:sz w:val="16"/>
                <w:szCs w:val="16"/>
              </w:rPr>
              <w:tab/>
              <w:t>Mexico</w:t>
            </w:r>
          </w:p>
        </w:tc>
        <w:tc>
          <w:tcPr>
            <w:tcW w:w="446" w:type="pct"/>
            <w:noWrap/>
            <w:hideMark/>
          </w:tcPr>
          <w:p w14:paraId="40947C17" w14:textId="77777777" w:rsidR="00120717" w:rsidRPr="007A4ECB" w:rsidRDefault="00120717" w:rsidP="00BF60A8">
            <w:pPr>
              <w:ind w:right="113"/>
              <w:jc w:val="right"/>
              <w:rPr>
                <w:color w:val="000000"/>
                <w:sz w:val="16"/>
                <w:szCs w:val="16"/>
              </w:rPr>
            </w:pPr>
            <w:r w:rsidRPr="007A4ECB">
              <w:rPr>
                <w:color w:val="000000"/>
                <w:sz w:val="16"/>
                <w:szCs w:val="16"/>
              </w:rPr>
              <w:t>0.5</w:t>
            </w:r>
          </w:p>
        </w:tc>
        <w:tc>
          <w:tcPr>
            <w:tcW w:w="446" w:type="pct"/>
            <w:noWrap/>
            <w:hideMark/>
          </w:tcPr>
          <w:p w14:paraId="1B695E7E" w14:textId="77777777" w:rsidR="00120717" w:rsidRPr="007A4ECB" w:rsidRDefault="00120717" w:rsidP="00BF60A8">
            <w:pPr>
              <w:ind w:right="113"/>
              <w:jc w:val="right"/>
              <w:rPr>
                <w:color w:val="000000"/>
                <w:sz w:val="16"/>
                <w:szCs w:val="16"/>
              </w:rPr>
            </w:pPr>
            <w:r w:rsidRPr="007A4ECB">
              <w:rPr>
                <w:color w:val="000000"/>
                <w:sz w:val="16"/>
                <w:szCs w:val="16"/>
              </w:rPr>
              <w:t>0.5</w:t>
            </w:r>
          </w:p>
        </w:tc>
        <w:tc>
          <w:tcPr>
            <w:tcW w:w="446" w:type="pct"/>
            <w:noWrap/>
            <w:hideMark/>
          </w:tcPr>
          <w:p w14:paraId="345ABCF9"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181074F3"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4A63559C"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5FD81883" w14:textId="77777777" w:rsidR="00120717" w:rsidRPr="007A4ECB" w:rsidRDefault="00120717" w:rsidP="00BF60A8">
            <w:pPr>
              <w:ind w:right="113"/>
              <w:jc w:val="right"/>
              <w:rPr>
                <w:color w:val="000000"/>
                <w:sz w:val="16"/>
                <w:szCs w:val="16"/>
              </w:rPr>
            </w:pPr>
            <w:r w:rsidRPr="007A4ECB">
              <w:rPr>
                <w:color w:val="000000"/>
                <w:sz w:val="16"/>
                <w:szCs w:val="16"/>
              </w:rPr>
              <w:t>0.8</w:t>
            </w:r>
          </w:p>
        </w:tc>
        <w:tc>
          <w:tcPr>
            <w:tcW w:w="441" w:type="pct"/>
            <w:noWrap/>
            <w:hideMark/>
          </w:tcPr>
          <w:p w14:paraId="00314770" w14:textId="77777777" w:rsidR="00120717" w:rsidRPr="007A4ECB" w:rsidRDefault="00120717" w:rsidP="00BF60A8">
            <w:pPr>
              <w:ind w:right="113"/>
              <w:jc w:val="right"/>
              <w:rPr>
                <w:color w:val="000000"/>
                <w:sz w:val="16"/>
                <w:szCs w:val="16"/>
              </w:rPr>
            </w:pPr>
            <w:r w:rsidRPr="007A4ECB">
              <w:rPr>
                <w:color w:val="000000"/>
                <w:sz w:val="16"/>
                <w:szCs w:val="16"/>
              </w:rPr>
              <w:t>0.7</w:t>
            </w:r>
          </w:p>
        </w:tc>
      </w:tr>
      <w:tr w:rsidR="00120717" w:rsidRPr="007A4ECB" w14:paraId="04E32A34" w14:textId="77777777" w:rsidTr="00F62DB6">
        <w:trPr>
          <w:cnfStyle w:val="000000010000" w:firstRow="0" w:lastRow="0" w:firstColumn="0" w:lastColumn="0" w:oddVBand="0" w:evenVBand="0" w:oddHBand="0" w:evenHBand="1" w:firstRowFirstColumn="0" w:firstRowLastColumn="0" w:lastRowFirstColumn="0" w:lastRowLastColumn="0"/>
          <w:trHeight w:val="104"/>
        </w:trPr>
        <w:tc>
          <w:tcPr>
            <w:tcW w:w="1883" w:type="pct"/>
            <w:noWrap/>
            <w:hideMark/>
          </w:tcPr>
          <w:p w14:paraId="57F0950C" w14:textId="77777777" w:rsidR="00120717" w:rsidRPr="007A4ECB" w:rsidRDefault="00120717">
            <w:pPr>
              <w:jc w:val="left"/>
              <w:rPr>
                <w:sz w:val="16"/>
                <w:szCs w:val="16"/>
              </w:rPr>
            </w:pPr>
            <w:r w:rsidRPr="007A4ECB">
              <w:rPr>
                <w:sz w:val="16"/>
                <w:szCs w:val="16"/>
              </w:rPr>
              <w:tab/>
              <w:t>Argentina</w:t>
            </w:r>
          </w:p>
        </w:tc>
        <w:tc>
          <w:tcPr>
            <w:tcW w:w="446" w:type="pct"/>
            <w:noWrap/>
            <w:hideMark/>
          </w:tcPr>
          <w:p w14:paraId="4392E146" w14:textId="77777777" w:rsidR="00120717" w:rsidRPr="007A4ECB" w:rsidRDefault="00120717" w:rsidP="00BF60A8">
            <w:pPr>
              <w:ind w:right="113"/>
              <w:jc w:val="right"/>
              <w:rPr>
                <w:color w:val="000000"/>
                <w:sz w:val="16"/>
                <w:szCs w:val="16"/>
              </w:rPr>
            </w:pPr>
            <w:r w:rsidRPr="007A4ECB">
              <w:rPr>
                <w:color w:val="000000"/>
                <w:sz w:val="16"/>
                <w:szCs w:val="16"/>
              </w:rPr>
              <w:t>0.4</w:t>
            </w:r>
          </w:p>
        </w:tc>
        <w:tc>
          <w:tcPr>
            <w:tcW w:w="446" w:type="pct"/>
            <w:noWrap/>
            <w:hideMark/>
          </w:tcPr>
          <w:p w14:paraId="74D91431" w14:textId="77777777" w:rsidR="00120717" w:rsidRPr="007A4ECB" w:rsidRDefault="00120717" w:rsidP="00BF60A8">
            <w:pPr>
              <w:ind w:right="113"/>
              <w:jc w:val="right"/>
              <w:rPr>
                <w:color w:val="000000"/>
                <w:sz w:val="16"/>
                <w:szCs w:val="16"/>
              </w:rPr>
            </w:pPr>
            <w:r w:rsidRPr="007A4ECB">
              <w:rPr>
                <w:color w:val="000000"/>
                <w:sz w:val="16"/>
                <w:szCs w:val="16"/>
              </w:rPr>
              <w:t>0.4</w:t>
            </w:r>
          </w:p>
        </w:tc>
        <w:tc>
          <w:tcPr>
            <w:tcW w:w="446" w:type="pct"/>
            <w:noWrap/>
            <w:hideMark/>
          </w:tcPr>
          <w:p w14:paraId="46E88CDE" w14:textId="77777777" w:rsidR="00120717" w:rsidRPr="007A4ECB" w:rsidRDefault="00120717" w:rsidP="00BF60A8">
            <w:pPr>
              <w:ind w:right="113"/>
              <w:jc w:val="right"/>
              <w:rPr>
                <w:color w:val="000000"/>
                <w:sz w:val="16"/>
                <w:szCs w:val="16"/>
              </w:rPr>
            </w:pPr>
            <w:r w:rsidRPr="007A4ECB">
              <w:rPr>
                <w:color w:val="000000"/>
                <w:sz w:val="16"/>
                <w:szCs w:val="16"/>
              </w:rPr>
              <w:t>0.4</w:t>
            </w:r>
          </w:p>
        </w:tc>
        <w:tc>
          <w:tcPr>
            <w:tcW w:w="446" w:type="pct"/>
            <w:noWrap/>
            <w:hideMark/>
          </w:tcPr>
          <w:p w14:paraId="6270FE3B" w14:textId="77777777" w:rsidR="00120717" w:rsidRPr="007A4ECB" w:rsidRDefault="00120717" w:rsidP="00BF60A8">
            <w:pPr>
              <w:ind w:right="113"/>
              <w:jc w:val="right"/>
              <w:rPr>
                <w:color w:val="000000"/>
                <w:sz w:val="16"/>
                <w:szCs w:val="16"/>
              </w:rPr>
            </w:pPr>
            <w:r w:rsidRPr="007A4ECB">
              <w:rPr>
                <w:color w:val="000000"/>
                <w:sz w:val="16"/>
                <w:szCs w:val="16"/>
              </w:rPr>
              <w:t>0.4</w:t>
            </w:r>
          </w:p>
        </w:tc>
        <w:tc>
          <w:tcPr>
            <w:tcW w:w="446" w:type="pct"/>
            <w:noWrap/>
            <w:hideMark/>
          </w:tcPr>
          <w:p w14:paraId="23D6189E" w14:textId="77777777" w:rsidR="00120717" w:rsidRPr="007A4ECB" w:rsidRDefault="00120717" w:rsidP="00BF60A8">
            <w:pPr>
              <w:ind w:right="113"/>
              <w:jc w:val="right"/>
              <w:rPr>
                <w:color w:val="000000"/>
                <w:sz w:val="16"/>
                <w:szCs w:val="16"/>
              </w:rPr>
            </w:pPr>
            <w:r w:rsidRPr="007A4ECB">
              <w:rPr>
                <w:color w:val="000000"/>
                <w:sz w:val="16"/>
                <w:szCs w:val="16"/>
              </w:rPr>
              <w:t>0.4</w:t>
            </w:r>
          </w:p>
        </w:tc>
        <w:tc>
          <w:tcPr>
            <w:tcW w:w="446" w:type="pct"/>
            <w:noWrap/>
            <w:hideMark/>
          </w:tcPr>
          <w:p w14:paraId="677B308D" w14:textId="77777777" w:rsidR="00120717" w:rsidRPr="007A4ECB" w:rsidRDefault="00120717" w:rsidP="00BF60A8">
            <w:pPr>
              <w:ind w:right="113"/>
              <w:jc w:val="right"/>
              <w:rPr>
                <w:color w:val="000000"/>
                <w:sz w:val="16"/>
                <w:szCs w:val="16"/>
              </w:rPr>
            </w:pPr>
            <w:r w:rsidRPr="007A4ECB">
              <w:rPr>
                <w:color w:val="000000"/>
                <w:sz w:val="16"/>
                <w:szCs w:val="16"/>
              </w:rPr>
              <w:t>0.5</w:t>
            </w:r>
          </w:p>
        </w:tc>
        <w:tc>
          <w:tcPr>
            <w:tcW w:w="441" w:type="pct"/>
            <w:noWrap/>
            <w:hideMark/>
          </w:tcPr>
          <w:p w14:paraId="7C02722D" w14:textId="77777777" w:rsidR="00120717" w:rsidRPr="007A4ECB" w:rsidRDefault="00120717" w:rsidP="00BF60A8">
            <w:pPr>
              <w:ind w:right="113"/>
              <w:jc w:val="right"/>
              <w:rPr>
                <w:color w:val="000000"/>
                <w:sz w:val="16"/>
                <w:szCs w:val="16"/>
              </w:rPr>
            </w:pPr>
            <w:r w:rsidRPr="007A4ECB">
              <w:rPr>
                <w:color w:val="000000"/>
                <w:sz w:val="16"/>
                <w:szCs w:val="16"/>
              </w:rPr>
              <w:t>0.4</w:t>
            </w:r>
          </w:p>
        </w:tc>
      </w:tr>
      <w:tr w:rsidR="00120717" w:rsidRPr="007A4ECB" w14:paraId="2B2C602B" w14:textId="77777777" w:rsidTr="00F62DB6">
        <w:trPr>
          <w:trHeight w:val="63"/>
        </w:trPr>
        <w:tc>
          <w:tcPr>
            <w:tcW w:w="1883" w:type="pct"/>
            <w:noWrap/>
            <w:hideMark/>
          </w:tcPr>
          <w:p w14:paraId="19D6B820" w14:textId="77777777" w:rsidR="00120717" w:rsidRPr="007A4ECB" w:rsidRDefault="00120717">
            <w:pPr>
              <w:jc w:val="left"/>
              <w:rPr>
                <w:sz w:val="16"/>
                <w:szCs w:val="16"/>
              </w:rPr>
            </w:pPr>
            <w:r w:rsidRPr="007A4ECB">
              <w:rPr>
                <w:sz w:val="16"/>
                <w:szCs w:val="16"/>
              </w:rPr>
              <w:t>Europe</w:t>
            </w:r>
          </w:p>
        </w:tc>
        <w:tc>
          <w:tcPr>
            <w:tcW w:w="446" w:type="pct"/>
            <w:noWrap/>
            <w:hideMark/>
          </w:tcPr>
          <w:p w14:paraId="5D62760B" w14:textId="77777777" w:rsidR="00120717" w:rsidRPr="007A4ECB" w:rsidRDefault="00120717" w:rsidP="00BF60A8">
            <w:pPr>
              <w:ind w:right="113"/>
              <w:jc w:val="right"/>
              <w:rPr>
                <w:color w:val="000000"/>
                <w:sz w:val="16"/>
                <w:szCs w:val="16"/>
              </w:rPr>
            </w:pPr>
            <w:r w:rsidRPr="007A4ECB">
              <w:rPr>
                <w:color w:val="000000"/>
                <w:sz w:val="16"/>
                <w:szCs w:val="16"/>
              </w:rPr>
              <w:t>18.9</w:t>
            </w:r>
          </w:p>
        </w:tc>
        <w:tc>
          <w:tcPr>
            <w:tcW w:w="446" w:type="pct"/>
            <w:noWrap/>
            <w:hideMark/>
          </w:tcPr>
          <w:p w14:paraId="25577CB5" w14:textId="77777777" w:rsidR="00120717" w:rsidRPr="007A4ECB" w:rsidRDefault="00120717" w:rsidP="00BF60A8">
            <w:pPr>
              <w:ind w:right="113"/>
              <w:jc w:val="right"/>
              <w:rPr>
                <w:color w:val="000000"/>
                <w:sz w:val="16"/>
                <w:szCs w:val="16"/>
              </w:rPr>
            </w:pPr>
            <w:r w:rsidRPr="007A4ECB">
              <w:rPr>
                <w:color w:val="000000"/>
                <w:sz w:val="16"/>
                <w:szCs w:val="16"/>
              </w:rPr>
              <w:t>19.2</w:t>
            </w:r>
          </w:p>
        </w:tc>
        <w:tc>
          <w:tcPr>
            <w:tcW w:w="446" w:type="pct"/>
            <w:noWrap/>
            <w:hideMark/>
          </w:tcPr>
          <w:p w14:paraId="2857F722" w14:textId="77777777" w:rsidR="00120717" w:rsidRPr="007A4ECB" w:rsidRDefault="00120717" w:rsidP="00BF60A8">
            <w:pPr>
              <w:ind w:right="113"/>
              <w:jc w:val="right"/>
              <w:rPr>
                <w:color w:val="000000"/>
                <w:sz w:val="16"/>
                <w:szCs w:val="16"/>
              </w:rPr>
            </w:pPr>
            <w:r w:rsidRPr="007A4ECB">
              <w:rPr>
                <w:color w:val="000000"/>
                <w:sz w:val="16"/>
                <w:szCs w:val="16"/>
              </w:rPr>
              <w:t>19.6</w:t>
            </w:r>
          </w:p>
        </w:tc>
        <w:tc>
          <w:tcPr>
            <w:tcW w:w="446" w:type="pct"/>
            <w:noWrap/>
            <w:hideMark/>
          </w:tcPr>
          <w:p w14:paraId="51B0A2DA" w14:textId="77777777" w:rsidR="00120717" w:rsidRPr="007A4ECB" w:rsidRDefault="00120717" w:rsidP="00BF60A8">
            <w:pPr>
              <w:ind w:right="113"/>
              <w:jc w:val="right"/>
              <w:rPr>
                <w:color w:val="000000"/>
                <w:sz w:val="16"/>
                <w:szCs w:val="16"/>
              </w:rPr>
            </w:pPr>
            <w:r w:rsidRPr="007A4ECB">
              <w:rPr>
                <w:color w:val="000000"/>
                <w:sz w:val="16"/>
                <w:szCs w:val="16"/>
              </w:rPr>
              <w:t>19.1</w:t>
            </w:r>
          </w:p>
        </w:tc>
        <w:tc>
          <w:tcPr>
            <w:tcW w:w="446" w:type="pct"/>
            <w:noWrap/>
            <w:hideMark/>
          </w:tcPr>
          <w:p w14:paraId="00645453" w14:textId="77777777" w:rsidR="00120717" w:rsidRPr="007A4ECB" w:rsidRDefault="00120717" w:rsidP="00BF60A8">
            <w:pPr>
              <w:ind w:right="113"/>
              <w:jc w:val="right"/>
              <w:rPr>
                <w:color w:val="000000"/>
                <w:sz w:val="16"/>
                <w:szCs w:val="16"/>
              </w:rPr>
            </w:pPr>
            <w:r w:rsidRPr="007A4ECB">
              <w:rPr>
                <w:color w:val="000000"/>
                <w:sz w:val="16"/>
                <w:szCs w:val="16"/>
              </w:rPr>
              <w:t>20.1</w:t>
            </w:r>
          </w:p>
        </w:tc>
        <w:tc>
          <w:tcPr>
            <w:tcW w:w="446" w:type="pct"/>
            <w:noWrap/>
            <w:hideMark/>
          </w:tcPr>
          <w:p w14:paraId="2403A070" w14:textId="77777777" w:rsidR="00120717" w:rsidRPr="007A4ECB" w:rsidRDefault="00120717" w:rsidP="00BF60A8">
            <w:pPr>
              <w:ind w:right="113"/>
              <w:jc w:val="right"/>
              <w:rPr>
                <w:color w:val="000000"/>
                <w:sz w:val="16"/>
                <w:szCs w:val="16"/>
              </w:rPr>
            </w:pPr>
            <w:r w:rsidRPr="007A4ECB">
              <w:rPr>
                <w:color w:val="000000"/>
                <w:sz w:val="16"/>
                <w:szCs w:val="16"/>
              </w:rPr>
              <w:t>19.2</w:t>
            </w:r>
          </w:p>
        </w:tc>
        <w:tc>
          <w:tcPr>
            <w:tcW w:w="441" w:type="pct"/>
            <w:noWrap/>
            <w:hideMark/>
          </w:tcPr>
          <w:p w14:paraId="3A2EA994" w14:textId="77777777" w:rsidR="00120717" w:rsidRPr="007A4ECB" w:rsidRDefault="00120717" w:rsidP="00BF60A8">
            <w:pPr>
              <w:ind w:right="113"/>
              <w:jc w:val="right"/>
              <w:rPr>
                <w:color w:val="000000"/>
                <w:sz w:val="16"/>
                <w:szCs w:val="16"/>
              </w:rPr>
            </w:pPr>
            <w:r w:rsidRPr="007A4ECB">
              <w:rPr>
                <w:color w:val="000000"/>
                <w:sz w:val="16"/>
                <w:szCs w:val="16"/>
              </w:rPr>
              <w:t>19.3</w:t>
            </w:r>
          </w:p>
        </w:tc>
      </w:tr>
      <w:tr w:rsidR="00120717" w:rsidRPr="007A4ECB" w14:paraId="04ADCD72" w14:textId="77777777" w:rsidTr="00F62DB6">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60721D72" w14:textId="77777777" w:rsidR="00120717" w:rsidRPr="007A4ECB" w:rsidRDefault="00120717" w:rsidP="00BF60A8">
            <w:pPr>
              <w:ind w:left="174"/>
              <w:jc w:val="left"/>
              <w:rPr>
                <w:sz w:val="16"/>
                <w:szCs w:val="16"/>
              </w:rPr>
            </w:pPr>
            <w:r w:rsidRPr="007A4ECB">
              <w:rPr>
                <w:sz w:val="16"/>
                <w:szCs w:val="16"/>
              </w:rPr>
              <w:t>EU-27</w:t>
            </w:r>
          </w:p>
        </w:tc>
        <w:tc>
          <w:tcPr>
            <w:tcW w:w="446" w:type="pct"/>
            <w:noWrap/>
            <w:hideMark/>
          </w:tcPr>
          <w:p w14:paraId="14E097BA" w14:textId="77777777" w:rsidR="00120717" w:rsidRPr="007A4ECB" w:rsidRDefault="00120717" w:rsidP="00BF60A8">
            <w:pPr>
              <w:ind w:right="113"/>
              <w:jc w:val="right"/>
              <w:rPr>
                <w:color w:val="000000"/>
                <w:sz w:val="16"/>
                <w:szCs w:val="16"/>
              </w:rPr>
            </w:pPr>
            <w:r w:rsidRPr="007A4ECB">
              <w:rPr>
                <w:color w:val="000000"/>
                <w:sz w:val="16"/>
                <w:szCs w:val="16"/>
              </w:rPr>
              <w:t>15.1</w:t>
            </w:r>
          </w:p>
        </w:tc>
        <w:tc>
          <w:tcPr>
            <w:tcW w:w="446" w:type="pct"/>
            <w:noWrap/>
            <w:hideMark/>
          </w:tcPr>
          <w:p w14:paraId="072970F9" w14:textId="77777777" w:rsidR="00120717" w:rsidRPr="007A4ECB" w:rsidRDefault="00120717" w:rsidP="00BF60A8">
            <w:pPr>
              <w:ind w:right="113"/>
              <w:jc w:val="right"/>
              <w:rPr>
                <w:color w:val="000000"/>
                <w:sz w:val="16"/>
                <w:szCs w:val="16"/>
              </w:rPr>
            </w:pPr>
            <w:r w:rsidRPr="007A4ECB">
              <w:rPr>
                <w:color w:val="000000"/>
                <w:sz w:val="16"/>
                <w:szCs w:val="16"/>
              </w:rPr>
              <w:t>15.1</w:t>
            </w:r>
          </w:p>
        </w:tc>
        <w:tc>
          <w:tcPr>
            <w:tcW w:w="446" w:type="pct"/>
            <w:noWrap/>
            <w:hideMark/>
          </w:tcPr>
          <w:p w14:paraId="5BDFAEFC" w14:textId="77777777" w:rsidR="00120717" w:rsidRPr="007A4ECB" w:rsidRDefault="00120717" w:rsidP="00BF60A8">
            <w:pPr>
              <w:ind w:right="113"/>
              <w:jc w:val="right"/>
              <w:rPr>
                <w:color w:val="000000"/>
                <w:sz w:val="16"/>
                <w:szCs w:val="16"/>
              </w:rPr>
            </w:pPr>
            <w:r w:rsidRPr="007A4ECB">
              <w:rPr>
                <w:color w:val="000000"/>
                <w:sz w:val="16"/>
                <w:szCs w:val="16"/>
              </w:rPr>
              <w:t>15.3</w:t>
            </w:r>
          </w:p>
        </w:tc>
        <w:tc>
          <w:tcPr>
            <w:tcW w:w="446" w:type="pct"/>
            <w:noWrap/>
            <w:hideMark/>
          </w:tcPr>
          <w:p w14:paraId="2F48F208" w14:textId="77777777" w:rsidR="00120717" w:rsidRPr="007A4ECB" w:rsidRDefault="00120717" w:rsidP="00BF60A8">
            <w:pPr>
              <w:ind w:right="113"/>
              <w:jc w:val="right"/>
              <w:rPr>
                <w:color w:val="000000"/>
                <w:sz w:val="16"/>
                <w:szCs w:val="16"/>
              </w:rPr>
            </w:pPr>
            <w:r w:rsidRPr="007A4ECB">
              <w:rPr>
                <w:color w:val="000000"/>
                <w:sz w:val="16"/>
                <w:szCs w:val="16"/>
              </w:rPr>
              <w:t>15.0</w:t>
            </w:r>
          </w:p>
        </w:tc>
        <w:tc>
          <w:tcPr>
            <w:tcW w:w="446" w:type="pct"/>
            <w:noWrap/>
            <w:hideMark/>
          </w:tcPr>
          <w:p w14:paraId="1C79F9BF" w14:textId="77777777" w:rsidR="00120717" w:rsidRPr="007A4ECB" w:rsidRDefault="00120717" w:rsidP="00BF60A8">
            <w:pPr>
              <w:ind w:right="113"/>
              <w:jc w:val="right"/>
              <w:rPr>
                <w:color w:val="000000"/>
                <w:sz w:val="16"/>
                <w:szCs w:val="16"/>
              </w:rPr>
            </w:pPr>
            <w:r w:rsidRPr="007A4ECB">
              <w:rPr>
                <w:color w:val="000000"/>
                <w:sz w:val="16"/>
                <w:szCs w:val="16"/>
              </w:rPr>
              <w:t>16.0</w:t>
            </w:r>
          </w:p>
        </w:tc>
        <w:tc>
          <w:tcPr>
            <w:tcW w:w="446" w:type="pct"/>
            <w:noWrap/>
            <w:hideMark/>
          </w:tcPr>
          <w:p w14:paraId="0E6EC9E4" w14:textId="77777777" w:rsidR="00120717" w:rsidRPr="007A4ECB" w:rsidRDefault="00120717" w:rsidP="00BF60A8">
            <w:pPr>
              <w:ind w:right="113"/>
              <w:jc w:val="right"/>
              <w:rPr>
                <w:color w:val="000000"/>
                <w:sz w:val="16"/>
                <w:szCs w:val="16"/>
              </w:rPr>
            </w:pPr>
            <w:r w:rsidRPr="007A4ECB">
              <w:rPr>
                <w:color w:val="000000"/>
                <w:sz w:val="16"/>
                <w:szCs w:val="16"/>
              </w:rPr>
              <w:t>15.4</w:t>
            </w:r>
          </w:p>
        </w:tc>
        <w:tc>
          <w:tcPr>
            <w:tcW w:w="441" w:type="pct"/>
            <w:noWrap/>
            <w:hideMark/>
          </w:tcPr>
          <w:p w14:paraId="4B43D777" w14:textId="77777777" w:rsidR="00120717" w:rsidRPr="007A4ECB" w:rsidRDefault="00120717" w:rsidP="00BF60A8">
            <w:pPr>
              <w:ind w:right="113"/>
              <w:jc w:val="right"/>
              <w:rPr>
                <w:color w:val="000000"/>
                <w:sz w:val="16"/>
                <w:szCs w:val="16"/>
              </w:rPr>
            </w:pPr>
            <w:r w:rsidRPr="007A4ECB">
              <w:rPr>
                <w:color w:val="000000"/>
                <w:sz w:val="16"/>
                <w:szCs w:val="16"/>
              </w:rPr>
              <w:t>15.7</w:t>
            </w:r>
          </w:p>
        </w:tc>
      </w:tr>
      <w:tr w:rsidR="00120717" w:rsidRPr="007A4ECB" w14:paraId="0F6A74CB" w14:textId="77777777" w:rsidTr="00F62DB6">
        <w:trPr>
          <w:trHeight w:val="112"/>
        </w:trPr>
        <w:tc>
          <w:tcPr>
            <w:tcW w:w="1883" w:type="pct"/>
            <w:noWrap/>
            <w:hideMark/>
          </w:tcPr>
          <w:p w14:paraId="1AAF4065" w14:textId="77777777" w:rsidR="00120717" w:rsidRPr="007A4ECB" w:rsidRDefault="00120717">
            <w:pPr>
              <w:jc w:val="left"/>
              <w:rPr>
                <w:sz w:val="16"/>
                <w:szCs w:val="16"/>
              </w:rPr>
            </w:pPr>
            <w:r w:rsidRPr="007A4ECB">
              <w:rPr>
                <w:sz w:val="16"/>
                <w:szCs w:val="16"/>
              </w:rPr>
              <w:tab/>
              <w:t>Germany</w:t>
            </w:r>
          </w:p>
        </w:tc>
        <w:tc>
          <w:tcPr>
            <w:tcW w:w="446" w:type="pct"/>
            <w:noWrap/>
            <w:hideMark/>
          </w:tcPr>
          <w:p w14:paraId="50461C16" w14:textId="77777777" w:rsidR="00120717" w:rsidRPr="007A4ECB" w:rsidRDefault="00120717" w:rsidP="00BF60A8">
            <w:pPr>
              <w:ind w:right="113"/>
              <w:jc w:val="right"/>
              <w:rPr>
                <w:color w:val="000000"/>
                <w:sz w:val="16"/>
                <w:szCs w:val="16"/>
              </w:rPr>
            </w:pPr>
            <w:r w:rsidRPr="007A4ECB">
              <w:rPr>
                <w:color w:val="000000"/>
                <w:sz w:val="16"/>
                <w:szCs w:val="16"/>
              </w:rPr>
              <w:t>4.7</w:t>
            </w:r>
          </w:p>
        </w:tc>
        <w:tc>
          <w:tcPr>
            <w:tcW w:w="446" w:type="pct"/>
            <w:noWrap/>
            <w:hideMark/>
          </w:tcPr>
          <w:p w14:paraId="2CB05714" w14:textId="77777777" w:rsidR="00120717" w:rsidRPr="007A4ECB" w:rsidRDefault="00120717" w:rsidP="00BF60A8">
            <w:pPr>
              <w:ind w:right="113"/>
              <w:jc w:val="right"/>
              <w:rPr>
                <w:color w:val="000000"/>
                <w:sz w:val="16"/>
                <w:szCs w:val="16"/>
              </w:rPr>
            </w:pPr>
            <w:r w:rsidRPr="007A4ECB">
              <w:rPr>
                <w:color w:val="000000"/>
                <w:sz w:val="16"/>
                <w:szCs w:val="16"/>
              </w:rPr>
              <w:t>4.8</w:t>
            </w:r>
          </w:p>
        </w:tc>
        <w:tc>
          <w:tcPr>
            <w:tcW w:w="446" w:type="pct"/>
            <w:noWrap/>
            <w:hideMark/>
          </w:tcPr>
          <w:p w14:paraId="04096100" w14:textId="77777777" w:rsidR="00120717" w:rsidRPr="007A4ECB" w:rsidRDefault="00120717" w:rsidP="00BF60A8">
            <w:pPr>
              <w:ind w:right="113"/>
              <w:jc w:val="right"/>
              <w:rPr>
                <w:color w:val="000000"/>
                <w:sz w:val="16"/>
                <w:szCs w:val="16"/>
              </w:rPr>
            </w:pPr>
            <w:r w:rsidRPr="007A4ECB">
              <w:rPr>
                <w:color w:val="000000"/>
                <w:sz w:val="16"/>
                <w:szCs w:val="16"/>
              </w:rPr>
              <w:t>5.3</w:t>
            </w:r>
          </w:p>
        </w:tc>
        <w:tc>
          <w:tcPr>
            <w:tcW w:w="446" w:type="pct"/>
            <w:noWrap/>
            <w:hideMark/>
          </w:tcPr>
          <w:p w14:paraId="76DB0275" w14:textId="77777777" w:rsidR="00120717" w:rsidRPr="007A4ECB" w:rsidRDefault="00120717" w:rsidP="00BF60A8">
            <w:pPr>
              <w:ind w:right="113"/>
              <w:jc w:val="right"/>
              <w:rPr>
                <w:color w:val="000000"/>
                <w:sz w:val="16"/>
                <w:szCs w:val="16"/>
              </w:rPr>
            </w:pPr>
            <w:r w:rsidRPr="007A4ECB">
              <w:rPr>
                <w:color w:val="000000"/>
                <w:sz w:val="16"/>
                <w:szCs w:val="16"/>
              </w:rPr>
              <w:t>5.1</w:t>
            </w:r>
          </w:p>
        </w:tc>
        <w:tc>
          <w:tcPr>
            <w:tcW w:w="446" w:type="pct"/>
            <w:noWrap/>
            <w:hideMark/>
          </w:tcPr>
          <w:p w14:paraId="4AFA2AF4" w14:textId="77777777" w:rsidR="00120717" w:rsidRPr="007A4ECB" w:rsidRDefault="00120717" w:rsidP="00BF60A8">
            <w:pPr>
              <w:ind w:right="113"/>
              <w:jc w:val="right"/>
              <w:rPr>
                <w:color w:val="000000"/>
                <w:sz w:val="16"/>
                <w:szCs w:val="16"/>
              </w:rPr>
            </w:pPr>
            <w:r w:rsidRPr="007A4ECB">
              <w:rPr>
                <w:color w:val="000000"/>
                <w:sz w:val="16"/>
                <w:szCs w:val="16"/>
              </w:rPr>
              <w:t>5.6</w:t>
            </w:r>
          </w:p>
        </w:tc>
        <w:tc>
          <w:tcPr>
            <w:tcW w:w="446" w:type="pct"/>
            <w:noWrap/>
            <w:hideMark/>
          </w:tcPr>
          <w:p w14:paraId="7A4EB492" w14:textId="77777777" w:rsidR="00120717" w:rsidRPr="007A4ECB" w:rsidRDefault="00120717" w:rsidP="00BF60A8">
            <w:pPr>
              <w:ind w:right="113"/>
              <w:jc w:val="right"/>
              <w:rPr>
                <w:color w:val="000000"/>
                <w:sz w:val="16"/>
                <w:szCs w:val="16"/>
              </w:rPr>
            </w:pPr>
            <w:r w:rsidRPr="007A4ECB">
              <w:rPr>
                <w:color w:val="000000"/>
                <w:sz w:val="16"/>
                <w:szCs w:val="16"/>
              </w:rPr>
              <w:t>4.7</w:t>
            </w:r>
          </w:p>
        </w:tc>
        <w:tc>
          <w:tcPr>
            <w:tcW w:w="441" w:type="pct"/>
            <w:noWrap/>
            <w:hideMark/>
          </w:tcPr>
          <w:p w14:paraId="38722E64" w14:textId="77777777" w:rsidR="00120717" w:rsidRPr="007A4ECB" w:rsidRDefault="00120717" w:rsidP="00BF60A8">
            <w:pPr>
              <w:ind w:right="113"/>
              <w:jc w:val="right"/>
              <w:rPr>
                <w:color w:val="000000"/>
                <w:sz w:val="16"/>
                <w:szCs w:val="16"/>
              </w:rPr>
            </w:pPr>
            <w:r w:rsidRPr="007A4ECB">
              <w:rPr>
                <w:color w:val="000000"/>
                <w:sz w:val="16"/>
                <w:szCs w:val="16"/>
              </w:rPr>
              <w:t>4.9</w:t>
            </w:r>
          </w:p>
        </w:tc>
      </w:tr>
      <w:tr w:rsidR="00120717" w:rsidRPr="007A4ECB" w14:paraId="503855C5" w14:textId="77777777" w:rsidTr="00F62DB6">
        <w:trPr>
          <w:cnfStyle w:val="000000010000" w:firstRow="0" w:lastRow="0" w:firstColumn="0" w:lastColumn="0" w:oddVBand="0" w:evenVBand="0" w:oddHBand="0" w:evenHBand="1" w:firstRowFirstColumn="0" w:firstRowLastColumn="0" w:lastRowFirstColumn="0" w:lastRowLastColumn="0"/>
          <w:trHeight w:val="71"/>
        </w:trPr>
        <w:tc>
          <w:tcPr>
            <w:tcW w:w="1883" w:type="pct"/>
            <w:noWrap/>
            <w:hideMark/>
          </w:tcPr>
          <w:p w14:paraId="020F47A6" w14:textId="77777777" w:rsidR="00120717" w:rsidRPr="007A4ECB" w:rsidRDefault="00120717">
            <w:pPr>
              <w:jc w:val="left"/>
              <w:rPr>
                <w:sz w:val="16"/>
                <w:szCs w:val="16"/>
              </w:rPr>
            </w:pPr>
            <w:r w:rsidRPr="007A4ECB">
              <w:rPr>
                <w:sz w:val="16"/>
                <w:szCs w:val="16"/>
              </w:rPr>
              <w:tab/>
              <w:t>Italy</w:t>
            </w:r>
          </w:p>
        </w:tc>
        <w:tc>
          <w:tcPr>
            <w:tcW w:w="446" w:type="pct"/>
            <w:noWrap/>
            <w:hideMark/>
          </w:tcPr>
          <w:p w14:paraId="1F3C4BC0" w14:textId="77777777" w:rsidR="00120717" w:rsidRPr="007A4ECB" w:rsidRDefault="00120717" w:rsidP="00BF60A8">
            <w:pPr>
              <w:ind w:right="113"/>
              <w:jc w:val="right"/>
              <w:rPr>
                <w:color w:val="000000"/>
                <w:sz w:val="16"/>
                <w:szCs w:val="16"/>
              </w:rPr>
            </w:pPr>
            <w:r w:rsidRPr="007A4ECB">
              <w:rPr>
                <w:color w:val="000000"/>
                <w:sz w:val="16"/>
                <w:szCs w:val="16"/>
              </w:rPr>
              <w:t>1.9</w:t>
            </w:r>
          </w:p>
        </w:tc>
        <w:tc>
          <w:tcPr>
            <w:tcW w:w="446" w:type="pct"/>
            <w:noWrap/>
            <w:hideMark/>
          </w:tcPr>
          <w:p w14:paraId="6732D12D" w14:textId="77777777" w:rsidR="00120717" w:rsidRPr="007A4ECB" w:rsidRDefault="00120717" w:rsidP="00BF60A8">
            <w:pPr>
              <w:ind w:right="113"/>
              <w:jc w:val="right"/>
              <w:rPr>
                <w:color w:val="000000"/>
                <w:sz w:val="16"/>
                <w:szCs w:val="16"/>
              </w:rPr>
            </w:pPr>
            <w:r w:rsidRPr="007A4ECB">
              <w:rPr>
                <w:color w:val="000000"/>
                <w:sz w:val="16"/>
                <w:szCs w:val="16"/>
              </w:rPr>
              <w:t>2.1</w:t>
            </w:r>
          </w:p>
        </w:tc>
        <w:tc>
          <w:tcPr>
            <w:tcW w:w="446" w:type="pct"/>
            <w:noWrap/>
            <w:hideMark/>
          </w:tcPr>
          <w:p w14:paraId="238FA6AF" w14:textId="77777777" w:rsidR="00120717" w:rsidRPr="007A4ECB" w:rsidRDefault="00120717" w:rsidP="00BF60A8">
            <w:pPr>
              <w:ind w:right="113"/>
              <w:jc w:val="right"/>
              <w:rPr>
                <w:color w:val="000000"/>
                <w:sz w:val="16"/>
                <w:szCs w:val="16"/>
              </w:rPr>
            </w:pPr>
            <w:r w:rsidRPr="007A4ECB">
              <w:rPr>
                <w:color w:val="000000"/>
                <w:sz w:val="16"/>
                <w:szCs w:val="16"/>
              </w:rPr>
              <w:t>2.1</w:t>
            </w:r>
          </w:p>
        </w:tc>
        <w:tc>
          <w:tcPr>
            <w:tcW w:w="446" w:type="pct"/>
            <w:noWrap/>
            <w:hideMark/>
          </w:tcPr>
          <w:p w14:paraId="58FA3A4D" w14:textId="77777777" w:rsidR="00120717" w:rsidRPr="007A4ECB" w:rsidRDefault="00120717" w:rsidP="00BF60A8">
            <w:pPr>
              <w:ind w:right="113"/>
              <w:jc w:val="right"/>
              <w:rPr>
                <w:color w:val="000000"/>
                <w:sz w:val="16"/>
                <w:szCs w:val="16"/>
              </w:rPr>
            </w:pPr>
            <w:r w:rsidRPr="007A4ECB">
              <w:rPr>
                <w:color w:val="000000"/>
                <w:sz w:val="16"/>
                <w:szCs w:val="16"/>
              </w:rPr>
              <w:t>2.1</w:t>
            </w:r>
          </w:p>
        </w:tc>
        <w:tc>
          <w:tcPr>
            <w:tcW w:w="446" w:type="pct"/>
            <w:noWrap/>
            <w:hideMark/>
          </w:tcPr>
          <w:p w14:paraId="129B74B1" w14:textId="77777777" w:rsidR="00120717" w:rsidRPr="007A4ECB" w:rsidRDefault="00120717" w:rsidP="00BF60A8">
            <w:pPr>
              <w:ind w:right="113"/>
              <w:jc w:val="right"/>
              <w:rPr>
                <w:color w:val="000000"/>
                <w:sz w:val="16"/>
                <w:szCs w:val="16"/>
              </w:rPr>
            </w:pPr>
            <w:r w:rsidRPr="007A4ECB">
              <w:rPr>
                <w:color w:val="000000"/>
                <w:sz w:val="16"/>
                <w:szCs w:val="16"/>
              </w:rPr>
              <w:t>2.1</w:t>
            </w:r>
          </w:p>
        </w:tc>
        <w:tc>
          <w:tcPr>
            <w:tcW w:w="446" w:type="pct"/>
            <w:noWrap/>
            <w:hideMark/>
          </w:tcPr>
          <w:p w14:paraId="70D8602C" w14:textId="77777777" w:rsidR="00120717" w:rsidRPr="007A4ECB" w:rsidRDefault="00120717" w:rsidP="00BF60A8">
            <w:pPr>
              <w:ind w:right="113"/>
              <w:jc w:val="right"/>
              <w:rPr>
                <w:color w:val="000000"/>
                <w:sz w:val="16"/>
                <w:szCs w:val="16"/>
              </w:rPr>
            </w:pPr>
            <w:r w:rsidRPr="007A4ECB">
              <w:rPr>
                <w:color w:val="000000"/>
                <w:sz w:val="16"/>
                <w:szCs w:val="16"/>
              </w:rPr>
              <w:t>2.3</w:t>
            </w:r>
          </w:p>
        </w:tc>
        <w:tc>
          <w:tcPr>
            <w:tcW w:w="441" w:type="pct"/>
            <w:noWrap/>
            <w:hideMark/>
          </w:tcPr>
          <w:p w14:paraId="37EE68D4" w14:textId="77777777" w:rsidR="00120717" w:rsidRPr="007A4ECB" w:rsidRDefault="00120717" w:rsidP="00BF60A8">
            <w:pPr>
              <w:ind w:right="113"/>
              <w:jc w:val="right"/>
              <w:rPr>
                <w:color w:val="000000"/>
                <w:sz w:val="16"/>
                <w:szCs w:val="16"/>
              </w:rPr>
            </w:pPr>
            <w:r w:rsidRPr="007A4ECB">
              <w:rPr>
                <w:color w:val="000000"/>
                <w:sz w:val="16"/>
                <w:szCs w:val="16"/>
              </w:rPr>
              <w:t>2.3</w:t>
            </w:r>
          </w:p>
        </w:tc>
      </w:tr>
      <w:tr w:rsidR="00120717" w:rsidRPr="007A4ECB" w14:paraId="39A1794B" w14:textId="77777777" w:rsidTr="00F62DB6">
        <w:trPr>
          <w:trHeight w:val="60"/>
        </w:trPr>
        <w:tc>
          <w:tcPr>
            <w:tcW w:w="1883" w:type="pct"/>
            <w:noWrap/>
            <w:hideMark/>
          </w:tcPr>
          <w:p w14:paraId="1C3F4EB8" w14:textId="77777777" w:rsidR="00120717" w:rsidRPr="007A4ECB" w:rsidRDefault="00120717">
            <w:pPr>
              <w:jc w:val="left"/>
              <w:rPr>
                <w:sz w:val="16"/>
                <w:szCs w:val="16"/>
              </w:rPr>
            </w:pPr>
            <w:r w:rsidRPr="007A4ECB">
              <w:rPr>
                <w:sz w:val="16"/>
                <w:szCs w:val="16"/>
              </w:rPr>
              <w:tab/>
              <w:t>France</w:t>
            </w:r>
          </w:p>
        </w:tc>
        <w:tc>
          <w:tcPr>
            <w:tcW w:w="446" w:type="pct"/>
            <w:noWrap/>
            <w:hideMark/>
          </w:tcPr>
          <w:p w14:paraId="43BBAEC0" w14:textId="77777777" w:rsidR="00120717" w:rsidRPr="007A4ECB" w:rsidRDefault="00120717" w:rsidP="00BF60A8">
            <w:pPr>
              <w:ind w:right="113"/>
              <w:jc w:val="right"/>
              <w:rPr>
                <w:color w:val="000000"/>
                <w:sz w:val="16"/>
                <w:szCs w:val="16"/>
              </w:rPr>
            </w:pPr>
            <w:r w:rsidRPr="007A4ECB">
              <w:rPr>
                <w:color w:val="000000"/>
                <w:sz w:val="16"/>
                <w:szCs w:val="16"/>
              </w:rPr>
              <w:t>2.6</w:t>
            </w:r>
          </w:p>
        </w:tc>
        <w:tc>
          <w:tcPr>
            <w:tcW w:w="446" w:type="pct"/>
            <w:noWrap/>
            <w:hideMark/>
          </w:tcPr>
          <w:p w14:paraId="122BE7A6" w14:textId="77777777" w:rsidR="00120717" w:rsidRPr="007A4ECB" w:rsidRDefault="00120717" w:rsidP="00BF60A8">
            <w:pPr>
              <w:ind w:right="113"/>
              <w:jc w:val="right"/>
              <w:rPr>
                <w:color w:val="000000"/>
                <w:sz w:val="16"/>
                <w:szCs w:val="16"/>
              </w:rPr>
            </w:pPr>
            <w:r w:rsidRPr="007A4ECB">
              <w:rPr>
                <w:color w:val="000000"/>
                <w:sz w:val="16"/>
                <w:szCs w:val="16"/>
              </w:rPr>
              <w:t>2.2</w:t>
            </w:r>
          </w:p>
        </w:tc>
        <w:tc>
          <w:tcPr>
            <w:tcW w:w="446" w:type="pct"/>
            <w:noWrap/>
            <w:hideMark/>
          </w:tcPr>
          <w:p w14:paraId="3962945C" w14:textId="77777777" w:rsidR="00120717" w:rsidRPr="007A4ECB" w:rsidRDefault="00120717" w:rsidP="00BF60A8">
            <w:pPr>
              <w:ind w:right="113"/>
              <w:jc w:val="right"/>
              <w:rPr>
                <w:color w:val="000000"/>
                <w:sz w:val="16"/>
                <w:szCs w:val="16"/>
              </w:rPr>
            </w:pPr>
            <w:r w:rsidRPr="007A4ECB">
              <w:rPr>
                <w:color w:val="000000"/>
                <w:sz w:val="16"/>
                <w:szCs w:val="16"/>
              </w:rPr>
              <w:t>1.8</w:t>
            </w:r>
          </w:p>
        </w:tc>
        <w:tc>
          <w:tcPr>
            <w:tcW w:w="446" w:type="pct"/>
            <w:noWrap/>
            <w:hideMark/>
          </w:tcPr>
          <w:p w14:paraId="15E26B16" w14:textId="77777777" w:rsidR="00120717" w:rsidRPr="007A4ECB" w:rsidRDefault="00120717" w:rsidP="00BF60A8">
            <w:pPr>
              <w:ind w:right="113"/>
              <w:jc w:val="right"/>
              <w:rPr>
                <w:color w:val="000000"/>
                <w:sz w:val="16"/>
                <w:szCs w:val="16"/>
              </w:rPr>
            </w:pPr>
            <w:r w:rsidRPr="007A4ECB">
              <w:rPr>
                <w:color w:val="000000"/>
                <w:sz w:val="16"/>
                <w:szCs w:val="16"/>
              </w:rPr>
              <w:t>1.8</w:t>
            </w:r>
          </w:p>
        </w:tc>
        <w:tc>
          <w:tcPr>
            <w:tcW w:w="446" w:type="pct"/>
            <w:noWrap/>
            <w:hideMark/>
          </w:tcPr>
          <w:p w14:paraId="2A32E06B" w14:textId="77777777" w:rsidR="00120717" w:rsidRPr="007A4ECB" w:rsidRDefault="00120717" w:rsidP="00BF60A8">
            <w:pPr>
              <w:ind w:right="113"/>
              <w:jc w:val="right"/>
              <w:rPr>
                <w:color w:val="000000"/>
                <w:sz w:val="16"/>
                <w:szCs w:val="16"/>
              </w:rPr>
            </w:pPr>
            <w:r w:rsidRPr="007A4ECB">
              <w:rPr>
                <w:color w:val="000000"/>
                <w:sz w:val="16"/>
                <w:szCs w:val="16"/>
              </w:rPr>
              <w:t>1.9</w:t>
            </w:r>
          </w:p>
        </w:tc>
        <w:tc>
          <w:tcPr>
            <w:tcW w:w="446" w:type="pct"/>
            <w:noWrap/>
            <w:hideMark/>
          </w:tcPr>
          <w:p w14:paraId="7CD82FE6" w14:textId="77777777" w:rsidR="00120717" w:rsidRPr="007A4ECB" w:rsidRDefault="00120717" w:rsidP="00BF60A8">
            <w:pPr>
              <w:ind w:right="113"/>
              <w:jc w:val="right"/>
              <w:rPr>
                <w:color w:val="000000"/>
                <w:sz w:val="16"/>
                <w:szCs w:val="16"/>
              </w:rPr>
            </w:pPr>
            <w:r w:rsidRPr="007A4ECB">
              <w:rPr>
                <w:color w:val="000000"/>
                <w:sz w:val="16"/>
                <w:szCs w:val="16"/>
              </w:rPr>
              <w:t>1.6</w:t>
            </w:r>
          </w:p>
        </w:tc>
        <w:tc>
          <w:tcPr>
            <w:tcW w:w="441" w:type="pct"/>
            <w:noWrap/>
            <w:hideMark/>
          </w:tcPr>
          <w:p w14:paraId="0CB29241" w14:textId="77777777" w:rsidR="00120717" w:rsidRPr="007A4ECB" w:rsidRDefault="00120717" w:rsidP="00BF60A8">
            <w:pPr>
              <w:ind w:right="113"/>
              <w:jc w:val="right"/>
              <w:rPr>
                <w:color w:val="000000"/>
                <w:sz w:val="16"/>
                <w:szCs w:val="16"/>
              </w:rPr>
            </w:pPr>
            <w:r w:rsidRPr="007A4ECB">
              <w:rPr>
                <w:color w:val="000000"/>
                <w:sz w:val="16"/>
                <w:szCs w:val="16"/>
              </w:rPr>
              <w:t>1.9</w:t>
            </w:r>
          </w:p>
        </w:tc>
      </w:tr>
      <w:tr w:rsidR="00120717" w:rsidRPr="007A4ECB" w14:paraId="635407A4" w14:textId="77777777" w:rsidTr="00F62DB6">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02B6F623" w14:textId="77777777" w:rsidR="00120717" w:rsidRPr="007A4ECB" w:rsidRDefault="00120717">
            <w:pPr>
              <w:jc w:val="left"/>
              <w:rPr>
                <w:sz w:val="16"/>
                <w:szCs w:val="16"/>
              </w:rPr>
            </w:pPr>
            <w:r w:rsidRPr="007A4ECB">
              <w:rPr>
                <w:sz w:val="16"/>
                <w:szCs w:val="16"/>
              </w:rPr>
              <w:tab/>
              <w:t>Belgium</w:t>
            </w:r>
          </w:p>
        </w:tc>
        <w:tc>
          <w:tcPr>
            <w:tcW w:w="446" w:type="pct"/>
            <w:noWrap/>
            <w:hideMark/>
          </w:tcPr>
          <w:p w14:paraId="400D3F8F"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574C162F"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1CFBF3A0"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08BDFFD8"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7C0CB637"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0EB75764" w14:textId="77777777" w:rsidR="00120717" w:rsidRPr="007A4ECB" w:rsidRDefault="00120717" w:rsidP="00BF60A8">
            <w:pPr>
              <w:ind w:right="113"/>
              <w:jc w:val="right"/>
              <w:rPr>
                <w:color w:val="000000"/>
                <w:sz w:val="16"/>
                <w:szCs w:val="16"/>
              </w:rPr>
            </w:pPr>
            <w:r w:rsidRPr="007A4ECB">
              <w:rPr>
                <w:color w:val="000000"/>
                <w:sz w:val="16"/>
                <w:szCs w:val="16"/>
              </w:rPr>
              <w:t>0.8</w:t>
            </w:r>
          </w:p>
        </w:tc>
        <w:tc>
          <w:tcPr>
            <w:tcW w:w="441" w:type="pct"/>
            <w:noWrap/>
            <w:hideMark/>
          </w:tcPr>
          <w:p w14:paraId="2AA05119" w14:textId="77777777" w:rsidR="00120717" w:rsidRPr="007A4ECB" w:rsidRDefault="00120717" w:rsidP="00BF60A8">
            <w:pPr>
              <w:ind w:right="113"/>
              <w:jc w:val="right"/>
              <w:rPr>
                <w:color w:val="000000"/>
                <w:sz w:val="16"/>
                <w:szCs w:val="16"/>
              </w:rPr>
            </w:pPr>
            <w:r w:rsidRPr="007A4ECB">
              <w:rPr>
                <w:color w:val="000000"/>
                <w:sz w:val="16"/>
                <w:szCs w:val="16"/>
              </w:rPr>
              <w:t>1.1</w:t>
            </w:r>
          </w:p>
        </w:tc>
      </w:tr>
      <w:tr w:rsidR="00120717" w:rsidRPr="007A4ECB" w14:paraId="7A1F71EF" w14:textId="77777777" w:rsidTr="00F62DB6">
        <w:trPr>
          <w:trHeight w:val="108"/>
        </w:trPr>
        <w:tc>
          <w:tcPr>
            <w:tcW w:w="1883" w:type="pct"/>
            <w:noWrap/>
            <w:hideMark/>
          </w:tcPr>
          <w:p w14:paraId="29B61D6F" w14:textId="77777777" w:rsidR="00120717" w:rsidRPr="007A4ECB" w:rsidRDefault="00120717">
            <w:pPr>
              <w:jc w:val="left"/>
              <w:rPr>
                <w:sz w:val="16"/>
                <w:szCs w:val="16"/>
              </w:rPr>
            </w:pPr>
            <w:r w:rsidRPr="007A4ECB">
              <w:rPr>
                <w:sz w:val="16"/>
                <w:szCs w:val="16"/>
              </w:rPr>
              <w:tab/>
              <w:t>Netherlands</w:t>
            </w:r>
          </w:p>
        </w:tc>
        <w:tc>
          <w:tcPr>
            <w:tcW w:w="446" w:type="pct"/>
            <w:noWrap/>
            <w:hideMark/>
          </w:tcPr>
          <w:p w14:paraId="4A93F2A8" w14:textId="77777777" w:rsidR="00120717" w:rsidRPr="007A4ECB" w:rsidRDefault="00120717" w:rsidP="00BF60A8">
            <w:pPr>
              <w:ind w:right="113"/>
              <w:jc w:val="right"/>
              <w:rPr>
                <w:color w:val="000000"/>
                <w:sz w:val="16"/>
                <w:szCs w:val="16"/>
              </w:rPr>
            </w:pPr>
            <w:r w:rsidRPr="007A4ECB">
              <w:rPr>
                <w:color w:val="000000"/>
                <w:sz w:val="16"/>
                <w:szCs w:val="16"/>
              </w:rPr>
              <w:t>1.1</w:t>
            </w:r>
          </w:p>
        </w:tc>
        <w:tc>
          <w:tcPr>
            <w:tcW w:w="446" w:type="pct"/>
            <w:noWrap/>
            <w:hideMark/>
          </w:tcPr>
          <w:p w14:paraId="28D0EDE0" w14:textId="77777777" w:rsidR="00120717" w:rsidRPr="007A4ECB" w:rsidRDefault="00120717" w:rsidP="00BF60A8">
            <w:pPr>
              <w:ind w:right="113"/>
              <w:jc w:val="right"/>
              <w:rPr>
                <w:color w:val="000000"/>
                <w:sz w:val="16"/>
                <w:szCs w:val="16"/>
              </w:rPr>
            </w:pPr>
            <w:r w:rsidRPr="007A4ECB">
              <w:rPr>
                <w:color w:val="000000"/>
                <w:sz w:val="16"/>
                <w:szCs w:val="16"/>
              </w:rPr>
              <w:t>1.1</w:t>
            </w:r>
          </w:p>
        </w:tc>
        <w:tc>
          <w:tcPr>
            <w:tcW w:w="446" w:type="pct"/>
            <w:noWrap/>
            <w:hideMark/>
          </w:tcPr>
          <w:p w14:paraId="724271DB" w14:textId="77777777" w:rsidR="00120717" w:rsidRPr="007A4ECB" w:rsidRDefault="00120717" w:rsidP="00BF60A8">
            <w:pPr>
              <w:ind w:right="113"/>
              <w:jc w:val="right"/>
              <w:rPr>
                <w:color w:val="000000"/>
                <w:sz w:val="16"/>
                <w:szCs w:val="16"/>
              </w:rPr>
            </w:pPr>
            <w:r w:rsidRPr="007A4ECB">
              <w:rPr>
                <w:color w:val="000000"/>
                <w:sz w:val="16"/>
                <w:szCs w:val="16"/>
              </w:rPr>
              <w:t>1.1</w:t>
            </w:r>
          </w:p>
        </w:tc>
        <w:tc>
          <w:tcPr>
            <w:tcW w:w="446" w:type="pct"/>
            <w:noWrap/>
            <w:hideMark/>
          </w:tcPr>
          <w:p w14:paraId="7A16C355" w14:textId="77777777" w:rsidR="00120717" w:rsidRPr="007A4ECB" w:rsidRDefault="00120717" w:rsidP="00BF60A8">
            <w:pPr>
              <w:ind w:right="113"/>
              <w:jc w:val="right"/>
              <w:rPr>
                <w:color w:val="000000"/>
                <w:sz w:val="16"/>
                <w:szCs w:val="16"/>
              </w:rPr>
            </w:pPr>
            <w:r w:rsidRPr="007A4ECB">
              <w:rPr>
                <w:color w:val="000000"/>
                <w:sz w:val="16"/>
                <w:szCs w:val="16"/>
              </w:rPr>
              <w:t>1.1</w:t>
            </w:r>
          </w:p>
        </w:tc>
        <w:tc>
          <w:tcPr>
            <w:tcW w:w="446" w:type="pct"/>
            <w:noWrap/>
            <w:hideMark/>
          </w:tcPr>
          <w:p w14:paraId="56509FEB" w14:textId="77777777" w:rsidR="00120717" w:rsidRPr="007A4ECB" w:rsidRDefault="00120717" w:rsidP="00BF60A8">
            <w:pPr>
              <w:ind w:right="113"/>
              <w:jc w:val="right"/>
              <w:rPr>
                <w:color w:val="000000"/>
                <w:sz w:val="16"/>
                <w:szCs w:val="16"/>
              </w:rPr>
            </w:pPr>
            <w:r w:rsidRPr="007A4ECB">
              <w:rPr>
                <w:color w:val="000000"/>
                <w:sz w:val="16"/>
                <w:szCs w:val="16"/>
              </w:rPr>
              <w:t>1.0</w:t>
            </w:r>
          </w:p>
        </w:tc>
        <w:tc>
          <w:tcPr>
            <w:tcW w:w="446" w:type="pct"/>
            <w:noWrap/>
            <w:hideMark/>
          </w:tcPr>
          <w:p w14:paraId="6E13E6F1" w14:textId="77777777" w:rsidR="00120717" w:rsidRPr="007A4ECB" w:rsidRDefault="00120717" w:rsidP="00BF60A8">
            <w:pPr>
              <w:ind w:right="113"/>
              <w:jc w:val="right"/>
              <w:rPr>
                <w:color w:val="000000"/>
                <w:sz w:val="16"/>
                <w:szCs w:val="16"/>
              </w:rPr>
            </w:pPr>
            <w:r w:rsidRPr="007A4ECB">
              <w:rPr>
                <w:color w:val="000000"/>
                <w:sz w:val="16"/>
                <w:szCs w:val="16"/>
              </w:rPr>
              <w:t>1.0</w:t>
            </w:r>
          </w:p>
        </w:tc>
        <w:tc>
          <w:tcPr>
            <w:tcW w:w="441" w:type="pct"/>
            <w:noWrap/>
            <w:hideMark/>
          </w:tcPr>
          <w:p w14:paraId="0C8F8CF6" w14:textId="77777777" w:rsidR="00120717" w:rsidRPr="007A4ECB" w:rsidRDefault="00120717" w:rsidP="00BF60A8">
            <w:pPr>
              <w:ind w:right="113"/>
              <w:jc w:val="right"/>
              <w:rPr>
                <w:color w:val="000000"/>
                <w:sz w:val="16"/>
                <w:szCs w:val="16"/>
              </w:rPr>
            </w:pPr>
            <w:r w:rsidRPr="007A4ECB">
              <w:rPr>
                <w:color w:val="000000"/>
                <w:sz w:val="16"/>
                <w:szCs w:val="16"/>
              </w:rPr>
              <w:t>0.9</w:t>
            </w:r>
          </w:p>
        </w:tc>
      </w:tr>
      <w:tr w:rsidR="00120717" w:rsidRPr="007A4ECB" w14:paraId="02813BB1" w14:textId="77777777" w:rsidTr="00F62DB6">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2362E359" w14:textId="77777777" w:rsidR="00120717" w:rsidRPr="007A4ECB" w:rsidRDefault="00120717">
            <w:pPr>
              <w:jc w:val="left"/>
              <w:rPr>
                <w:sz w:val="16"/>
                <w:szCs w:val="16"/>
              </w:rPr>
            </w:pPr>
            <w:r w:rsidRPr="007A4ECB">
              <w:rPr>
                <w:sz w:val="16"/>
                <w:szCs w:val="16"/>
              </w:rPr>
              <w:tab/>
              <w:t>Spain</w:t>
            </w:r>
          </w:p>
        </w:tc>
        <w:tc>
          <w:tcPr>
            <w:tcW w:w="446" w:type="pct"/>
            <w:noWrap/>
            <w:hideMark/>
          </w:tcPr>
          <w:p w14:paraId="23B89B2F" w14:textId="77777777" w:rsidR="00120717" w:rsidRPr="007A4ECB" w:rsidRDefault="00120717" w:rsidP="00BF60A8">
            <w:pPr>
              <w:ind w:right="113"/>
              <w:jc w:val="right"/>
              <w:rPr>
                <w:color w:val="000000"/>
                <w:sz w:val="16"/>
                <w:szCs w:val="16"/>
              </w:rPr>
            </w:pPr>
            <w:r w:rsidRPr="007A4ECB">
              <w:rPr>
                <w:color w:val="000000"/>
                <w:sz w:val="16"/>
                <w:szCs w:val="16"/>
              </w:rPr>
              <w:t>1.0</w:t>
            </w:r>
          </w:p>
        </w:tc>
        <w:tc>
          <w:tcPr>
            <w:tcW w:w="446" w:type="pct"/>
            <w:noWrap/>
            <w:hideMark/>
          </w:tcPr>
          <w:p w14:paraId="7C262958" w14:textId="77777777" w:rsidR="00120717" w:rsidRPr="007A4ECB" w:rsidRDefault="00120717" w:rsidP="00BF60A8">
            <w:pPr>
              <w:ind w:right="113"/>
              <w:jc w:val="right"/>
              <w:rPr>
                <w:color w:val="000000"/>
                <w:sz w:val="16"/>
                <w:szCs w:val="16"/>
              </w:rPr>
            </w:pPr>
            <w:r w:rsidRPr="007A4ECB">
              <w:rPr>
                <w:color w:val="000000"/>
                <w:sz w:val="16"/>
                <w:szCs w:val="16"/>
              </w:rPr>
              <w:t>0.8</w:t>
            </w:r>
          </w:p>
        </w:tc>
        <w:tc>
          <w:tcPr>
            <w:tcW w:w="446" w:type="pct"/>
            <w:noWrap/>
            <w:hideMark/>
          </w:tcPr>
          <w:p w14:paraId="5F0D1BEA" w14:textId="77777777" w:rsidR="00120717" w:rsidRPr="007A4ECB" w:rsidRDefault="00120717" w:rsidP="00BF60A8">
            <w:pPr>
              <w:ind w:right="113"/>
              <w:jc w:val="right"/>
              <w:rPr>
                <w:color w:val="000000"/>
                <w:sz w:val="16"/>
                <w:szCs w:val="16"/>
              </w:rPr>
            </w:pPr>
            <w:r w:rsidRPr="007A4ECB">
              <w:rPr>
                <w:color w:val="000000"/>
                <w:sz w:val="16"/>
                <w:szCs w:val="16"/>
              </w:rPr>
              <w:t>0.8</w:t>
            </w:r>
          </w:p>
        </w:tc>
        <w:tc>
          <w:tcPr>
            <w:tcW w:w="446" w:type="pct"/>
            <w:noWrap/>
            <w:hideMark/>
          </w:tcPr>
          <w:p w14:paraId="14F4BF18" w14:textId="77777777" w:rsidR="00120717" w:rsidRPr="007A4ECB" w:rsidRDefault="00120717" w:rsidP="00BF60A8">
            <w:pPr>
              <w:ind w:right="113"/>
              <w:jc w:val="right"/>
              <w:rPr>
                <w:color w:val="000000"/>
                <w:sz w:val="16"/>
                <w:szCs w:val="16"/>
              </w:rPr>
            </w:pPr>
            <w:r w:rsidRPr="007A4ECB">
              <w:rPr>
                <w:color w:val="000000"/>
                <w:sz w:val="16"/>
                <w:szCs w:val="16"/>
              </w:rPr>
              <w:t>0.8</w:t>
            </w:r>
          </w:p>
        </w:tc>
        <w:tc>
          <w:tcPr>
            <w:tcW w:w="446" w:type="pct"/>
            <w:noWrap/>
            <w:hideMark/>
          </w:tcPr>
          <w:p w14:paraId="0C53C274"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0457A19A" w14:textId="77777777" w:rsidR="00120717" w:rsidRPr="007A4ECB" w:rsidRDefault="00120717" w:rsidP="00BF60A8">
            <w:pPr>
              <w:ind w:right="113"/>
              <w:jc w:val="right"/>
              <w:rPr>
                <w:color w:val="000000"/>
                <w:sz w:val="16"/>
                <w:szCs w:val="16"/>
              </w:rPr>
            </w:pPr>
            <w:r w:rsidRPr="007A4ECB">
              <w:rPr>
                <w:color w:val="000000"/>
                <w:sz w:val="16"/>
                <w:szCs w:val="16"/>
              </w:rPr>
              <w:t>1.0</w:t>
            </w:r>
          </w:p>
        </w:tc>
        <w:tc>
          <w:tcPr>
            <w:tcW w:w="441" w:type="pct"/>
            <w:noWrap/>
            <w:hideMark/>
          </w:tcPr>
          <w:p w14:paraId="30DF5309" w14:textId="77777777" w:rsidR="00120717" w:rsidRPr="007A4ECB" w:rsidRDefault="00120717" w:rsidP="00BF60A8">
            <w:pPr>
              <w:ind w:right="113"/>
              <w:jc w:val="right"/>
              <w:rPr>
                <w:color w:val="000000"/>
                <w:sz w:val="16"/>
                <w:szCs w:val="16"/>
              </w:rPr>
            </w:pPr>
            <w:r w:rsidRPr="007A4ECB">
              <w:rPr>
                <w:color w:val="000000"/>
                <w:sz w:val="16"/>
                <w:szCs w:val="16"/>
              </w:rPr>
              <w:t>0.7</w:t>
            </w:r>
          </w:p>
        </w:tc>
      </w:tr>
      <w:tr w:rsidR="00120717" w:rsidRPr="007A4ECB" w14:paraId="7CD4EEAD" w14:textId="77777777" w:rsidTr="00F62DB6">
        <w:trPr>
          <w:trHeight w:val="156"/>
        </w:trPr>
        <w:tc>
          <w:tcPr>
            <w:tcW w:w="1883" w:type="pct"/>
            <w:noWrap/>
            <w:hideMark/>
          </w:tcPr>
          <w:p w14:paraId="32DBAA5A" w14:textId="77777777" w:rsidR="00120717" w:rsidRPr="007A4ECB" w:rsidRDefault="00120717">
            <w:pPr>
              <w:jc w:val="left"/>
              <w:rPr>
                <w:sz w:val="16"/>
                <w:szCs w:val="16"/>
              </w:rPr>
            </w:pPr>
            <w:r w:rsidRPr="007A4ECB">
              <w:rPr>
                <w:sz w:val="16"/>
                <w:szCs w:val="16"/>
              </w:rPr>
              <w:tab/>
              <w:t>Sweden</w:t>
            </w:r>
          </w:p>
        </w:tc>
        <w:tc>
          <w:tcPr>
            <w:tcW w:w="446" w:type="pct"/>
            <w:noWrap/>
            <w:hideMark/>
          </w:tcPr>
          <w:p w14:paraId="30230941"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4B26C2D4"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290D0C0B"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7493D158"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65D30485"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6B613D5A"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1" w:type="pct"/>
            <w:noWrap/>
            <w:hideMark/>
          </w:tcPr>
          <w:p w14:paraId="0C7B9A23" w14:textId="77777777" w:rsidR="00120717" w:rsidRPr="007A4ECB" w:rsidRDefault="00120717" w:rsidP="00BF60A8">
            <w:pPr>
              <w:ind w:right="113"/>
              <w:jc w:val="right"/>
              <w:rPr>
                <w:color w:val="000000"/>
                <w:sz w:val="16"/>
                <w:szCs w:val="16"/>
              </w:rPr>
            </w:pPr>
            <w:r w:rsidRPr="007A4ECB">
              <w:rPr>
                <w:color w:val="000000"/>
                <w:sz w:val="16"/>
                <w:szCs w:val="16"/>
              </w:rPr>
              <w:t>0.6</w:t>
            </w:r>
          </w:p>
        </w:tc>
      </w:tr>
      <w:tr w:rsidR="00120717" w:rsidRPr="007A4ECB" w14:paraId="06036EE6" w14:textId="77777777" w:rsidTr="00F62DB6">
        <w:trPr>
          <w:cnfStyle w:val="000000010000" w:firstRow="0" w:lastRow="0" w:firstColumn="0" w:lastColumn="0" w:oddVBand="0" w:evenVBand="0" w:oddHBand="0" w:evenHBand="1" w:firstRowFirstColumn="0" w:firstRowLastColumn="0" w:lastRowFirstColumn="0" w:lastRowLastColumn="0"/>
          <w:trHeight w:val="116"/>
        </w:trPr>
        <w:tc>
          <w:tcPr>
            <w:tcW w:w="1883" w:type="pct"/>
            <w:noWrap/>
            <w:hideMark/>
          </w:tcPr>
          <w:p w14:paraId="0FD56B5F" w14:textId="77777777" w:rsidR="00120717" w:rsidRPr="007A4ECB" w:rsidRDefault="00120717">
            <w:pPr>
              <w:jc w:val="left"/>
              <w:rPr>
                <w:sz w:val="16"/>
                <w:szCs w:val="16"/>
              </w:rPr>
            </w:pPr>
            <w:r w:rsidRPr="007A4ECB">
              <w:rPr>
                <w:sz w:val="16"/>
                <w:szCs w:val="16"/>
              </w:rPr>
              <w:tab/>
              <w:t>Austria</w:t>
            </w:r>
          </w:p>
        </w:tc>
        <w:tc>
          <w:tcPr>
            <w:tcW w:w="446" w:type="pct"/>
            <w:noWrap/>
            <w:hideMark/>
          </w:tcPr>
          <w:p w14:paraId="0984CD31" w14:textId="77777777" w:rsidR="00120717" w:rsidRPr="007A4ECB" w:rsidRDefault="00120717" w:rsidP="00BF60A8">
            <w:pPr>
              <w:ind w:right="113"/>
              <w:jc w:val="right"/>
              <w:rPr>
                <w:color w:val="000000"/>
                <w:sz w:val="16"/>
                <w:szCs w:val="16"/>
              </w:rPr>
            </w:pPr>
            <w:r w:rsidRPr="007A4ECB">
              <w:rPr>
                <w:color w:val="000000"/>
                <w:sz w:val="16"/>
                <w:szCs w:val="16"/>
              </w:rPr>
              <w:t>0.4</w:t>
            </w:r>
          </w:p>
        </w:tc>
        <w:tc>
          <w:tcPr>
            <w:tcW w:w="446" w:type="pct"/>
            <w:noWrap/>
            <w:hideMark/>
          </w:tcPr>
          <w:p w14:paraId="46C094B0" w14:textId="77777777" w:rsidR="00120717" w:rsidRPr="007A4ECB" w:rsidRDefault="00120717" w:rsidP="00BF60A8">
            <w:pPr>
              <w:ind w:right="113"/>
              <w:jc w:val="right"/>
              <w:rPr>
                <w:color w:val="000000"/>
                <w:sz w:val="16"/>
                <w:szCs w:val="16"/>
              </w:rPr>
            </w:pPr>
            <w:r w:rsidRPr="007A4ECB">
              <w:rPr>
                <w:color w:val="000000"/>
                <w:sz w:val="16"/>
                <w:szCs w:val="16"/>
              </w:rPr>
              <w:t>0.4</w:t>
            </w:r>
          </w:p>
        </w:tc>
        <w:tc>
          <w:tcPr>
            <w:tcW w:w="446" w:type="pct"/>
            <w:noWrap/>
            <w:hideMark/>
          </w:tcPr>
          <w:p w14:paraId="6514ED24" w14:textId="77777777" w:rsidR="00120717" w:rsidRPr="007A4ECB" w:rsidRDefault="00120717" w:rsidP="00BF60A8">
            <w:pPr>
              <w:ind w:right="113"/>
              <w:jc w:val="right"/>
              <w:rPr>
                <w:color w:val="000000"/>
                <w:sz w:val="16"/>
                <w:szCs w:val="16"/>
              </w:rPr>
            </w:pPr>
            <w:r w:rsidRPr="007A4ECB">
              <w:rPr>
                <w:color w:val="000000"/>
                <w:sz w:val="16"/>
                <w:szCs w:val="16"/>
              </w:rPr>
              <w:t>0.4</w:t>
            </w:r>
          </w:p>
        </w:tc>
        <w:tc>
          <w:tcPr>
            <w:tcW w:w="446" w:type="pct"/>
            <w:noWrap/>
            <w:hideMark/>
          </w:tcPr>
          <w:p w14:paraId="6EDA69AC" w14:textId="77777777" w:rsidR="00120717" w:rsidRPr="007A4ECB" w:rsidRDefault="00120717" w:rsidP="00BF60A8">
            <w:pPr>
              <w:ind w:right="113"/>
              <w:jc w:val="right"/>
              <w:rPr>
                <w:color w:val="000000"/>
                <w:sz w:val="16"/>
                <w:szCs w:val="16"/>
              </w:rPr>
            </w:pPr>
            <w:r w:rsidRPr="007A4ECB">
              <w:rPr>
                <w:color w:val="000000"/>
                <w:sz w:val="16"/>
                <w:szCs w:val="16"/>
              </w:rPr>
              <w:t>0.5</w:t>
            </w:r>
          </w:p>
        </w:tc>
        <w:tc>
          <w:tcPr>
            <w:tcW w:w="446" w:type="pct"/>
            <w:noWrap/>
            <w:hideMark/>
          </w:tcPr>
          <w:p w14:paraId="4C14E564" w14:textId="77777777" w:rsidR="00120717" w:rsidRPr="007A4ECB" w:rsidRDefault="00120717" w:rsidP="00BF60A8">
            <w:pPr>
              <w:ind w:right="113"/>
              <w:jc w:val="right"/>
              <w:rPr>
                <w:color w:val="000000"/>
                <w:sz w:val="16"/>
                <w:szCs w:val="16"/>
              </w:rPr>
            </w:pPr>
            <w:r w:rsidRPr="007A4ECB">
              <w:rPr>
                <w:color w:val="000000"/>
                <w:sz w:val="16"/>
                <w:szCs w:val="16"/>
              </w:rPr>
              <w:t>0.5</w:t>
            </w:r>
          </w:p>
        </w:tc>
        <w:tc>
          <w:tcPr>
            <w:tcW w:w="446" w:type="pct"/>
            <w:noWrap/>
            <w:hideMark/>
          </w:tcPr>
          <w:p w14:paraId="58B11B8C" w14:textId="77777777" w:rsidR="00120717" w:rsidRPr="007A4ECB" w:rsidRDefault="00120717" w:rsidP="00BF60A8">
            <w:pPr>
              <w:ind w:right="113"/>
              <w:jc w:val="right"/>
              <w:rPr>
                <w:color w:val="000000"/>
                <w:sz w:val="16"/>
                <w:szCs w:val="16"/>
              </w:rPr>
            </w:pPr>
            <w:r w:rsidRPr="007A4ECB">
              <w:rPr>
                <w:color w:val="000000"/>
                <w:sz w:val="16"/>
                <w:szCs w:val="16"/>
              </w:rPr>
              <w:t>0.5</w:t>
            </w:r>
          </w:p>
        </w:tc>
        <w:tc>
          <w:tcPr>
            <w:tcW w:w="441" w:type="pct"/>
            <w:noWrap/>
            <w:hideMark/>
          </w:tcPr>
          <w:p w14:paraId="1D7AAB1E" w14:textId="77777777" w:rsidR="00120717" w:rsidRPr="007A4ECB" w:rsidRDefault="00120717" w:rsidP="00BF60A8">
            <w:pPr>
              <w:ind w:right="113"/>
              <w:jc w:val="right"/>
              <w:rPr>
                <w:color w:val="000000"/>
                <w:sz w:val="16"/>
                <w:szCs w:val="16"/>
              </w:rPr>
            </w:pPr>
            <w:r w:rsidRPr="007A4ECB">
              <w:rPr>
                <w:color w:val="000000"/>
                <w:sz w:val="16"/>
                <w:szCs w:val="16"/>
              </w:rPr>
              <w:t>0.5</w:t>
            </w:r>
          </w:p>
        </w:tc>
      </w:tr>
      <w:tr w:rsidR="00120717" w:rsidRPr="007A4ECB" w14:paraId="1BBD2DE8" w14:textId="77777777" w:rsidTr="00F62DB6">
        <w:trPr>
          <w:trHeight w:val="76"/>
        </w:trPr>
        <w:tc>
          <w:tcPr>
            <w:tcW w:w="1883" w:type="pct"/>
            <w:noWrap/>
            <w:hideMark/>
          </w:tcPr>
          <w:p w14:paraId="4CC22E98" w14:textId="77777777" w:rsidR="00120717" w:rsidRPr="007A4ECB" w:rsidRDefault="00120717">
            <w:pPr>
              <w:jc w:val="left"/>
              <w:rPr>
                <w:sz w:val="16"/>
                <w:szCs w:val="16"/>
              </w:rPr>
            </w:pPr>
            <w:r w:rsidRPr="007A4ECB">
              <w:rPr>
                <w:sz w:val="16"/>
                <w:szCs w:val="16"/>
              </w:rPr>
              <w:tab/>
              <w:t>Poland</w:t>
            </w:r>
          </w:p>
        </w:tc>
        <w:tc>
          <w:tcPr>
            <w:tcW w:w="446" w:type="pct"/>
            <w:noWrap/>
            <w:hideMark/>
          </w:tcPr>
          <w:p w14:paraId="50824A2B" w14:textId="77777777" w:rsidR="00120717" w:rsidRPr="007A4ECB" w:rsidRDefault="00120717" w:rsidP="00BF60A8">
            <w:pPr>
              <w:ind w:right="113"/>
              <w:jc w:val="right"/>
              <w:rPr>
                <w:color w:val="000000"/>
                <w:sz w:val="16"/>
                <w:szCs w:val="16"/>
              </w:rPr>
            </w:pPr>
            <w:r w:rsidRPr="007A4ECB">
              <w:rPr>
                <w:color w:val="000000"/>
                <w:sz w:val="16"/>
                <w:szCs w:val="16"/>
              </w:rPr>
              <w:t>0.2</w:t>
            </w:r>
          </w:p>
        </w:tc>
        <w:tc>
          <w:tcPr>
            <w:tcW w:w="446" w:type="pct"/>
            <w:noWrap/>
            <w:hideMark/>
          </w:tcPr>
          <w:p w14:paraId="3164425E" w14:textId="77777777" w:rsidR="00120717" w:rsidRPr="007A4ECB" w:rsidRDefault="00120717" w:rsidP="00BF60A8">
            <w:pPr>
              <w:ind w:right="113"/>
              <w:jc w:val="right"/>
              <w:rPr>
                <w:color w:val="000000"/>
                <w:sz w:val="16"/>
                <w:szCs w:val="16"/>
              </w:rPr>
            </w:pPr>
            <w:r w:rsidRPr="007A4ECB">
              <w:rPr>
                <w:color w:val="000000"/>
                <w:sz w:val="16"/>
                <w:szCs w:val="16"/>
              </w:rPr>
              <w:t>0.3</w:t>
            </w:r>
          </w:p>
        </w:tc>
        <w:tc>
          <w:tcPr>
            <w:tcW w:w="446" w:type="pct"/>
            <w:noWrap/>
            <w:hideMark/>
          </w:tcPr>
          <w:p w14:paraId="6E52D574" w14:textId="77777777" w:rsidR="00120717" w:rsidRPr="007A4ECB" w:rsidRDefault="00120717" w:rsidP="00BF60A8">
            <w:pPr>
              <w:ind w:right="113"/>
              <w:jc w:val="right"/>
              <w:rPr>
                <w:color w:val="000000"/>
                <w:sz w:val="16"/>
                <w:szCs w:val="16"/>
              </w:rPr>
            </w:pPr>
            <w:r w:rsidRPr="007A4ECB">
              <w:rPr>
                <w:color w:val="000000"/>
                <w:sz w:val="16"/>
                <w:szCs w:val="16"/>
              </w:rPr>
              <w:t>0.3</w:t>
            </w:r>
          </w:p>
        </w:tc>
        <w:tc>
          <w:tcPr>
            <w:tcW w:w="446" w:type="pct"/>
            <w:noWrap/>
            <w:hideMark/>
          </w:tcPr>
          <w:p w14:paraId="7AD3C404" w14:textId="77777777" w:rsidR="00120717" w:rsidRPr="007A4ECB" w:rsidRDefault="00120717" w:rsidP="00BF60A8">
            <w:pPr>
              <w:ind w:right="113"/>
              <w:jc w:val="right"/>
              <w:rPr>
                <w:color w:val="000000"/>
                <w:sz w:val="16"/>
                <w:szCs w:val="16"/>
              </w:rPr>
            </w:pPr>
            <w:r w:rsidRPr="007A4ECB">
              <w:rPr>
                <w:color w:val="000000"/>
                <w:sz w:val="16"/>
                <w:szCs w:val="16"/>
              </w:rPr>
              <w:t>0.3</w:t>
            </w:r>
          </w:p>
        </w:tc>
        <w:tc>
          <w:tcPr>
            <w:tcW w:w="446" w:type="pct"/>
            <w:noWrap/>
            <w:hideMark/>
          </w:tcPr>
          <w:p w14:paraId="2913B77A" w14:textId="77777777" w:rsidR="00120717" w:rsidRPr="007A4ECB" w:rsidRDefault="00120717" w:rsidP="00BF60A8">
            <w:pPr>
              <w:ind w:right="113"/>
              <w:jc w:val="right"/>
              <w:rPr>
                <w:color w:val="000000"/>
                <w:sz w:val="16"/>
                <w:szCs w:val="16"/>
              </w:rPr>
            </w:pPr>
            <w:r w:rsidRPr="007A4ECB">
              <w:rPr>
                <w:color w:val="000000"/>
                <w:sz w:val="16"/>
                <w:szCs w:val="16"/>
              </w:rPr>
              <w:t>0.4</w:t>
            </w:r>
          </w:p>
        </w:tc>
        <w:tc>
          <w:tcPr>
            <w:tcW w:w="446" w:type="pct"/>
            <w:noWrap/>
            <w:hideMark/>
          </w:tcPr>
          <w:p w14:paraId="74729E0E" w14:textId="77777777" w:rsidR="00120717" w:rsidRPr="007A4ECB" w:rsidRDefault="00120717" w:rsidP="00BF60A8">
            <w:pPr>
              <w:ind w:right="113"/>
              <w:jc w:val="right"/>
              <w:rPr>
                <w:color w:val="000000"/>
                <w:sz w:val="16"/>
                <w:szCs w:val="16"/>
              </w:rPr>
            </w:pPr>
            <w:r w:rsidRPr="007A4ECB">
              <w:rPr>
                <w:color w:val="000000"/>
                <w:sz w:val="16"/>
                <w:szCs w:val="16"/>
              </w:rPr>
              <w:t>0.5</w:t>
            </w:r>
          </w:p>
        </w:tc>
        <w:tc>
          <w:tcPr>
            <w:tcW w:w="441" w:type="pct"/>
            <w:noWrap/>
            <w:hideMark/>
          </w:tcPr>
          <w:p w14:paraId="6C267E03" w14:textId="77777777" w:rsidR="00120717" w:rsidRPr="007A4ECB" w:rsidRDefault="00120717" w:rsidP="00BF60A8">
            <w:pPr>
              <w:ind w:right="113"/>
              <w:jc w:val="right"/>
              <w:rPr>
                <w:color w:val="000000"/>
                <w:sz w:val="16"/>
                <w:szCs w:val="16"/>
              </w:rPr>
            </w:pPr>
            <w:r w:rsidRPr="007A4ECB">
              <w:rPr>
                <w:color w:val="000000"/>
                <w:sz w:val="16"/>
                <w:szCs w:val="16"/>
              </w:rPr>
              <w:t>0.5</w:t>
            </w:r>
          </w:p>
        </w:tc>
      </w:tr>
      <w:tr w:rsidR="00120717" w:rsidRPr="007A4ECB" w14:paraId="02DC53D6" w14:textId="77777777" w:rsidTr="00F62DB6">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4396D7A7" w14:textId="77777777" w:rsidR="00120717" w:rsidRPr="007A4ECB" w:rsidRDefault="00120717" w:rsidP="004E187B">
            <w:pPr>
              <w:ind w:left="174"/>
              <w:jc w:val="left"/>
              <w:rPr>
                <w:sz w:val="16"/>
                <w:szCs w:val="16"/>
              </w:rPr>
            </w:pPr>
            <w:r w:rsidRPr="007A4ECB">
              <w:rPr>
                <w:sz w:val="16"/>
                <w:szCs w:val="16"/>
              </w:rPr>
              <w:t>EFTA</w:t>
            </w:r>
          </w:p>
        </w:tc>
        <w:tc>
          <w:tcPr>
            <w:tcW w:w="446" w:type="pct"/>
            <w:noWrap/>
            <w:hideMark/>
          </w:tcPr>
          <w:p w14:paraId="0CDBE841" w14:textId="77777777" w:rsidR="00120717" w:rsidRPr="007A4ECB" w:rsidRDefault="00120717" w:rsidP="00BF60A8">
            <w:pPr>
              <w:ind w:right="113"/>
              <w:jc w:val="right"/>
              <w:rPr>
                <w:color w:val="000000"/>
                <w:sz w:val="16"/>
                <w:szCs w:val="16"/>
              </w:rPr>
            </w:pPr>
            <w:r w:rsidRPr="007A4ECB">
              <w:rPr>
                <w:color w:val="000000"/>
                <w:sz w:val="16"/>
                <w:szCs w:val="16"/>
              </w:rPr>
              <w:t>0.8</w:t>
            </w:r>
          </w:p>
        </w:tc>
        <w:tc>
          <w:tcPr>
            <w:tcW w:w="446" w:type="pct"/>
            <w:noWrap/>
            <w:hideMark/>
          </w:tcPr>
          <w:p w14:paraId="6B69BD22" w14:textId="77777777" w:rsidR="00120717" w:rsidRPr="007A4ECB" w:rsidRDefault="00120717" w:rsidP="00BF60A8">
            <w:pPr>
              <w:ind w:right="113"/>
              <w:jc w:val="right"/>
              <w:rPr>
                <w:color w:val="000000"/>
                <w:sz w:val="16"/>
                <w:szCs w:val="16"/>
              </w:rPr>
            </w:pPr>
            <w:r w:rsidRPr="007A4ECB">
              <w:rPr>
                <w:color w:val="000000"/>
                <w:sz w:val="16"/>
                <w:szCs w:val="16"/>
              </w:rPr>
              <w:t>0.9</w:t>
            </w:r>
          </w:p>
        </w:tc>
        <w:tc>
          <w:tcPr>
            <w:tcW w:w="446" w:type="pct"/>
            <w:noWrap/>
            <w:hideMark/>
          </w:tcPr>
          <w:p w14:paraId="5289B20B" w14:textId="77777777" w:rsidR="00120717" w:rsidRPr="007A4ECB" w:rsidRDefault="00120717" w:rsidP="00BF60A8">
            <w:pPr>
              <w:ind w:right="113"/>
              <w:jc w:val="right"/>
              <w:rPr>
                <w:color w:val="000000"/>
                <w:sz w:val="16"/>
                <w:szCs w:val="16"/>
              </w:rPr>
            </w:pPr>
            <w:r w:rsidRPr="007A4ECB">
              <w:rPr>
                <w:color w:val="000000"/>
                <w:sz w:val="16"/>
                <w:szCs w:val="16"/>
              </w:rPr>
              <w:t>0.8</w:t>
            </w:r>
          </w:p>
        </w:tc>
        <w:tc>
          <w:tcPr>
            <w:tcW w:w="446" w:type="pct"/>
            <w:noWrap/>
            <w:hideMark/>
          </w:tcPr>
          <w:p w14:paraId="07803108" w14:textId="77777777" w:rsidR="00120717" w:rsidRPr="007A4ECB" w:rsidRDefault="00120717" w:rsidP="00BF60A8">
            <w:pPr>
              <w:ind w:right="113"/>
              <w:jc w:val="right"/>
              <w:rPr>
                <w:color w:val="000000"/>
                <w:sz w:val="16"/>
                <w:szCs w:val="16"/>
              </w:rPr>
            </w:pPr>
            <w:r w:rsidRPr="007A4ECB">
              <w:rPr>
                <w:color w:val="000000"/>
                <w:sz w:val="16"/>
                <w:szCs w:val="16"/>
              </w:rPr>
              <w:t>0.9</w:t>
            </w:r>
          </w:p>
        </w:tc>
        <w:tc>
          <w:tcPr>
            <w:tcW w:w="446" w:type="pct"/>
            <w:noWrap/>
            <w:hideMark/>
          </w:tcPr>
          <w:p w14:paraId="5BE5BBFF" w14:textId="77777777" w:rsidR="00120717" w:rsidRPr="007A4ECB" w:rsidRDefault="00120717" w:rsidP="00BF60A8">
            <w:pPr>
              <w:ind w:right="113"/>
              <w:jc w:val="right"/>
              <w:rPr>
                <w:color w:val="000000"/>
                <w:sz w:val="16"/>
                <w:szCs w:val="16"/>
              </w:rPr>
            </w:pPr>
            <w:r w:rsidRPr="007A4ECB">
              <w:rPr>
                <w:color w:val="000000"/>
                <w:sz w:val="16"/>
                <w:szCs w:val="16"/>
              </w:rPr>
              <w:t>0.9</w:t>
            </w:r>
          </w:p>
        </w:tc>
        <w:tc>
          <w:tcPr>
            <w:tcW w:w="446" w:type="pct"/>
            <w:noWrap/>
            <w:hideMark/>
          </w:tcPr>
          <w:p w14:paraId="176A1967" w14:textId="77777777" w:rsidR="00120717" w:rsidRPr="007A4ECB" w:rsidRDefault="00120717" w:rsidP="00BF60A8">
            <w:pPr>
              <w:ind w:right="113"/>
              <w:jc w:val="right"/>
              <w:rPr>
                <w:color w:val="000000"/>
                <w:sz w:val="16"/>
                <w:szCs w:val="16"/>
              </w:rPr>
            </w:pPr>
            <w:r w:rsidRPr="007A4ECB">
              <w:rPr>
                <w:color w:val="000000"/>
                <w:sz w:val="16"/>
                <w:szCs w:val="16"/>
              </w:rPr>
              <w:t>0.9</w:t>
            </w:r>
          </w:p>
        </w:tc>
        <w:tc>
          <w:tcPr>
            <w:tcW w:w="441" w:type="pct"/>
            <w:noWrap/>
            <w:hideMark/>
          </w:tcPr>
          <w:p w14:paraId="5C5D503E" w14:textId="77777777" w:rsidR="00120717" w:rsidRPr="007A4ECB" w:rsidRDefault="00120717" w:rsidP="00BF60A8">
            <w:pPr>
              <w:ind w:right="113"/>
              <w:jc w:val="right"/>
              <w:rPr>
                <w:color w:val="000000"/>
                <w:sz w:val="16"/>
                <w:szCs w:val="16"/>
              </w:rPr>
            </w:pPr>
            <w:r w:rsidRPr="007A4ECB">
              <w:rPr>
                <w:color w:val="000000"/>
                <w:sz w:val="16"/>
                <w:szCs w:val="16"/>
              </w:rPr>
              <w:t>0.8</w:t>
            </w:r>
          </w:p>
        </w:tc>
      </w:tr>
      <w:tr w:rsidR="00120717" w:rsidRPr="007A4ECB" w14:paraId="32A791D8" w14:textId="77777777" w:rsidTr="00F62DB6">
        <w:trPr>
          <w:trHeight w:val="60"/>
        </w:trPr>
        <w:tc>
          <w:tcPr>
            <w:tcW w:w="1883" w:type="pct"/>
            <w:noWrap/>
            <w:hideMark/>
          </w:tcPr>
          <w:p w14:paraId="5988EF24" w14:textId="77777777" w:rsidR="00120717" w:rsidRPr="007A4ECB" w:rsidRDefault="00120717">
            <w:pPr>
              <w:jc w:val="left"/>
              <w:rPr>
                <w:sz w:val="16"/>
                <w:szCs w:val="16"/>
              </w:rPr>
            </w:pPr>
            <w:r w:rsidRPr="007A4ECB">
              <w:rPr>
                <w:sz w:val="16"/>
                <w:szCs w:val="16"/>
              </w:rPr>
              <w:tab/>
              <w:t>Switzerland</w:t>
            </w:r>
          </w:p>
        </w:tc>
        <w:tc>
          <w:tcPr>
            <w:tcW w:w="446" w:type="pct"/>
            <w:noWrap/>
            <w:hideMark/>
          </w:tcPr>
          <w:p w14:paraId="754B0CF9"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5B3D9595"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64A048F9"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741C5C1C"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7F068E56"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398F764C"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1" w:type="pct"/>
            <w:noWrap/>
            <w:hideMark/>
          </w:tcPr>
          <w:p w14:paraId="4FBA2198" w14:textId="77777777" w:rsidR="00120717" w:rsidRPr="007A4ECB" w:rsidRDefault="00120717" w:rsidP="00BF60A8">
            <w:pPr>
              <w:ind w:right="113"/>
              <w:jc w:val="right"/>
              <w:rPr>
                <w:color w:val="000000"/>
                <w:sz w:val="16"/>
                <w:szCs w:val="16"/>
              </w:rPr>
            </w:pPr>
            <w:r w:rsidRPr="007A4ECB">
              <w:rPr>
                <w:color w:val="000000"/>
                <w:sz w:val="16"/>
                <w:szCs w:val="16"/>
              </w:rPr>
              <w:t>0.7</w:t>
            </w:r>
          </w:p>
        </w:tc>
      </w:tr>
      <w:tr w:rsidR="00120717" w:rsidRPr="007A4ECB" w14:paraId="244E234B" w14:textId="77777777" w:rsidTr="00F62DB6">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6192EC33" w14:textId="77777777" w:rsidR="00120717" w:rsidRPr="007A4ECB" w:rsidRDefault="00120717" w:rsidP="004E187B">
            <w:pPr>
              <w:ind w:left="174"/>
              <w:jc w:val="left"/>
              <w:rPr>
                <w:sz w:val="16"/>
                <w:szCs w:val="16"/>
              </w:rPr>
            </w:pPr>
            <w:r w:rsidRPr="007A4ECB">
              <w:rPr>
                <w:sz w:val="16"/>
                <w:szCs w:val="16"/>
              </w:rPr>
              <w:t>Other Europe</w:t>
            </w:r>
          </w:p>
        </w:tc>
        <w:tc>
          <w:tcPr>
            <w:tcW w:w="446" w:type="pct"/>
            <w:noWrap/>
            <w:hideMark/>
          </w:tcPr>
          <w:p w14:paraId="5C7C4D79" w14:textId="77777777" w:rsidR="00120717" w:rsidRPr="007A4ECB" w:rsidRDefault="00120717" w:rsidP="00BF60A8">
            <w:pPr>
              <w:ind w:right="113"/>
              <w:jc w:val="right"/>
              <w:rPr>
                <w:color w:val="000000"/>
                <w:sz w:val="16"/>
                <w:szCs w:val="16"/>
              </w:rPr>
            </w:pPr>
            <w:r w:rsidRPr="007A4ECB">
              <w:rPr>
                <w:color w:val="000000"/>
                <w:sz w:val="16"/>
                <w:szCs w:val="16"/>
              </w:rPr>
              <w:t>3.0</w:t>
            </w:r>
          </w:p>
        </w:tc>
        <w:tc>
          <w:tcPr>
            <w:tcW w:w="446" w:type="pct"/>
            <w:noWrap/>
            <w:hideMark/>
          </w:tcPr>
          <w:p w14:paraId="27B4F8D8" w14:textId="77777777" w:rsidR="00120717" w:rsidRPr="007A4ECB" w:rsidRDefault="00120717" w:rsidP="00BF60A8">
            <w:pPr>
              <w:ind w:right="113"/>
              <w:jc w:val="right"/>
              <w:rPr>
                <w:color w:val="000000"/>
                <w:sz w:val="16"/>
                <w:szCs w:val="16"/>
              </w:rPr>
            </w:pPr>
            <w:r w:rsidRPr="007A4ECB">
              <w:rPr>
                <w:color w:val="000000"/>
                <w:sz w:val="16"/>
                <w:szCs w:val="16"/>
              </w:rPr>
              <w:t>3.2</w:t>
            </w:r>
          </w:p>
        </w:tc>
        <w:tc>
          <w:tcPr>
            <w:tcW w:w="446" w:type="pct"/>
            <w:noWrap/>
            <w:hideMark/>
          </w:tcPr>
          <w:p w14:paraId="64BB40CC" w14:textId="77777777" w:rsidR="00120717" w:rsidRPr="007A4ECB" w:rsidRDefault="00120717" w:rsidP="00BF60A8">
            <w:pPr>
              <w:ind w:right="113"/>
              <w:jc w:val="right"/>
              <w:rPr>
                <w:color w:val="000000"/>
                <w:sz w:val="16"/>
                <w:szCs w:val="16"/>
              </w:rPr>
            </w:pPr>
            <w:r w:rsidRPr="007A4ECB">
              <w:rPr>
                <w:color w:val="000000"/>
                <w:sz w:val="16"/>
                <w:szCs w:val="16"/>
              </w:rPr>
              <w:t>3.5</w:t>
            </w:r>
          </w:p>
        </w:tc>
        <w:tc>
          <w:tcPr>
            <w:tcW w:w="446" w:type="pct"/>
            <w:noWrap/>
            <w:hideMark/>
          </w:tcPr>
          <w:p w14:paraId="7EB1B323" w14:textId="77777777" w:rsidR="00120717" w:rsidRPr="007A4ECB" w:rsidRDefault="00120717" w:rsidP="00BF60A8">
            <w:pPr>
              <w:ind w:right="113"/>
              <w:jc w:val="right"/>
              <w:rPr>
                <w:color w:val="000000"/>
                <w:sz w:val="16"/>
                <w:szCs w:val="16"/>
              </w:rPr>
            </w:pPr>
            <w:r w:rsidRPr="007A4ECB">
              <w:rPr>
                <w:color w:val="000000"/>
                <w:sz w:val="16"/>
                <w:szCs w:val="16"/>
              </w:rPr>
              <w:t>3.2</w:t>
            </w:r>
          </w:p>
        </w:tc>
        <w:tc>
          <w:tcPr>
            <w:tcW w:w="446" w:type="pct"/>
            <w:noWrap/>
            <w:hideMark/>
          </w:tcPr>
          <w:p w14:paraId="02324E8A" w14:textId="77777777" w:rsidR="00120717" w:rsidRPr="007A4ECB" w:rsidRDefault="00120717" w:rsidP="00BF60A8">
            <w:pPr>
              <w:ind w:right="113"/>
              <w:jc w:val="right"/>
              <w:rPr>
                <w:color w:val="000000"/>
                <w:sz w:val="16"/>
                <w:szCs w:val="16"/>
              </w:rPr>
            </w:pPr>
            <w:r w:rsidRPr="007A4ECB">
              <w:rPr>
                <w:color w:val="000000"/>
                <w:sz w:val="16"/>
                <w:szCs w:val="16"/>
              </w:rPr>
              <w:t>3.2</w:t>
            </w:r>
          </w:p>
        </w:tc>
        <w:tc>
          <w:tcPr>
            <w:tcW w:w="446" w:type="pct"/>
            <w:noWrap/>
            <w:hideMark/>
          </w:tcPr>
          <w:p w14:paraId="5EFBAB52" w14:textId="77777777" w:rsidR="00120717" w:rsidRPr="007A4ECB" w:rsidRDefault="00120717" w:rsidP="00BF60A8">
            <w:pPr>
              <w:ind w:right="113"/>
              <w:jc w:val="right"/>
              <w:rPr>
                <w:color w:val="000000"/>
                <w:sz w:val="16"/>
                <w:szCs w:val="16"/>
              </w:rPr>
            </w:pPr>
            <w:r w:rsidRPr="007A4ECB">
              <w:rPr>
                <w:color w:val="000000"/>
                <w:sz w:val="16"/>
                <w:szCs w:val="16"/>
              </w:rPr>
              <w:t>2.9</w:t>
            </w:r>
          </w:p>
        </w:tc>
        <w:tc>
          <w:tcPr>
            <w:tcW w:w="441" w:type="pct"/>
            <w:noWrap/>
            <w:hideMark/>
          </w:tcPr>
          <w:p w14:paraId="77E8428D" w14:textId="77777777" w:rsidR="00120717" w:rsidRPr="007A4ECB" w:rsidRDefault="00120717" w:rsidP="00BF60A8">
            <w:pPr>
              <w:ind w:right="113"/>
              <w:jc w:val="right"/>
              <w:rPr>
                <w:color w:val="000000"/>
                <w:sz w:val="16"/>
                <w:szCs w:val="16"/>
              </w:rPr>
            </w:pPr>
            <w:r w:rsidRPr="007A4ECB">
              <w:rPr>
                <w:color w:val="000000"/>
                <w:sz w:val="16"/>
                <w:szCs w:val="16"/>
              </w:rPr>
              <w:t>2.8</w:t>
            </w:r>
          </w:p>
        </w:tc>
      </w:tr>
      <w:tr w:rsidR="00120717" w:rsidRPr="007A4ECB" w14:paraId="02204ED2" w14:textId="77777777" w:rsidTr="00F62DB6">
        <w:trPr>
          <w:trHeight w:val="60"/>
        </w:trPr>
        <w:tc>
          <w:tcPr>
            <w:tcW w:w="1883" w:type="pct"/>
            <w:noWrap/>
            <w:hideMark/>
          </w:tcPr>
          <w:p w14:paraId="64ACC8B0" w14:textId="77777777" w:rsidR="00120717" w:rsidRPr="007A4ECB" w:rsidRDefault="00120717">
            <w:pPr>
              <w:jc w:val="left"/>
              <w:rPr>
                <w:sz w:val="16"/>
                <w:szCs w:val="16"/>
              </w:rPr>
            </w:pPr>
            <w:r w:rsidRPr="007A4ECB">
              <w:rPr>
                <w:sz w:val="16"/>
                <w:szCs w:val="16"/>
              </w:rPr>
              <w:tab/>
              <w:t>United Kingdom</w:t>
            </w:r>
          </w:p>
        </w:tc>
        <w:tc>
          <w:tcPr>
            <w:tcW w:w="446" w:type="pct"/>
            <w:noWrap/>
            <w:hideMark/>
          </w:tcPr>
          <w:p w14:paraId="539BFCFA" w14:textId="77777777" w:rsidR="00120717" w:rsidRPr="007A4ECB" w:rsidRDefault="00120717" w:rsidP="00BF60A8">
            <w:pPr>
              <w:ind w:right="113"/>
              <w:jc w:val="right"/>
              <w:rPr>
                <w:color w:val="000000"/>
                <w:sz w:val="16"/>
                <w:szCs w:val="16"/>
              </w:rPr>
            </w:pPr>
            <w:r w:rsidRPr="007A4ECB">
              <w:rPr>
                <w:color w:val="000000"/>
                <w:sz w:val="16"/>
                <w:szCs w:val="16"/>
              </w:rPr>
              <w:t>2.6</w:t>
            </w:r>
          </w:p>
        </w:tc>
        <w:tc>
          <w:tcPr>
            <w:tcW w:w="446" w:type="pct"/>
            <w:noWrap/>
            <w:hideMark/>
          </w:tcPr>
          <w:p w14:paraId="2244D206" w14:textId="77777777" w:rsidR="00120717" w:rsidRPr="007A4ECB" w:rsidRDefault="00120717" w:rsidP="00BF60A8">
            <w:pPr>
              <w:ind w:right="113"/>
              <w:jc w:val="right"/>
              <w:rPr>
                <w:color w:val="000000"/>
                <w:sz w:val="16"/>
                <w:szCs w:val="16"/>
              </w:rPr>
            </w:pPr>
            <w:r w:rsidRPr="007A4ECB">
              <w:rPr>
                <w:color w:val="000000"/>
                <w:sz w:val="16"/>
                <w:szCs w:val="16"/>
              </w:rPr>
              <w:t>2.8</w:t>
            </w:r>
          </w:p>
        </w:tc>
        <w:tc>
          <w:tcPr>
            <w:tcW w:w="446" w:type="pct"/>
            <w:noWrap/>
            <w:hideMark/>
          </w:tcPr>
          <w:p w14:paraId="4539E36E" w14:textId="77777777" w:rsidR="00120717" w:rsidRPr="007A4ECB" w:rsidRDefault="00120717" w:rsidP="00BF60A8">
            <w:pPr>
              <w:ind w:right="113"/>
              <w:jc w:val="right"/>
              <w:rPr>
                <w:color w:val="000000"/>
                <w:sz w:val="16"/>
                <w:szCs w:val="16"/>
              </w:rPr>
            </w:pPr>
            <w:r w:rsidRPr="007A4ECB">
              <w:rPr>
                <w:color w:val="000000"/>
                <w:sz w:val="16"/>
                <w:szCs w:val="16"/>
              </w:rPr>
              <w:t>3.1</w:t>
            </w:r>
          </w:p>
        </w:tc>
        <w:tc>
          <w:tcPr>
            <w:tcW w:w="446" w:type="pct"/>
            <w:noWrap/>
            <w:hideMark/>
          </w:tcPr>
          <w:p w14:paraId="58D6D617" w14:textId="77777777" w:rsidR="00120717" w:rsidRPr="007A4ECB" w:rsidRDefault="00120717" w:rsidP="00BF60A8">
            <w:pPr>
              <w:ind w:right="113"/>
              <w:jc w:val="right"/>
              <w:rPr>
                <w:color w:val="000000"/>
                <w:sz w:val="16"/>
                <w:szCs w:val="16"/>
              </w:rPr>
            </w:pPr>
            <w:r w:rsidRPr="007A4ECB">
              <w:rPr>
                <w:color w:val="000000"/>
                <w:sz w:val="16"/>
                <w:szCs w:val="16"/>
              </w:rPr>
              <w:t>2.9</w:t>
            </w:r>
          </w:p>
        </w:tc>
        <w:tc>
          <w:tcPr>
            <w:tcW w:w="446" w:type="pct"/>
            <w:noWrap/>
            <w:hideMark/>
          </w:tcPr>
          <w:p w14:paraId="44E0161C" w14:textId="77777777" w:rsidR="00120717" w:rsidRPr="007A4ECB" w:rsidRDefault="00120717" w:rsidP="00BF60A8">
            <w:pPr>
              <w:ind w:right="113"/>
              <w:jc w:val="right"/>
              <w:rPr>
                <w:color w:val="000000"/>
                <w:sz w:val="16"/>
                <w:szCs w:val="16"/>
              </w:rPr>
            </w:pPr>
            <w:r w:rsidRPr="007A4ECB">
              <w:rPr>
                <w:color w:val="000000"/>
                <w:sz w:val="16"/>
                <w:szCs w:val="16"/>
              </w:rPr>
              <w:t>2.8</w:t>
            </w:r>
          </w:p>
        </w:tc>
        <w:tc>
          <w:tcPr>
            <w:tcW w:w="446" w:type="pct"/>
            <w:noWrap/>
            <w:hideMark/>
          </w:tcPr>
          <w:p w14:paraId="63BCFD45" w14:textId="77777777" w:rsidR="00120717" w:rsidRPr="007A4ECB" w:rsidRDefault="00120717" w:rsidP="00BF60A8">
            <w:pPr>
              <w:ind w:right="113"/>
              <w:jc w:val="right"/>
              <w:rPr>
                <w:color w:val="000000"/>
                <w:sz w:val="16"/>
                <w:szCs w:val="16"/>
              </w:rPr>
            </w:pPr>
            <w:r w:rsidRPr="007A4ECB">
              <w:rPr>
                <w:color w:val="000000"/>
                <w:sz w:val="16"/>
                <w:szCs w:val="16"/>
              </w:rPr>
              <w:t>2.5</w:t>
            </w:r>
          </w:p>
        </w:tc>
        <w:tc>
          <w:tcPr>
            <w:tcW w:w="441" w:type="pct"/>
            <w:noWrap/>
            <w:hideMark/>
          </w:tcPr>
          <w:p w14:paraId="644D3CBF" w14:textId="77777777" w:rsidR="00120717" w:rsidRPr="007A4ECB" w:rsidRDefault="00120717" w:rsidP="00BF60A8">
            <w:pPr>
              <w:ind w:right="113"/>
              <w:jc w:val="right"/>
              <w:rPr>
                <w:color w:val="000000"/>
                <w:sz w:val="16"/>
                <w:szCs w:val="16"/>
              </w:rPr>
            </w:pPr>
            <w:r w:rsidRPr="007A4ECB">
              <w:rPr>
                <w:color w:val="000000"/>
                <w:sz w:val="16"/>
                <w:szCs w:val="16"/>
              </w:rPr>
              <w:t>2.3</w:t>
            </w:r>
          </w:p>
        </w:tc>
      </w:tr>
      <w:tr w:rsidR="00120717" w:rsidRPr="007A4ECB" w14:paraId="37C13E45" w14:textId="77777777" w:rsidTr="00F62DB6">
        <w:trPr>
          <w:cnfStyle w:val="000000010000" w:firstRow="0" w:lastRow="0" w:firstColumn="0" w:lastColumn="0" w:oddVBand="0" w:evenVBand="0" w:oddHBand="0" w:evenHBand="1" w:firstRowFirstColumn="0" w:firstRowLastColumn="0" w:lastRowFirstColumn="0" w:lastRowLastColumn="0"/>
          <w:trHeight w:val="160"/>
        </w:trPr>
        <w:tc>
          <w:tcPr>
            <w:tcW w:w="1883" w:type="pct"/>
            <w:noWrap/>
            <w:hideMark/>
          </w:tcPr>
          <w:p w14:paraId="2C7C8331" w14:textId="77777777" w:rsidR="00120717" w:rsidRPr="007A4ECB" w:rsidRDefault="00120717">
            <w:pPr>
              <w:jc w:val="left"/>
              <w:rPr>
                <w:sz w:val="16"/>
                <w:szCs w:val="16"/>
              </w:rPr>
            </w:pPr>
            <w:proofErr w:type="spellStart"/>
            <w:r w:rsidRPr="007A4ECB">
              <w:rPr>
                <w:sz w:val="16"/>
                <w:szCs w:val="16"/>
              </w:rPr>
              <w:t>CIS</w:t>
            </w:r>
            <w:r w:rsidRPr="007A4ECB">
              <w:rPr>
                <w:sz w:val="16"/>
                <w:szCs w:val="16"/>
                <w:vertAlign w:val="superscript"/>
              </w:rPr>
              <w:t>a</w:t>
            </w:r>
            <w:proofErr w:type="spellEnd"/>
          </w:p>
        </w:tc>
        <w:tc>
          <w:tcPr>
            <w:tcW w:w="446" w:type="pct"/>
            <w:noWrap/>
            <w:hideMark/>
          </w:tcPr>
          <w:p w14:paraId="3FC1AB6C" w14:textId="77777777" w:rsidR="00120717" w:rsidRPr="007A4ECB" w:rsidRDefault="00120717" w:rsidP="00BF60A8">
            <w:pPr>
              <w:ind w:right="113"/>
              <w:jc w:val="right"/>
              <w:rPr>
                <w:color w:val="000000"/>
                <w:sz w:val="16"/>
                <w:szCs w:val="16"/>
              </w:rPr>
            </w:pPr>
            <w:r w:rsidRPr="007A4ECB">
              <w:rPr>
                <w:color w:val="000000"/>
                <w:sz w:val="16"/>
                <w:szCs w:val="16"/>
              </w:rPr>
              <w:t>1.0</w:t>
            </w:r>
          </w:p>
        </w:tc>
        <w:tc>
          <w:tcPr>
            <w:tcW w:w="446" w:type="pct"/>
            <w:noWrap/>
            <w:hideMark/>
          </w:tcPr>
          <w:p w14:paraId="03DA16B2" w14:textId="77777777" w:rsidR="00120717" w:rsidRPr="007A4ECB" w:rsidRDefault="00120717" w:rsidP="00BF60A8">
            <w:pPr>
              <w:ind w:right="113"/>
              <w:jc w:val="right"/>
              <w:rPr>
                <w:color w:val="000000"/>
                <w:sz w:val="16"/>
                <w:szCs w:val="16"/>
              </w:rPr>
            </w:pPr>
            <w:r w:rsidRPr="007A4ECB">
              <w:rPr>
                <w:color w:val="000000"/>
                <w:sz w:val="16"/>
                <w:szCs w:val="16"/>
              </w:rPr>
              <w:t>0.3</w:t>
            </w:r>
          </w:p>
        </w:tc>
        <w:tc>
          <w:tcPr>
            <w:tcW w:w="446" w:type="pct"/>
            <w:noWrap/>
            <w:hideMark/>
          </w:tcPr>
          <w:p w14:paraId="60A55093"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41111429" w14:textId="77777777" w:rsidR="00120717" w:rsidRPr="007A4ECB" w:rsidRDefault="00120717" w:rsidP="00BF60A8">
            <w:pPr>
              <w:ind w:right="113"/>
              <w:jc w:val="right"/>
              <w:rPr>
                <w:color w:val="000000"/>
                <w:sz w:val="16"/>
                <w:szCs w:val="16"/>
              </w:rPr>
            </w:pPr>
            <w:r w:rsidRPr="007A4ECB">
              <w:rPr>
                <w:color w:val="000000"/>
                <w:sz w:val="16"/>
                <w:szCs w:val="16"/>
              </w:rPr>
              <w:t>0.4</w:t>
            </w:r>
          </w:p>
        </w:tc>
        <w:tc>
          <w:tcPr>
            <w:tcW w:w="446" w:type="pct"/>
            <w:noWrap/>
            <w:hideMark/>
          </w:tcPr>
          <w:p w14:paraId="473F2CEE" w14:textId="77777777" w:rsidR="00120717" w:rsidRPr="007A4ECB" w:rsidRDefault="00120717" w:rsidP="00BF60A8">
            <w:pPr>
              <w:ind w:right="113"/>
              <w:jc w:val="right"/>
              <w:rPr>
                <w:color w:val="000000"/>
                <w:sz w:val="16"/>
                <w:szCs w:val="16"/>
              </w:rPr>
            </w:pPr>
            <w:r w:rsidRPr="007A4ECB">
              <w:rPr>
                <w:color w:val="000000"/>
                <w:sz w:val="16"/>
                <w:szCs w:val="16"/>
              </w:rPr>
              <w:t>1.0</w:t>
            </w:r>
          </w:p>
        </w:tc>
        <w:tc>
          <w:tcPr>
            <w:tcW w:w="446" w:type="pct"/>
            <w:noWrap/>
            <w:hideMark/>
          </w:tcPr>
          <w:p w14:paraId="5DAB7D9A"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1" w:type="pct"/>
            <w:noWrap/>
            <w:hideMark/>
          </w:tcPr>
          <w:p w14:paraId="16FE604E" w14:textId="77777777" w:rsidR="00120717" w:rsidRPr="007A4ECB" w:rsidRDefault="00120717" w:rsidP="00BF60A8">
            <w:pPr>
              <w:ind w:right="113"/>
              <w:jc w:val="right"/>
              <w:rPr>
                <w:color w:val="000000"/>
                <w:sz w:val="16"/>
                <w:szCs w:val="16"/>
              </w:rPr>
            </w:pPr>
            <w:r w:rsidRPr="007A4ECB">
              <w:rPr>
                <w:color w:val="000000"/>
                <w:sz w:val="16"/>
                <w:szCs w:val="16"/>
              </w:rPr>
              <w:t>0.2</w:t>
            </w:r>
          </w:p>
        </w:tc>
      </w:tr>
      <w:tr w:rsidR="00120717" w:rsidRPr="007A4ECB" w14:paraId="6026D60E" w14:textId="77777777" w:rsidTr="00F62DB6">
        <w:trPr>
          <w:trHeight w:val="120"/>
        </w:trPr>
        <w:tc>
          <w:tcPr>
            <w:tcW w:w="1883" w:type="pct"/>
            <w:noWrap/>
            <w:hideMark/>
          </w:tcPr>
          <w:p w14:paraId="0B7E9DCF" w14:textId="77777777" w:rsidR="00120717" w:rsidRPr="007A4ECB" w:rsidRDefault="00120717">
            <w:pPr>
              <w:jc w:val="left"/>
              <w:rPr>
                <w:sz w:val="16"/>
                <w:szCs w:val="16"/>
              </w:rPr>
            </w:pPr>
            <w:r w:rsidRPr="007A4ECB">
              <w:rPr>
                <w:sz w:val="16"/>
                <w:szCs w:val="16"/>
              </w:rPr>
              <w:t>Africa</w:t>
            </w:r>
          </w:p>
        </w:tc>
        <w:tc>
          <w:tcPr>
            <w:tcW w:w="446" w:type="pct"/>
            <w:noWrap/>
            <w:hideMark/>
          </w:tcPr>
          <w:p w14:paraId="1378BF48"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1A4EDFA9"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5EE71A34" w14:textId="77777777" w:rsidR="00120717" w:rsidRPr="007A4ECB" w:rsidRDefault="00120717" w:rsidP="00BF60A8">
            <w:pPr>
              <w:ind w:right="113"/>
              <w:jc w:val="right"/>
              <w:rPr>
                <w:color w:val="000000"/>
                <w:sz w:val="16"/>
                <w:szCs w:val="16"/>
              </w:rPr>
            </w:pPr>
            <w:r w:rsidRPr="007A4ECB">
              <w:rPr>
                <w:color w:val="000000"/>
                <w:sz w:val="16"/>
                <w:szCs w:val="16"/>
              </w:rPr>
              <w:t>0.5</w:t>
            </w:r>
          </w:p>
        </w:tc>
        <w:tc>
          <w:tcPr>
            <w:tcW w:w="446" w:type="pct"/>
            <w:noWrap/>
            <w:hideMark/>
          </w:tcPr>
          <w:p w14:paraId="62E5257D"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0BDC1C22"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162FF129" w14:textId="77777777" w:rsidR="00120717" w:rsidRPr="007A4ECB" w:rsidRDefault="00120717" w:rsidP="00BF60A8">
            <w:pPr>
              <w:ind w:right="113"/>
              <w:jc w:val="right"/>
              <w:rPr>
                <w:color w:val="000000"/>
                <w:sz w:val="16"/>
                <w:szCs w:val="16"/>
              </w:rPr>
            </w:pPr>
            <w:r w:rsidRPr="007A4ECB">
              <w:rPr>
                <w:color w:val="000000"/>
                <w:sz w:val="16"/>
                <w:szCs w:val="16"/>
              </w:rPr>
              <w:t>0.5</w:t>
            </w:r>
          </w:p>
        </w:tc>
        <w:tc>
          <w:tcPr>
            <w:tcW w:w="441" w:type="pct"/>
            <w:noWrap/>
            <w:hideMark/>
          </w:tcPr>
          <w:p w14:paraId="48437D33" w14:textId="77777777" w:rsidR="00120717" w:rsidRPr="007A4ECB" w:rsidRDefault="00120717" w:rsidP="00BF60A8">
            <w:pPr>
              <w:ind w:right="113"/>
              <w:jc w:val="right"/>
              <w:rPr>
                <w:color w:val="000000"/>
                <w:sz w:val="16"/>
                <w:szCs w:val="16"/>
              </w:rPr>
            </w:pPr>
            <w:r w:rsidRPr="007A4ECB">
              <w:rPr>
                <w:color w:val="000000"/>
                <w:sz w:val="16"/>
                <w:szCs w:val="16"/>
              </w:rPr>
              <w:t>0.5</w:t>
            </w:r>
          </w:p>
        </w:tc>
      </w:tr>
      <w:tr w:rsidR="00120717" w:rsidRPr="007A4ECB" w14:paraId="3AD25336" w14:textId="77777777" w:rsidTr="00F62DB6">
        <w:trPr>
          <w:cnfStyle w:val="000000010000" w:firstRow="0" w:lastRow="0" w:firstColumn="0" w:lastColumn="0" w:oddVBand="0" w:evenVBand="0" w:oddHBand="0" w:evenHBand="1" w:firstRowFirstColumn="0" w:firstRowLastColumn="0" w:lastRowFirstColumn="0" w:lastRowLastColumn="0"/>
          <w:trHeight w:val="80"/>
        </w:trPr>
        <w:tc>
          <w:tcPr>
            <w:tcW w:w="1883" w:type="pct"/>
            <w:noWrap/>
            <w:hideMark/>
          </w:tcPr>
          <w:p w14:paraId="4CEED0B2" w14:textId="77777777" w:rsidR="00120717" w:rsidRPr="007A4ECB" w:rsidRDefault="00120717">
            <w:pPr>
              <w:jc w:val="left"/>
              <w:rPr>
                <w:sz w:val="16"/>
                <w:szCs w:val="16"/>
              </w:rPr>
            </w:pPr>
            <w:r w:rsidRPr="007A4ECB">
              <w:rPr>
                <w:sz w:val="16"/>
                <w:szCs w:val="16"/>
              </w:rPr>
              <w:t>Middle East</w:t>
            </w:r>
          </w:p>
        </w:tc>
        <w:tc>
          <w:tcPr>
            <w:tcW w:w="446" w:type="pct"/>
            <w:noWrap/>
            <w:hideMark/>
          </w:tcPr>
          <w:p w14:paraId="00C90EF1" w14:textId="77777777" w:rsidR="00120717" w:rsidRPr="007A4ECB" w:rsidRDefault="00120717" w:rsidP="00BF60A8">
            <w:pPr>
              <w:ind w:right="113"/>
              <w:jc w:val="right"/>
              <w:rPr>
                <w:color w:val="000000"/>
                <w:sz w:val="16"/>
                <w:szCs w:val="16"/>
              </w:rPr>
            </w:pPr>
            <w:r w:rsidRPr="007A4ECB">
              <w:rPr>
                <w:color w:val="000000"/>
                <w:sz w:val="16"/>
                <w:szCs w:val="16"/>
              </w:rPr>
              <w:t>3.7</w:t>
            </w:r>
          </w:p>
        </w:tc>
        <w:tc>
          <w:tcPr>
            <w:tcW w:w="446" w:type="pct"/>
            <w:noWrap/>
            <w:hideMark/>
          </w:tcPr>
          <w:p w14:paraId="3C4ED199" w14:textId="77777777" w:rsidR="00120717" w:rsidRPr="007A4ECB" w:rsidRDefault="00120717" w:rsidP="00BF60A8">
            <w:pPr>
              <w:ind w:right="113"/>
              <w:jc w:val="right"/>
              <w:rPr>
                <w:color w:val="000000"/>
                <w:sz w:val="16"/>
                <w:szCs w:val="16"/>
              </w:rPr>
            </w:pPr>
            <w:r w:rsidRPr="007A4ECB">
              <w:rPr>
                <w:color w:val="000000"/>
                <w:sz w:val="16"/>
                <w:szCs w:val="16"/>
              </w:rPr>
              <w:t>4.3</w:t>
            </w:r>
          </w:p>
        </w:tc>
        <w:tc>
          <w:tcPr>
            <w:tcW w:w="446" w:type="pct"/>
            <w:noWrap/>
            <w:hideMark/>
          </w:tcPr>
          <w:p w14:paraId="36CBAE34" w14:textId="77777777" w:rsidR="00120717" w:rsidRPr="007A4ECB" w:rsidRDefault="00120717" w:rsidP="00BF60A8">
            <w:pPr>
              <w:ind w:right="113"/>
              <w:jc w:val="right"/>
              <w:rPr>
                <w:color w:val="000000"/>
                <w:sz w:val="16"/>
                <w:szCs w:val="16"/>
              </w:rPr>
            </w:pPr>
            <w:r w:rsidRPr="007A4ECB">
              <w:rPr>
                <w:color w:val="000000"/>
                <w:sz w:val="16"/>
                <w:szCs w:val="16"/>
              </w:rPr>
              <w:t>4.9</w:t>
            </w:r>
          </w:p>
        </w:tc>
        <w:tc>
          <w:tcPr>
            <w:tcW w:w="446" w:type="pct"/>
            <w:noWrap/>
            <w:hideMark/>
          </w:tcPr>
          <w:p w14:paraId="3EE6DB1B" w14:textId="77777777" w:rsidR="00120717" w:rsidRPr="007A4ECB" w:rsidRDefault="00120717" w:rsidP="00BF60A8">
            <w:pPr>
              <w:ind w:right="113"/>
              <w:jc w:val="right"/>
              <w:rPr>
                <w:color w:val="000000"/>
                <w:sz w:val="16"/>
                <w:szCs w:val="16"/>
              </w:rPr>
            </w:pPr>
            <w:r w:rsidRPr="007A4ECB">
              <w:rPr>
                <w:color w:val="000000"/>
                <w:sz w:val="16"/>
                <w:szCs w:val="16"/>
              </w:rPr>
              <w:t>5.9</w:t>
            </w:r>
          </w:p>
        </w:tc>
        <w:tc>
          <w:tcPr>
            <w:tcW w:w="446" w:type="pct"/>
            <w:noWrap/>
            <w:hideMark/>
          </w:tcPr>
          <w:p w14:paraId="397068F6" w14:textId="77777777" w:rsidR="00120717" w:rsidRPr="007A4ECB" w:rsidRDefault="00120717" w:rsidP="00BF60A8">
            <w:pPr>
              <w:ind w:right="113"/>
              <w:jc w:val="right"/>
              <w:rPr>
                <w:color w:val="000000"/>
                <w:sz w:val="16"/>
                <w:szCs w:val="16"/>
              </w:rPr>
            </w:pPr>
            <w:r w:rsidRPr="007A4ECB">
              <w:rPr>
                <w:color w:val="000000"/>
                <w:sz w:val="16"/>
                <w:szCs w:val="16"/>
              </w:rPr>
              <w:t>5.3</w:t>
            </w:r>
          </w:p>
        </w:tc>
        <w:tc>
          <w:tcPr>
            <w:tcW w:w="446" w:type="pct"/>
            <w:noWrap/>
            <w:hideMark/>
          </w:tcPr>
          <w:p w14:paraId="28776A27" w14:textId="77777777" w:rsidR="00120717" w:rsidRPr="007A4ECB" w:rsidRDefault="00120717" w:rsidP="00BF60A8">
            <w:pPr>
              <w:ind w:right="113"/>
              <w:jc w:val="right"/>
              <w:rPr>
                <w:color w:val="000000"/>
                <w:sz w:val="16"/>
                <w:szCs w:val="16"/>
              </w:rPr>
            </w:pPr>
            <w:r w:rsidRPr="007A4ECB">
              <w:rPr>
                <w:color w:val="000000"/>
                <w:sz w:val="16"/>
                <w:szCs w:val="16"/>
              </w:rPr>
              <w:t>3.8</w:t>
            </w:r>
          </w:p>
        </w:tc>
        <w:tc>
          <w:tcPr>
            <w:tcW w:w="441" w:type="pct"/>
            <w:noWrap/>
            <w:hideMark/>
          </w:tcPr>
          <w:p w14:paraId="08302A45" w14:textId="77777777" w:rsidR="00120717" w:rsidRPr="007A4ECB" w:rsidRDefault="00120717" w:rsidP="00BF60A8">
            <w:pPr>
              <w:ind w:right="113"/>
              <w:jc w:val="right"/>
              <w:rPr>
                <w:color w:val="000000"/>
                <w:sz w:val="16"/>
                <w:szCs w:val="16"/>
              </w:rPr>
            </w:pPr>
            <w:r w:rsidRPr="007A4ECB">
              <w:rPr>
                <w:color w:val="000000"/>
                <w:sz w:val="16"/>
                <w:szCs w:val="16"/>
              </w:rPr>
              <w:t>4.3</w:t>
            </w:r>
          </w:p>
        </w:tc>
      </w:tr>
      <w:tr w:rsidR="00120717" w:rsidRPr="007A4ECB" w14:paraId="294995C4" w14:textId="77777777" w:rsidTr="00F62DB6">
        <w:trPr>
          <w:trHeight w:val="60"/>
        </w:trPr>
        <w:tc>
          <w:tcPr>
            <w:tcW w:w="1883" w:type="pct"/>
            <w:noWrap/>
            <w:hideMark/>
          </w:tcPr>
          <w:p w14:paraId="31CF16A9" w14:textId="2D5BB325" w:rsidR="00120717" w:rsidRPr="007A4ECB" w:rsidRDefault="00120717" w:rsidP="003029D5">
            <w:pPr>
              <w:ind w:left="175"/>
              <w:jc w:val="left"/>
              <w:rPr>
                <w:sz w:val="16"/>
                <w:szCs w:val="16"/>
              </w:rPr>
            </w:pPr>
            <w:r w:rsidRPr="007A4ECB">
              <w:rPr>
                <w:sz w:val="16"/>
                <w:szCs w:val="16"/>
              </w:rPr>
              <w:t>United Arab Emirates</w:t>
            </w:r>
          </w:p>
        </w:tc>
        <w:tc>
          <w:tcPr>
            <w:tcW w:w="446" w:type="pct"/>
            <w:noWrap/>
            <w:hideMark/>
          </w:tcPr>
          <w:p w14:paraId="70A51547" w14:textId="77777777" w:rsidR="00120717" w:rsidRPr="007A4ECB" w:rsidRDefault="00120717" w:rsidP="00BF60A8">
            <w:pPr>
              <w:ind w:right="113"/>
              <w:jc w:val="right"/>
              <w:rPr>
                <w:color w:val="000000"/>
                <w:sz w:val="16"/>
                <w:szCs w:val="16"/>
              </w:rPr>
            </w:pPr>
            <w:r w:rsidRPr="007A4ECB">
              <w:rPr>
                <w:color w:val="000000"/>
                <w:sz w:val="16"/>
                <w:szCs w:val="16"/>
              </w:rPr>
              <w:t>0.9</w:t>
            </w:r>
          </w:p>
        </w:tc>
        <w:tc>
          <w:tcPr>
            <w:tcW w:w="446" w:type="pct"/>
            <w:noWrap/>
            <w:hideMark/>
          </w:tcPr>
          <w:p w14:paraId="082E345D" w14:textId="77777777" w:rsidR="00120717" w:rsidRPr="007A4ECB" w:rsidRDefault="00120717" w:rsidP="00BF60A8">
            <w:pPr>
              <w:ind w:right="113"/>
              <w:jc w:val="right"/>
              <w:rPr>
                <w:color w:val="000000"/>
                <w:sz w:val="16"/>
                <w:szCs w:val="16"/>
              </w:rPr>
            </w:pPr>
            <w:r w:rsidRPr="007A4ECB">
              <w:rPr>
                <w:color w:val="000000"/>
                <w:sz w:val="16"/>
                <w:szCs w:val="16"/>
              </w:rPr>
              <w:t>2.1</w:t>
            </w:r>
          </w:p>
        </w:tc>
        <w:tc>
          <w:tcPr>
            <w:tcW w:w="446" w:type="pct"/>
            <w:noWrap/>
            <w:hideMark/>
          </w:tcPr>
          <w:p w14:paraId="6F9B9917" w14:textId="77777777" w:rsidR="00120717" w:rsidRPr="007A4ECB" w:rsidRDefault="00120717" w:rsidP="00BF60A8">
            <w:pPr>
              <w:ind w:right="113"/>
              <w:jc w:val="right"/>
              <w:rPr>
                <w:color w:val="000000"/>
                <w:sz w:val="16"/>
                <w:szCs w:val="16"/>
              </w:rPr>
            </w:pPr>
            <w:r w:rsidRPr="007A4ECB">
              <w:rPr>
                <w:color w:val="000000"/>
                <w:sz w:val="16"/>
                <w:szCs w:val="16"/>
              </w:rPr>
              <w:t>3.5</w:t>
            </w:r>
          </w:p>
        </w:tc>
        <w:tc>
          <w:tcPr>
            <w:tcW w:w="446" w:type="pct"/>
            <w:noWrap/>
            <w:hideMark/>
          </w:tcPr>
          <w:p w14:paraId="3F4D083C" w14:textId="77777777" w:rsidR="00120717" w:rsidRPr="007A4ECB" w:rsidRDefault="00120717" w:rsidP="00BF60A8">
            <w:pPr>
              <w:ind w:right="113"/>
              <w:jc w:val="right"/>
              <w:rPr>
                <w:color w:val="000000"/>
                <w:sz w:val="16"/>
                <w:szCs w:val="16"/>
              </w:rPr>
            </w:pPr>
            <w:r w:rsidRPr="007A4ECB">
              <w:rPr>
                <w:color w:val="000000"/>
                <w:sz w:val="16"/>
                <w:szCs w:val="16"/>
              </w:rPr>
              <w:t>4.5</w:t>
            </w:r>
          </w:p>
        </w:tc>
        <w:tc>
          <w:tcPr>
            <w:tcW w:w="446" w:type="pct"/>
            <w:noWrap/>
            <w:hideMark/>
          </w:tcPr>
          <w:p w14:paraId="0941A976" w14:textId="77777777" w:rsidR="00120717" w:rsidRPr="007A4ECB" w:rsidRDefault="00120717" w:rsidP="00BF60A8">
            <w:pPr>
              <w:ind w:right="113"/>
              <w:jc w:val="right"/>
              <w:rPr>
                <w:color w:val="000000"/>
                <w:sz w:val="16"/>
                <w:szCs w:val="16"/>
              </w:rPr>
            </w:pPr>
            <w:r w:rsidRPr="007A4ECB">
              <w:rPr>
                <w:color w:val="000000"/>
                <w:sz w:val="16"/>
                <w:szCs w:val="16"/>
              </w:rPr>
              <w:t>4.2</w:t>
            </w:r>
          </w:p>
        </w:tc>
        <w:tc>
          <w:tcPr>
            <w:tcW w:w="446" w:type="pct"/>
            <w:noWrap/>
            <w:hideMark/>
          </w:tcPr>
          <w:p w14:paraId="370EC82B" w14:textId="77777777" w:rsidR="00120717" w:rsidRPr="007A4ECB" w:rsidRDefault="00120717" w:rsidP="00BF60A8">
            <w:pPr>
              <w:ind w:right="113"/>
              <w:jc w:val="right"/>
              <w:rPr>
                <w:color w:val="000000"/>
                <w:sz w:val="16"/>
                <w:szCs w:val="16"/>
              </w:rPr>
            </w:pPr>
            <w:r w:rsidRPr="007A4ECB">
              <w:rPr>
                <w:color w:val="000000"/>
                <w:sz w:val="16"/>
                <w:szCs w:val="16"/>
              </w:rPr>
              <w:t>2.7</w:t>
            </w:r>
          </w:p>
        </w:tc>
        <w:tc>
          <w:tcPr>
            <w:tcW w:w="441" w:type="pct"/>
            <w:noWrap/>
            <w:hideMark/>
          </w:tcPr>
          <w:p w14:paraId="4D21EB38" w14:textId="77777777" w:rsidR="00120717" w:rsidRPr="007A4ECB" w:rsidRDefault="00120717" w:rsidP="00BF60A8">
            <w:pPr>
              <w:ind w:right="113"/>
              <w:jc w:val="right"/>
              <w:rPr>
                <w:color w:val="000000"/>
                <w:sz w:val="16"/>
                <w:szCs w:val="16"/>
              </w:rPr>
            </w:pPr>
            <w:r w:rsidRPr="007A4ECB">
              <w:rPr>
                <w:color w:val="000000"/>
                <w:sz w:val="16"/>
                <w:szCs w:val="16"/>
              </w:rPr>
              <w:t>3.5</w:t>
            </w:r>
          </w:p>
        </w:tc>
      </w:tr>
      <w:tr w:rsidR="00120717" w:rsidRPr="007A4ECB" w14:paraId="2635BD58" w14:textId="77777777" w:rsidTr="00F62DB6">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0703528E" w14:textId="029EA859" w:rsidR="00120717" w:rsidRPr="007A4ECB" w:rsidRDefault="00120717" w:rsidP="003029D5">
            <w:pPr>
              <w:ind w:left="175"/>
              <w:jc w:val="left"/>
              <w:rPr>
                <w:sz w:val="16"/>
                <w:szCs w:val="16"/>
              </w:rPr>
            </w:pPr>
            <w:r w:rsidRPr="007A4ECB">
              <w:rPr>
                <w:sz w:val="16"/>
                <w:szCs w:val="16"/>
              </w:rPr>
              <w:t>Saudi Arabia, Kingdom of</w:t>
            </w:r>
          </w:p>
        </w:tc>
        <w:tc>
          <w:tcPr>
            <w:tcW w:w="446" w:type="pct"/>
            <w:noWrap/>
            <w:hideMark/>
          </w:tcPr>
          <w:p w14:paraId="2582B69A" w14:textId="77777777" w:rsidR="00120717" w:rsidRPr="007A4ECB" w:rsidRDefault="00120717" w:rsidP="00BF60A8">
            <w:pPr>
              <w:ind w:right="113"/>
              <w:jc w:val="right"/>
              <w:rPr>
                <w:color w:val="000000"/>
                <w:sz w:val="16"/>
                <w:szCs w:val="16"/>
              </w:rPr>
            </w:pPr>
            <w:r w:rsidRPr="007A4ECB">
              <w:rPr>
                <w:color w:val="000000"/>
                <w:sz w:val="16"/>
                <w:szCs w:val="16"/>
              </w:rPr>
              <w:t>1.0</w:t>
            </w:r>
          </w:p>
        </w:tc>
        <w:tc>
          <w:tcPr>
            <w:tcW w:w="446" w:type="pct"/>
            <w:noWrap/>
            <w:hideMark/>
          </w:tcPr>
          <w:p w14:paraId="22A40172" w14:textId="77777777" w:rsidR="00120717" w:rsidRPr="007A4ECB" w:rsidRDefault="00120717" w:rsidP="00BF60A8">
            <w:pPr>
              <w:ind w:right="113"/>
              <w:jc w:val="right"/>
              <w:rPr>
                <w:color w:val="000000"/>
                <w:sz w:val="16"/>
                <w:szCs w:val="16"/>
              </w:rPr>
            </w:pPr>
            <w:r w:rsidRPr="007A4ECB">
              <w:rPr>
                <w:color w:val="000000"/>
                <w:sz w:val="16"/>
                <w:szCs w:val="16"/>
              </w:rPr>
              <w:t>1.4</w:t>
            </w:r>
          </w:p>
        </w:tc>
        <w:tc>
          <w:tcPr>
            <w:tcW w:w="446" w:type="pct"/>
            <w:noWrap/>
            <w:hideMark/>
          </w:tcPr>
          <w:p w14:paraId="08D8418B"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6" w:type="pct"/>
            <w:noWrap/>
            <w:hideMark/>
          </w:tcPr>
          <w:p w14:paraId="6B571DC7" w14:textId="77777777" w:rsidR="00120717" w:rsidRPr="007A4ECB" w:rsidRDefault="00120717" w:rsidP="00BF60A8">
            <w:pPr>
              <w:ind w:right="113"/>
              <w:jc w:val="right"/>
              <w:rPr>
                <w:color w:val="000000"/>
                <w:sz w:val="16"/>
                <w:szCs w:val="16"/>
              </w:rPr>
            </w:pPr>
            <w:r w:rsidRPr="007A4ECB">
              <w:rPr>
                <w:color w:val="000000"/>
                <w:sz w:val="16"/>
                <w:szCs w:val="16"/>
              </w:rPr>
              <w:t>0.9</w:t>
            </w:r>
          </w:p>
        </w:tc>
        <w:tc>
          <w:tcPr>
            <w:tcW w:w="446" w:type="pct"/>
            <w:noWrap/>
            <w:hideMark/>
          </w:tcPr>
          <w:p w14:paraId="081E428C" w14:textId="77777777" w:rsidR="00120717" w:rsidRPr="007A4ECB" w:rsidRDefault="00120717" w:rsidP="00BF60A8">
            <w:pPr>
              <w:ind w:right="113"/>
              <w:jc w:val="right"/>
              <w:rPr>
                <w:color w:val="000000"/>
                <w:sz w:val="16"/>
                <w:szCs w:val="16"/>
              </w:rPr>
            </w:pPr>
            <w:r w:rsidRPr="007A4ECB">
              <w:rPr>
                <w:color w:val="000000"/>
                <w:sz w:val="16"/>
                <w:szCs w:val="16"/>
              </w:rPr>
              <w:t>0.7</w:t>
            </w:r>
          </w:p>
        </w:tc>
        <w:tc>
          <w:tcPr>
            <w:tcW w:w="446" w:type="pct"/>
            <w:noWrap/>
            <w:hideMark/>
          </w:tcPr>
          <w:p w14:paraId="0BEBB407" w14:textId="77777777" w:rsidR="00120717" w:rsidRPr="007A4ECB" w:rsidRDefault="00120717" w:rsidP="00BF60A8">
            <w:pPr>
              <w:ind w:right="113"/>
              <w:jc w:val="right"/>
              <w:rPr>
                <w:color w:val="000000"/>
                <w:sz w:val="16"/>
                <w:szCs w:val="16"/>
              </w:rPr>
            </w:pPr>
            <w:r w:rsidRPr="007A4ECB">
              <w:rPr>
                <w:color w:val="000000"/>
                <w:sz w:val="16"/>
                <w:szCs w:val="16"/>
              </w:rPr>
              <w:t>0.6</w:t>
            </w:r>
          </w:p>
        </w:tc>
        <w:tc>
          <w:tcPr>
            <w:tcW w:w="441" w:type="pct"/>
            <w:noWrap/>
            <w:hideMark/>
          </w:tcPr>
          <w:p w14:paraId="6C6628BD" w14:textId="77777777" w:rsidR="00120717" w:rsidRPr="007A4ECB" w:rsidRDefault="00120717" w:rsidP="00BF60A8">
            <w:pPr>
              <w:ind w:right="113"/>
              <w:jc w:val="right"/>
              <w:rPr>
                <w:color w:val="000000"/>
                <w:sz w:val="16"/>
                <w:szCs w:val="16"/>
              </w:rPr>
            </w:pPr>
            <w:r w:rsidRPr="007A4ECB">
              <w:rPr>
                <w:color w:val="000000"/>
                <w:sz w:val="16"/>
                <w:szCs w:val="16"/>
              </w:rPr>
              <w:t>0.4</w:t>
            </w:r>
          </w:p>
        </w:tc>
      </w:tr>
      <w:tr w:rsidR="00120717" w:rsidRPr="007A4ECB" w14:paraId="4316DFFB" w14:textId="77777777" w:rsidTr="00F62DB6">
        <w:trPr>
          <w:trHeight w:val="88"/>
        </w:trPr>
        <w:tc>
          <w:tcPr>
            <w:tcW w:w="1883" w:type="pct"/>
            <w:noWrap/>
            <w:hideMark/>
          </w:tcPr>
          <w:p w14:paraId="76AD94FC" w14:textId="77777777" w:rsidR="00120717" w:rsidRPr="007A4ECB" w:rsidRDefault="00120717">
            <w:pPr>
              <w:jc w:val="left"/>
              <w:rPr>
                <w:sz w:val="16"/>
                <w:szCs w:val="16"/>
              </w:rPr>
            </w:pPr>
            <w:r w:rsidRPr="007A4ECB">
              <w:rPr>
                <w:sz w:val="16"/>
                <w:szCs w:val="16"/>
              </w:rPr>
              <w:t>Asia</w:t>
            </w:r>
          </w:p>
        </w:tc>
        <w:tc>
          <w:tcPr>
            <w:tcW w:w="446" w:type="pct"/>
            <w:noWrap/>
            <w:hideMark/>
          </w:tcPr>
          <w:p w14:paraId="7C397457" w14:textId="77777777" w:rsidR="00120717" w:rsidRPr="007A4ECB" w:rsidRDefault="00120717" w:rsidP="00BF60A8">
            <w:pPr>
              <w:ind w:right="113"/>
              <w:jc w:val="right"/>
              <w:rPr>
                <w:color w:val="000000"/>
                <w:sz w:val="16"/>
                <w:szCs w:val="16"/>
              </w:rPr>
            </w:pPr>
            <w:r w:rsidRPr="007A4ECB">
              <w:rPr>
                <w:color w:val="000000"/>
                <w:sz w:val="16"/>
                <w:szCs w:val="16"/>
              </w:rPr>
              <w:t>60.7</w:t>
            </w:r>
          </w:p>
        </w:tc>
        <w:tc>
          <w:tcPr>
            <w:tcW w:w="446" w:type="pct"/>
            <w:noWrap/>
            <w:hideMark/>
          </w:tcPr>
          <w:p w14:paraId="433123EB" w14:textId="77777777" w:rsidR="00120717" w:rsidRPr="007A4ECB" w:rsidRDefault="00120717" w:rsidP="00BF60A8">
            <w:pPr>
              <w:ind w:right="113"/>
              <w:jc w:val="right"/>
              <w:rPr>
                <w:color w:val="000000"/>
                <w:sz w:val="16"/>
                <w:szCs w:val="16"/>
              </w:rPr>
            </w:pPr>
            <w:r w:rsidRPr="007A4ECB">
              <w:rPr>
                <w:color w:val="000000"/>
                <w:sz w:val="16"/>
                <w:szCs w:val="16"/>
              </w:rPr>
              <w:t>60.9</w:t>
            </w:r>
          </w:p>
        </w:tc>
        <w:tc>
          <w:tcPr>
            <w:tcW w:w="446" w:type="pct"/>
            <w:noWrap/>
            <w:hideMark/>
          </w:tcPr>
          <w:p w14:paraId="4F3BC104" w14:textId="77777777" w:rsidR="00120717" w:rsidRPr="007A4ECB" w:rsidRDefault="00120717" w:rsidP="00BF60A8">
            <w:pPr>
              <w:ind w:right="113"/>
              <w:jc w:val="right"/>
              <w:rPr>
                <w:color w:val="000000"/>
                <w:sz w:val="16"/>
                <w:szCs w:val="16"/>
              </w:rPr>
            </w:pPr>
            <w:r w:rsidRPr="007A4ECB">
              <w:rPr>
                <w:color w:val="000000"/>
                <w:sz w:val="16"/>
                <w:szCs w:val="16"/>
              </w:rPr>
              <w:t>60.7</w:t>
            </w:r>
          </w:p>
        </w:tc>
        <w:tc>
          <w:tcPr>
            <w:tcW w:w="446" w:type="pct"/>
            <w:noWrap/>
            <w:hideMark/>
          </w:tcPr>
          <w:p w14:paraId="42689DB4" w14:textId="77777777" w:rsidR="00120717" w:rsidRPr="007A4ECB" w:rsidRDefault="00120717" w:rsidP="00BF60A8">
            <w:pPr>
              <w:ind w:right="113"/>
              <w:jc w:val="right"/>
              <w:rPr>
                <w:color w:val="000000"/>
                <w:sz w:val="16"/>
                <w:szCs w:val="16"/>
              </w:rPr>
            </w:pPr>
            <w:r w:rsidRPr="007A4ECB">
              <w:rPr>
                <w:color w:val="000000"/>
                <w:sz w:val="16"/>
                <w:szCs w:val="16"/>
              </w:rPr>
              <w:t>60.7</w:t>
            </w:r>
          </w:p>
        </w:tc>
        <w:tc>
          <w:tcPr>
            <w:tcW w:w="446" w:type="pct"/>
            <w:noWrap/>
            <w:hideMark/>
          </w:tcPr>
          <w:p w14:paraId="4276E7C5" w14:textId="77777777" w:rsidR="00120717" w:rsidRPr="007A4ECB" w:rsidRDefault="00120717" w:rsidP="00BF60A8">
            <w:pPr>
              <w:ind w:right="113"/>
              <w:jc w:val="right"/>
              <w:rPr>
                <w:color w:val="000000"/>
                <w:sz w:val="16"/>
                <w:szCs w:val="16"/>
              </w:rPr>
            </w:pPr>
            <w:r w:rsidRPr="007A4ECB">
              <w:rPr>
                <w:color w:val="000000"/>
                <w:sz w:val="16"/>
                <w:szCs w:val="16"/>
              </w:rPr>
              <w:t>59.6</w:t>
            </w:r>
          </w:p>
        </w:tc>
        <w:tc>
          <w:tcPr>
            <w:tcW w:w="446" w:type="pct"/>
            <w:noWrap/>
            <w:hideMark/>
          </w:tcPr>
          <w:p w14:paraId="66A64130" w14:textId="77777777" w:rsidR="00120717" w:rsidRPr="007A4ECB" w:rsidRDefault="00120717" w:rsidP="00BF60A8">
            <w:pPr>
              <w:ind w:right="113"/>
              <w:jc w:val="right"/>
              <w:rPr>
                <w:color w:val="000000"/>
                <w:sz w:val="16"/>
                <w:szCs w:val="16"/>
              </w:rPr>
            </w:pPr>
            <w:r w:rsidRPr="007A4ECB">
              <w:rPr>
                <w:color w:val="000000"/>
                <w:sz w:val="16"/>
                <w:szCs w:val="16"/>
              </w:rPr>
              <w:t>62.4</w:t>
            </w:r>
          </w:p>
        </w:tc>
        <w:tc>
          <w:tcPr>
            <w:tcW w:w="441" w:type="pct"/>
            <w:noWrap/>
            <w:hideMark/>
          </w:tcPr>
          <w:p w14:paraId="131FB95D" w14:textId="77777777" w:rsidR="00120717" w:rsidRPr="007A4ECB" w:rsidRDefault="00120717" w:rsidP="00BF60A8">
            <w:pPr>
              <w:ind w:right="113"/>
              <w:jc w:val="right"/>
              <w:rPr>
                <w:color w:val="000000"/>
                <w:sz w:val="16"/>
                <w:szCs w:val="16"/>
              </w:rPr>
            </w:pPr>
            <w:r w:rsidRPr="007A4ECB">
              <w:rPr>
                <w:color w:val="000000"/>
                <w:sz w:val="16"/>
                <w:szCs w:val="16"/>
              </w:rPr>
              <w:t>64.2</w:t>
            </w:r>
          </w:p>
        </w:tc>
      </w:tr>
      <w:tr w:rsidR="00120717" w:rsidRPr="007A4ECB" w14:paraId="563DFA82" w14:textId="77777777" w:rsidTr="00F62DB6">
        <w:trPr>
          <w:cnfStyle w:val="000000010000" w:firstRow="0" w:lastRow="0" w:firstColumn="0" w:lastColumn="0" w:oddVBand="0" w:evenVBand="0" w:oddHBand="0" w:evenHBand="1" w:firstRowFirstColumn="0" w:firstRowLastColumn="0" w:lastRowFirstColumn="0" w:lastRowLastColumn="0"/>
          <w:trHeight w:val="62"/>
        </w:trPr>
        <w:tc>
          <w:tcPr>
            <w:tcW w:w="1883" w:type="pct"/>
            <w:noWrap/>
            <w:hideMark/>
          </w:tcPr>
          <w:p w14:paraId="5F9B66B1" w14:textId="77777777" w:rsidR="00120717" w:rsidRPr="007A4ECB" w:rsidRDefault="00120717" w:rsidP="004E187B">
            <w:pPr>
              <w:ind w:left="174"/>
              <w:jc w:val="left"/>
              <w:rPr>
                <w:sz w:val="16"/>
                <w:szCs w:val="16"/>
              </w:rPr>
            </w:pPr>
            <w:r w:rsidRPr="007A4ECB">
              <w:rPr>
                <w:sz w:val="16"/>
                <w:szCs w:val="16"/>
              </w:rPr>
              <w:t>China</w:t>
            </w:r>
          </w:p>
        </w:tc>
        <w:tc>
          <w:tcPr>
            <w:tcW w:w="446" w:type="pct"/>
            <w:noWrap/>
            <w:hideMark/>
          </w:tcPr>
          <w:p w14:paraId="67BF6B37" w14:textId="77777777" w:rsidR="00120717" w:rsidRPr="007A4ECB" w:rsidRDefault="00120717" w:rsidP="00BF60A8">
            <w:pPr>
              <w:ind w:right="113"/>
              <w:jc w:val="right"/>
              <w:rPr>
                <w:color w:val="000000"/>
                <w:sz w:val="16"/>
                <w:szCs w:val="16"/>
              </w:rPr>
            </w:pPr>
            <w:r w:rsidRPr="007A4ECB">
              <w:rPr>
                <w:color w:val="000000"/>
                <w:sz w:val="16"/>
                <w:szCs w:val="16"/>
              </w:rPr>
              <w:t>19.6</w:t>
            </w:r>
          </w:p>
        </w:tc>
        <w:tc>
          <w:tcPr>
            <w:tcW w:w="446" w:type="pct"/>
            <w:noWrap/>
            <w:hideMark/>
          </w:tcPr>
          <w:p w14:paraId="358111CB" w14:textId="77777777" w:rsidR="00120717" w:rsidRPr="007A4ECB" w:rsidRDefault="00120717" w:rsidP="00BF60A8">
            <w:pPr>
              <w:ind w:right="113"/>
              <w:jc w:val="right"/>
              <w:rPr>
                <w:color w:val="000000"/>
                <w:sz w:val="16"/>
                <w:szCs w:val="16"/>
              </w:rPr>
            </w:pPr>
            <w:r w:rsidRPr="007A4ECB">
              <w:rPr>
                <w:color w:val="000000"/>
                <w:sz w:val="16"/>
                <w:szCs w:val="16"/>
              </w:rPr>
              <w:t>20.0</w:t>
            </w:r>
          </w:p>
        </w:tc>
        <w:tc>
          <w:tcPr>
            <w:tcW w:w="446" w:type="pct"/>
            <w:noWrap/>
            <w:hideMark/>
          </w:tcPr>
          <w:p w14:paraId="33947968" w14:textId="77777777" w:rsidR="00120717" w:rsidRPr="007A4ECB" w:rsidRDefault="00120717" w:rsidP="00BF60A8">
            <w:pPr>
              <w:ind w:right="113"/>
              <w:jc w:val="right"/>
              <w:rPr>
                <w:color w:val="000000"/>
                <w:sz w:val="16"/>
                <w:szCs w:val="16"/>
              </w:rPr>
            </w:pPr>
            <w:r w:rsidRPr="007A4ECB">
              <w:rPr>
                <w:color w:val="000000"/>
                <w:sz w:val="16"/>
                <w:szCs w:val="16"/>
              </w:rPr>
              <w:t>19.3</w:t>
            </w:r>
          </w:p>
        </w:tc>
        <w:tc>
          <w:tcPr>
            <w:tcW w:w="446" w:type="pct"/>
            <w:noWrap/>
            <w:hideMark/>
          </w:tcPr>
          <w:p w14:paraId="62024A65" w14:textId="77777777" w:rsidR="00120717" w:rsidRPr="007A4ECB" w:rsidRDefault="00120717" w:rsidP="00BF60A8">
            <w:pPr>
              <w:ind w:right="113"/>
              <w:jc w:val="right"/>
              <w:rPr>
                <w:color w:val="000000"/>
                <w:sz w:val="16"/>
                <w:szCs w:val="16"/>
              </w:rPr>
            </w:pPr>
            <w:r w:rsidRPr="007A4ECB">
              <w:rPr>
                <w:color w:val="000000"/>
                <w:sz w:val="16"/>
                <w:szCs w:val="16"/>
              </w:rPr>
              <w:t>19.8</w:t>
            </w:r>
          </w:p>
        </w:tc>
        <w:tc>
          <w:tcPr>
            <w:tcW w:w="446" w:type="pct"/>
            <w:noWrap/>
            <w:hideMark/>
          </w:tcPr>
          <w:p w14:paraId="0CECE6B3" w14:textId="77777777" w:rsidR="00120717" w:rsidRPr="007A4ECB" w:rsidRDefault="00120717" w:rsidP="00BF60A8">
            <w:pPr>
              <w:ind w:right="113"/>
              <w:jc w:val="right"/>
              <w:rPr>
                <w:color w:val="000000"/>
                <w:sz w:val="16"/>
                <w:szCs w:val="16"/>
              </w:rPr>
            </w:pPr>
            <w:r w:rsidRPr="007A4ECB">
              <w:rPr>
                <w:color w:val="000000"/>
                <w:sz w:val="16"/>
                <w:szCs w:val="16"/>
              </w:rPr>
              <w:t>20.2</w:t>
            </w:r>
          </w:p>
        </w:tc>
        <w:tc>
          <w:tcPr>
            <w:tcW w:w="446" w:type="pct"/>
            <w:noWrap/>
            <w:hideMark/>
          </w:tcPr>
          <w:p w14:paraId="775B2AFB" w14:textId="77777777" w:rsidR="00120717" w:rsidRPr="007A4ECB" w:rsidRDefault="00120717" w:rsidP="00BF60A8">
            <w:pPr>
              <w:ind w:right="113"/>
              <w:jc w:val="right"/>
              <w:rPr>
                <w:color w:val="000000"/>
                <w:sz w:val="16"/>
                <w:szCs w:val="16"/>
              </w:rPr>
            </w:pPr>
            <w:r w:rsidRPr="007A4ECB">
              <w:rPr>
                <w:color w:val="000000"/>
                <w:sz w:val="16"/>
                <w:szCs w:val="16"/>
              </w:rPr>
              <w:t>22.6</w:t>
            </w:r>
          </w:p>
        </w:tc>
        <w:tc>
          <w:tcPr>
            <w:tcW w:w="441" w:type="pct"/>
            <w:noWrap/>
            <w:hideMark/>
          </w:tcPr>
          <w:p w14:paraId="7F8CC3BC" w14:textId="77777777" w:rsidR="00120717" w:rsidRPr="007A4ECB" w:rsidRDefault="00120717" w:rsidP="00BF60A8">
            <w:pPr>
              <w:ind w:right="113"/>
              <w:jc w:val="right"/>
              <w:rPr>
                <w:color w:val="000000"/>
                <w:sz w:val="16"/>
                <w:szCs w:val="16"/>
              </w:rPr>
            </w:pPr>
            <w:r w:rsidRPr="007A4ECB">
              <w:rPr>
                <w:color w:val="000000"/>
                <w:sz w:val="16"/>
                <w:szCs w:val="16"/>
              </w:rPr>
              <w:t>23.8</w:t>
            </w:r>
          </w:p>
        </w:tc>
      </w:tr>
      <w:tr w:rsidR="00120717" w:rsidRPr="007A4ECB" w14:paraId="2C4F16ED" w14:textId="77777777" w:rsidTr="00F62DB6">
        <w:trPr>
          <w:trHeight w:val="60"/>
        </w:trPr>
        <w:tc>
          <w:tcPr>
            <w:tcW w:w="1883" w:type="pct"/>
            <w:noWrap/>
            <w:hideMark/>
          </w:tcPr>
          <w:p w14:paraId="22C026C5" w14:textId="77777777" w:rsidR="00120717" w:rsidRPr="007A4ECB" w:rsidRDefault="00120717" w:rsidP="004E187B">
            <w:pPr>
              <w:ind w:left="174"/>
              <w:jc w:val="left"/>
              <w:rPr>
                <w:sz w:val="16"/>
                <w:szCs w:val="16"/>
              </w:rPr>
            </w:pPr>
            <w:r w:rsidRPr="007A4ECB">
              <w:rPr>
                <w:sz w:val="16"/>
                <w:szCs w:val="16"/>
              </w:rPr>
              <w:t>Japan</w:t>
            </w:r>
          </w:p>
        </w:tc>
        <w:tc>
          <w:tcPr>
            <w:tcW w:w="446" w:type="pct"/>
            <w:noWrap/>
            <w:hideMark/>
          </w:tcPr>
          <w:p w14:paraId="409C095D" w14:textId="77777777" w:rsidR="00120717" w:rsidRPr="007A4ECB" w:rsidRDefault="00120717" w:rsidP="00BF60A8">
            <w:pPr>
              <w:ind w:right="113"/>
              <w:jc w:val="right"/>
              <w:rPr>
                <w:color w:val="000000"/>
                <w:sz w:val="16"/>
                <w:szCs w:val="16"/>
              </w:rPr>
            </w:pPr>
            <w:r w:rsidRPr="007A4ECB">
              <w:rPr>
                <w:color w:val="000000"/>
                <w:sz w:val="16"/>
                <w:szCs w:val="16"/>
              </w:rPr>
              <w:t>6.5</w:t>
            </w:r>
          </w:p>
        </w:tc>
        <w:tc>
          <w:tcPr>
            <w:tcW w:w="446" w:type="pct"/>
            <w:noWrap/>
            <w:hideMark/>
          </w:tcPr>
          <w:p w14:paraId="3D201EA9" w14:textId="77777777" w:rsidR="00120717" w:rsidRPr="007A4ECB" w:rsidRDefault="00120717" w:rsidP="00BF60A8">
            <w:pPr>
              <w:ind w:right="113"/>
              <w:jc w:val="right"/>
              <w:rPr>
                <w:color w:val="000000"/>
                <w:sz w:val="16"/>
                <w:szCs w:val="16"/>
              </w:rPr>
            </w:pPr>
            <w:r w:rsidRPr="007A4ECB">
              <w:rPr>
                <w:color w:val="000000"/>
                <w:sz w:val="16"/>
                <w:szCs w:val="16"/>
              </w:rPr>
              <w:t>7.1</w:t>
            </w:r>
          </w:p>
        </w:tc>
        <w:tc>
          <w:tcPr>
            <w:tcW w:w="446" w:type="pct"/>
            <w:noWrap/>
            <w:hideMark/>
          </w:tcPr>
          <w:p w14:paraId="14450620" w14:textId="77777777" w:rsidR="00120717" w:rsidRPr="007A4ECB" w:rsidRDefault="00120717" w:rsidP="00BF60A8">
            <w:pPr>
              <w:ind w:right="113"/>
              <w:jc w:val="right"/>
              <w:rPr>
                <w:color w:val="000000"/>
                <w:sz w:val="16"/>
                <w:szCs w:val="16"/>
              </w:rPr>
            </w:pPr>
            <w:r w:rsidRPr="007A4ECB">
              <w:rPr>
                <w:color w:val="000000"/>
                <w:sz w:val="16"/>
                <w:szCs w:val="16"/>
              </w:rPr>
              <w:t>7.4</w:t>
            </w:r>
          </w:p>
        </w:tc>
        <w:tc>
          <w:tcPr>
            <w:tcW w:w="446" w:type="pct"/>
            <w:noWrap/>
            <w:hideMark/>
          </w:tcPr>
          <w:p w14:paraId="3708AD1A" w14:textId="77777777" w:rsidR="00120717" w:rsidRPr="007A4ECB" w:rsidRDefault="00120717" w:rsidP="00BF60A8">
            <w:pPr>
              <w:ind w:right="113"/>
              <w:jc w:val="right"/>
              <w:rPr>
                <w:color w:val="000000"/>
                <w:sz w:val="16"/>
                <w:szCs w:val="16"/>
              </w:rPr>
            </w:pPr>
            <w:r w:rsidRPr="007A4ECB">
              <w:rPr>
                <w:color w:val="000000"/>
                <w:sz w:val="16"/>
                <w:szCs w:val="16"/>
              </w:rPr>
              <w:t>6.9</w:t>
            </w:r>
          </w:p>
        </w:tc>
        <w:tc>
          <w:tcPr>
            <w:tcW w:w="446" w:type="pct"/>
            <w:noWrap/>
            <w:hideMark/>
          </w:tcPr>
          <w:p w14:paraId="62E5901E" w14:textId="77777777" w:rsidR="00120717" w:rsidRPr="007A4ECB" w:rsidRDefault="00120717" w:rsidP="00BF60A8">
            <w:pPr>
              <w:ind w:right="113"/>
              <w:jc w:val="right"/>
              <w:rPr>
                <w:color w:val="000000"/>
                <w:sz w:val="16"/>
                <w:szCs w:val="16"/>
              </w:rPr>
            </w:pPr>
            <w:r w:rsidRPr="007A4ECB">
              <w:rPr>
                <w:color w:val="000000"/>
                <w:sz w:val="16"/>
                <w:szCs w:val="16"/>
              </w:rPr>
              <w:t>6.5</w:t>
            </w:r>
          </w:p>
        </w:tc>
        <w:tc>
          <w:tcPr>
            <w:tcW w:w="446" w:type="pct"/>
            <w:noWrap/>
            <w:hideMark/>
          </w:tcPr>
          <w:p w14:paraId="1BD6A84A" w14:textId="77777777" w:rsidR="00120717" w:rsidRPr="007A4ECB" w:rsidRDefault="00120717" w:rsidP="00BF60A8">
            <w:pPr>
              <w:ind w:right="113"/>
              <w:jc w:val="right"/>
              <w:rPr>
                <w:color w:val="000000"/>
                <w:sz w:val="16"/>
                <w:szCs w:val="16"/>
              </w:rPr>
            </w:pPr>
            <w:r w:rsidRPr="007A4ECB">
              <w:rPr>
                <w:color w:val="000000"/>
                <w:sz w:val="16"/>
                <w:szCs w:val="16"/>
              </w:rPr>
              <w:t>5.7</w:t>
            </w:r>
          </w:p>
        </w:tc>
        <w:tc>
          <w:tcPr>
            <w:tcW w:w="441" w:type="pct"/>
            <w:noWrap/>
            <w:hideMark/>
          </w:tcPr>
          <w:p w14:paraId="1502ED1C" w14:textId="77777777" w:rsidR="00120717" w:rsidRPr="007A4ECB" w:rsidRDefault="00120717" w:rsidP="00BF60A8">
            <w:pPr>
              <w:ind w:right="113"/>
              <w:jc w:val="right"/>
              <w:rPr>
                <w:color w:val="000000"/>
                <w:sz w:val="16"/>
                <w:szCs w:val="16"/>
              </w:rPr>
            </w:pPr>
            <w:r w:rsidRPr="007A4ECB">
              <w:rPr>
                <w:color w:val="000000"/>
                <w:sz w:val="16"/>
                <w:szCs w:val="16"/>
              </w:rPr>
              <w:t>6.5</w:t>
            </w:r>
          </w:p>
        </w:tc>
      </w:tr>
      <w:tr w:rsidR="00120717" w:rsidRPr="007A4ECB" w14:paraId="78C8C5EA" w14:textId="77777777" w:rsidTr="00F62DB6">
        <w:trPr>
          <w:cnfStyle w:val="000000010000" w:firstRow="0" w:lastRow="0" w:firstColumn="0" w:lastColumn="0" w:oddVBand="0" w:evenVBand="0" w:oddHBand="0" w:evenHBand="1" w:firstRowFirstColumn="0" w:firstRowLastColumn="0" w:lastRowFirstColumn="0" w:lastRowLastColumn="0"/>
          <w:trHeight w:val="124"/>
        </w:trPr>
        <w:tc>
          <w:tcPr>
            <w:tcW w:w="1883" w:type="pct"/>
            <w:noWrap/>
            <w:hideMark/>
          </w:tcPr>
          <w:p w14:paraId="712F4E13" w14:textId="77777777" w:rsidR="00120717" w:rsidRPr="007A4ECB" w:rsidRDefault="00120717" w:rsidP="004E187B">
            <w:pPr>
              <w:ind w:left="174"/>
              <w:jc w:val="left"/>
              <w:rPr>
                <w:sz w:val="16"/>
                <w:szCs w:val="16"/>
              </w:rPr>
            </w:pPr>
            <w:r w:rsidRPr="007A4ECB">
              <w:rPr>
                <w:sz w:val="16"/>
                <w:szCs w:val="16"/>
              </w:rPr>
              <w:t>Other Asia</w:t>
            </w:r>
          </w:p>
        </w:tc>
        <w:tc>
          <w:tcPr>
            <w:tcW w:w="446" w:type="pct"/>
            <w:noWrap/>
            <w:hideMark/>
          </w:tcPr>
          <w:p w14:paraId="3ED30FC9" w14:textId="77777777" w:rsidR="00120717" w:rsidRPr="007A4ECB" w:rsidRDefault="00120717" w:rsidP="00BF60A8">
            <w:pPr>
              <w:ind w:right="113"/>
              <w:jc w:val="right"/>
              <w:rPr>
                <w:color w:val="000000"/>
                <w:sz w:val="16"/>
                <w:szCs w:val="16"/>
              </w:rPr>
            </w:pPr>
            <w:r w:rsidRPr="007A4ECB">
              <w:rPr>
                <w:color w:val="000000"/>
                <w:sz w:val="16"/>
                <w:szCs w:val="16"/>
              </w:rPr>
              <w:t>34.6</w:t>
            </w:r>
          </w:p>
        </w:tc>
        <w:tc>
          <w:tcPr>
            <w:tcW w:w="446" w:type="pct"/>
            <w:noWrap/>
            <w:hideMark/>
          </w:tcPr>
          <w:p w14:paraId="4211669D" w14:textId="77777777" w:rsidR="00120717" w:rsidRPr="007A4ECB" w:rsidRDefault="00120717" w:rsidP="00BF60A8">
            <w:pPr>
              <w:ind w:right="113"/>
              <w:jc w:val="right"/>
              <w:rPr>
                <w:color w:val="000000"/>
                <w:sz w:val="16"/>
                <w:szCs w:val="16"/>
              </w:rPr>
            </w:pPr>
            <w:r w:rsidRPr="007A4ECB">
              <w:rPr>
                <w:color w:val="000000"/>
                <w:sz w:val="16"/>
                <w:szCs w:val="16"/>
              </w:rPr>
              <w:t>33.9</w:t>
            </w:r>
          </w:p>
        </w:tc>
        <w:tc>
          <w:tcPr>
            <w:tcW w:w="446" w:type="pct"/>
            <w:noWrap/>
            <w:hideMark/>
          </w:tcPr>
          <w:p w14:paraId="309A71A6" w14:textId="77777777" w:rsidR="00120717" w:rsidRPr="007A4ECB" w:rsidRDefault="00120717" w:rsidP="00BF60A8">
            <w:pPr>
              <w:ind w:right="113"/>
              <w:jc w:val="right"/>
              <w:rPr>
                <w:color w:val="000000"/>
                <w:sz w:val="16"/>
                <w:szCs w:val="16"/>
              </w:rPr>
            </w:pPr>
            <w:r w:rsidRPr="007A4ECB">
              <w:rPr>
                <w:color w:val="000000"/>
                <w:sz w:val="16"/>
                <w:szCs w:val="16"/>
              </w:rPr>
              <w:t>34.0</w:t>
            </w:r>
          </w:p>
        </w:tc>
        <w:tc>
          <w:tcPr>
            <w:tcW w:w="446" w:type="pct"/>
            <w:noWrap/>
            <w:hideMark/>
          </w:tcPr>
          <w:p w14:paraId="3006B443" w14:textId="77777777" w:rsidR="00120717" w:rsidRPr="007A4ECB" w:rsidRDefault="00120717" w:rsidP="00BF60A8">
            <w:pPr>
              <w:ind w:right="113"/>
              <w:jc w:val="right"/>
              <w:rPr>
                <w:color w:val="000000"/>
                <w:sz w:val="16"/>
                <w:szCs w:val="16"/>
              </w:rPr>
            </w:pPr>
            <w:r w:rsidRPr="007A4ECB">
              <w:rPr>
                <w:color w:val="000000"/>
                <w:sz w:val="16"/>
                <w:szCs w:val="16"/>
              </w:rPr>
              <w:t>34.0</w:t>
            </w:r>
          </w:p>
        </w:tc>
        <w:tc>
          <w:tcPr>
            <w:tcW w:w="446" w:type="pct"/>
            <w:noWrap/>
            <w:hideMark/>
          </w:tcPr>
          <w:p w14:paraId="0C3E48B5" w14:textId="77777777" w:rsidR="00120717" w:rsidRPr="007A4ECB" w:rsidRDefault="00120717" w:rsidP="00BF60A8">
            <w:pPr>
              <w:ind w:right="113"/>
              <w:jc w:val="right"/>
              <w:rPr>
                <w:color w:val="000000"/>
                <w:sz w:val="16"/>
                <w:szCs w:val="16"/>
              </w:rPr>
            </w:pPr>
            <w:r w:rsidRPr="007A4ECB">
              <w:rPr>
                <w:color w:val="000000"/>
                <w:sz w:val="16"/>
                <w:szCs w:val="16"/>
              </w:rPr>
              <w:t>32.9</w:t>
            </w:r>
          </w:p>
        </w:tc>
        <w:tc>
          <w:tcPr>
            <w:tcW w:w="446" w:type="pct"/>
            <w:noWrap/>
            <w:hideMark/>
          </w:tcPr>
          <w:p w14:paraId="4C77FD7A" w14:textId="77777777" w:rsidR="00120717" w:rsidRPr="007A4ECB" w:rsidRDefault="00120717" w:rsidP="00BF60A8">
            <w:pPr>
              <w:ind w:right="113"/>
              <w:jc w:val="right"/>
              <w:rPr>
                <w:color w:val="000000"/>
                <w:sz w:val="16"/>
                <w:szCs w:val="16"/>
              </w:rPr>
            </w:pPr>
            <w:r w:rsidRPr="007A4ECB">
              <w:rPr>
                <w:color w:val="000000"/>
                <w:sz w:val="16"/>
                <w:szCs w:val="16"/>
              </w:rPr>
              <w:t>34.2</w:t>
            </w:r>
          </w:p>
        </w:tc>
        <w:tc>
          <w:tcPr>
            <w:tcW w:w="441" w:type="pct"/>
            <w:noWrap/>
            <w:hideMark/>
          </w:tcPr>
          <w:p w14:paraId="3244143A" w14:textId="77777777" w:rsidR="00120717" w:rsidRPr="007A4ECB" w:rsidRDefault="00120717" w:rsidP="00BF60A8">
            <w:pPr>
              <w:ind w:right="113"/>
              <w:jc w:val="right"/>
              <w:rPr>
                <w:color w:val="000000"/>
                <w:sz w:val="16"/>
                <w:szCs w:val="16"/>
              </w:rPr>
            </w:pPr>
            <w:r w:rsidRPr="007A4ECB">
              <w:rPr>
                <w:color w:val="000000"/>
                <w:sz w:val="16"/>
                <w:szCs w:val="16"/>
              </w:rPr>
              <w:t>34.0</w:t>
            </w:r>
          </w:p>
        </w:tc>
      </w:tr>
      <w:tr w:rsidR="00120717" w:rsidRPr="007A4ECB" w14:paraId="27CD5CD1" w14:textId="77777777" w:rsidTr="00F62DB6">
        <w:trPr>
          <w:trHeight w:val="70"/>
        </w:trPr>
        <w:tc>
          <w:tcPr>
            <w:tcW w:w="1883" w:type="pct"/>
            <w:noWrap/>
            <w:hideMark/>
          </w:tcPr>
          <w:p w14:paraId="495DA1D6" w14:textId="77777777" w:rsidR="00120717" w:rsidRPr="007A4ECB" w:rsidRDefault="00120717">
            <w:pPr>
              <w:jc w:val="left"/>
              <w:rPr>
                <w:sz w:val="16"/>
                <w:szCs w:val="16"/>
              </w:rPr>
            </w:pPr>
            <w:r w:rsidRPr="007A4ECB">
              <w:rPr>
                <w:sz w:val="16"/>
                <w:szCs w:val="16"/>
              </w:rPr>
              <w:tab/>
              <w:t>Australia</w:t>
            </w:r>
          </w:p>
        </w:tc>
        <w:tc>
          <w:tcPr>
            <w:tcW w:w="446" w:type="pct"/>
            <w:noWrap/>
            <w:hideMark/>
          </w:tcPr>
          <w:p w14:paraId="28166416" w14:textId="77777777" w:rsidR="00120717" w:rsidRPr="007A4ECB" w:rsidRDefault="00120717" w:rsidP="00BF60A8">
            <w:pPr>
              <w:ind w:right="113"/>
              <w:jc w:val="right"/>
              <w:rPr>
                <w:color w:val="000000"/>
                <w:sz w:val="16"/>
                <w:szCs w:val="16"/>
              </w:rPr>
            </w:pPr>
            <w:r w:rsidRPr="007A4ECB">
              <w:rPr>
                <w:color w:val="000000"/>
                <w:sz w:val="16"/>
                <w:szCs w:val="16"/>
              </w:rPr>
              <w:t>11.9</w:t>
            </w:r>
          </w:p>
        </w:tc>
        <w:tc>
          <w:tcPr>
            <w:tcW w:w="446" w:type="pct"/>
            <w:noWrap/>
            <w:hideMark/>
          </w:tcPr>
          <w:p w14:paraId="7E0A758F" w14:textId="77777777" w:rsidR="00120717" w:rsidRPr="007A4ECB" w:rsidRDefault="00120717" w:rsidP="00BF60A8">
            <w:pPr>
              <w:ind w:right="113"/>
              <w:jc w:val="right"/>
              <w:rPr>
                <w:color w:val="000000"/>
                <w:sz w:val="16"/>
                <w:szCs w:val="16"/>
              </w:rPr>
            </w:pPr>
            <w:r w:rsidRPr="007A4ECB">
              <w:rPr>
                <w:color w:val="000000"/>
                <w:sz w:val="16"/>
                <w:szCs w:val="16"/>
              </w:rPr>
              <w:t>12.6</w:t>
            </w:r>
          </w:p>
        </w:tc>
        <w:tc>
          <w:tcPr>
            <w:tcW w:w="446" w:type="pct"/>
            <w:noWrap/>
            <w:hideMark/>
          </w:tcPr>
          <w:p w14:paraId="724CD96B" w14:textId="77777777" w:rsidR="00120717" w:rsidRPr="007A4ECB" w:rsidRDefault="00120717" w:rsidP="00BF60A8">
            <w:pPr>
              <w:ind w:right="113"/>
              <w:jc w:val="right"/>
              <w:rPr>
                <w:color w:val="000000"/>
                <w:sz w:val="16"/>
                <w:szCs w:val="16"/>
              </w:rPr>
            </w:pPr>
            <w:r w:rsidRPr="007A4ECB">
              <w:rPr>
                <w:color w:val="000000"/>
                <w:sz w:val="16"/>
                <w:szCs w:val="16"/>
              </w:rPr>
              <w:t>12.2</w:t>
            </w:r>
          </w:p>
        </w:tc>
        <w:tc>
          <w:tcPr>
            <w:tcW w:w="446" w:type="pct"/>
            <w:noWrap/>
            <w:hideMark/>
          </w:tcPr>
          <w:p w14:paraId="093DE26C" w14:textId="77777777" w:rsidR="00120717" w:rsidRPr="007A4ECB" w:rsidRDefault="00120717" w:rsidP="00BF60A8">
            <w:pPr>
              <w:ind w:right="113"/>
              <w:jc w:val="right"/>
              <w:rPr>
                <w:color w:val="000000"/>
                <w:sz w:val="16"/>
                <w:szCs w:val="16"/>
              </w:rPr>
            </w:pPr>
            <w:r w:rsidRPr="007A4ECB">
              <w:rPr>
                <w:color w:val="000000"/>
                <w:sz w:val="16"/>
                <w:szCs w:val="16"/>
              </w:rPr>
              <w:t>11.5</w:t>
            </w:r>
          </w:p>
        </w:tc>
        <w:tc>
          <w:tcPr>
            <w:tcW w:w="446" w:type="pct"/>
            <w:noWrap/>
            <w:hideMark/>
          </w:tcPr>
          <w:p w14:paraId="26240926" w14:textId="77777777" w:rsidR="00120717" w:rsidRPr="007A4ECB" w:rsidRDefault="00120717" w:rsidP="00BF60A8">
            <w:pPr>
              <w:ind w:right="113"/>
              <w:jc w:val="right"/>
              <w:rPr>
                <w:color w:val="000000"/>
                <w:sz w:val="16"/>
                <w:szCs w:val="16"/>
              </w:rPr>
            </w:pPr>
            <w:r w:rsidRPr="007A4ECB">
              <w:rPr>
                <w:color w:val="000000"/>
                <w:sz w:val="16"/>
                <w:szCs w:val="16"/>
              </w:rPr>
              <w:t>11.5</w:t>
            </w:r>
          </w:p>
        </w:tc>
        <w:tc>
          <w:tcPr>
            <w:tcW w:w="446" w:type="pct"/>
            <w:noWrap/>
            <w:hideMark/>
          </w:tcPr>
          <w:p w14:paraId="4F7FCE52" w14:textId="77777777" w:rsidR="00120717" w:rsidRPr="007A4ECB" w:rsidRDefault="00120717" w:rsidP="00BF60A8">
            <w:pPr>
              <w:ind w:right="113"/>
              <w:jc w:val="right"/>
              <w:rPr>
                <w:color w:val="000000"/>
                <w:sz w:val="16"/>
                <w:szCs w:val="16"/>
              </w:rPr>
            </w:pPr>
            <w:r w:rsidRPr="007A4ECB">
              <w:rPr>
                <w:color w:val="000000"/>
                <w:sz w:val="16"/>
                <w:szCs w:val="16"/>
              </w:rPr>
              <w:t>12.1</w:t>
            </w:r>
          </w:p>
        </w:tc>
        <w:tc>
          <w:tcPr>
            <w:tcW w:w="441" w:type="pct"/>
            <w:noWrap/>
            <w:hideMark/>
          </w:tcPr>
          <w:p w14:paraId="751AFF9F" w14:textId="77777777" w:rsidR="00120717" w:rsidRPr="007A4ECB" w:rsidRDefault="00120717" w:rsidP="00BF60A8">
            <w:pPr>
              <w:ind w:right="113"/>
              <w:jc w:val="right"/>
              <w:rPr>
                <w:color w:val="000000"/>
                <w:sz w:val="16"/>
                <w:szCs w:val="16"/>
              </w:rPr>
            </w:pPr>
            <w:r w:rsidRPr="007A4ECB">
              <w:rPr>
                <w:color w:val="000000"/>
                <w:sz w:val="16"/>
                <w:szCs w:val="16"/>
              </w:rPr>
              <w:t>11.3</w:t>
            </w:r>
          </w:p>
        </w:tc>
      </w:tr>
      <w:tr w:rsidR="00120717" w:rsidRPr="007A4ECB" w14:paraId="3F051CF6" w14:textId="77777777" w:rsidTr="00F62DB6">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0C6E80B1" w14:textId="77777777" w:rsidR="00120717" w:rsidRPr="007A4ECB" w:rsidRDefault="00120717">
            <w:pPr>
              <w:jc w:val="left"/>
              <w:rPr>
                <w:sz w:val="16"/>
                <w:szCs w:val="16"/>
              </w:rPr>
            </w:pPr>
            <w:r w:rsidRPr="007A4ECB">
              <w:rPr>
                <w:sz w:val="16"/>
                <w:szCs w:val="16"/>
              </w:rPr>
              <w:tab/>
              <w:t>Thailand</w:t>
            </w:r>
          </w:p>
        </w:tc>
        <w:tc>
          <w:tcPr>
            <w:tcW w:w="446" w:type="pct"/>
            <w:noWrap/>
            <w:hideMark/>
          </w:tcPr>
          <w:p w14:paraId="064BB3B6" w14:textId="77777777" w:rsidR="00120717" w:rsidRPr="007A4ECB" w:rsidRDefault="00120717" w:rsidP="00BF60A8">
            <w:pPr>
              <w:ind w:right="113"/>
              <w:jc w:val="right"/>
              <w:rPr>
                <w:color w:val="000000"/>
                <w:sz w:val="16"/>
                <w:szCs w:val="16"/>
              </w:rPr>
            </w:pPr>
            <w:r w:rsidRPr="007A4ECB">
              <w:rPr>
                <w:color w:val="000000"/>
                <w:sz w:val="16"/>
                <w:szCs w:val="16"/>
              </w:rPr>
              <w:t>4.1</w:t>
            </w:r>
          </w:p>
        </w:tc>
        <w:tc>
          <w:tcPr>
            <w:tcW w:w="446" w:type="pct"/>
            <w:noWrap/>
            <w:hideMark/>
          </w:tcPr>
          <w:p w14:paraId="213A0371" w14:textId="77777777" w:rsidR="00120717" w:rsidRPr="007A4ECB" w:rsidRDefault="00120717" w:rsidP="00BF60A8">
            <w:pPr>
              <w:ind w:right="113"/>
              <w:jc w:val="right"/>
              <w:rPr>
                <w:color w:val="000000"/>
                <w:sz w:val="16"/>
                <w:szCs w:val="16"/>
              </w:rPr>
            </w:pPr>
            <w:r w:rsidRPr="007A4ECB">
              <w:rPr>
                <w:color w:val="000000"/>
                <w:sz w:val="16"/>
                <w:szCs w:val="16"/>
              </w:rPr>
              <w:t>4.5</w:t>
            </w:r>
          </w:p>
        </w:tc>
        <w:tc>
          <w:tcPr>
            <w:tcW w:w="446" w:type="pct"/>
            <w:noWrap/>
            <w:hideMark/>
          </w:tcPr>
          <w:p w14:paraId="49A2D3FA" w14:textId="77777777" w:rsidR="00120717" w:rsidRPr="007A4ECB" w:rsidRDefault="00120717" w:rsidP="00BF60A8">
            <w:pPr>
              <w:ind w:right="113"/>
              <w:jc w:val="right"/>
              <w:rPr>
                <w:color w:val="000000"/>
                <w:sz w:val="16"/>
                <w:szCs w:val="16"/>
              </w:rPr>
            </w:pPr>
            <w:r w:rsidRPr="007A4ECB">
              <w:rPr>
                <w:color w:val="000000"/>
                <w:sz w:val="16"/>
                <w:szCs w:val="16"/>
              </w:rPr>
              <w:t>4.7</w:t>
            </w:r>
          </w:p>
        </w:tc>
        <w:tc>
          <w:tcPr>
            <w:tcW w:w="446" w:type="pct"/>
            <w:noWrap/>
            <w:hideMark/>
          </w:tcPr>
          <w:p w14:paraId="06AAF411" w14:textId="77777777" w:rsidR="00120717" w:rsidRPr="007A4ECB" w:rsidRDefault="00120717" w:rsidP="00BF60A8">
            <w:pPr>
              <w:ind w:right="113"/>
              <w:jc w:val="right"/>
              <w:rPr>
                <w:color w:val="000000"/>
                <w:sz w:val="16"/>
                <w:szCs w:val="16"/>
              </w:rPr>
            </w:pPr>
            <w:r w:rsidRPr="007A4ECB">
              <w:rPr>
                <w:color w:val="000000"/>
                <w:sz w:val="16"/>
                <w:szCs w:val="16"/>
              </w:rPr>
              <w:t>4.4</w:t>
            </w:r>
          </w:p>
        </w:tc>
        <w:tc>
          <w:tcPr>
            <w:tcW w:w="446" w:type="pct"/>
            <w:noWrap/>
            <w:hideMark/>
          </w:tcPr>
          <w:p w14:paraId="6761E646" w14:textId="77777777" w:rsidR="00120717" w:rsidRPr="007A4ECB" w:rsidRDefault="00120717" w:rsidP="00BF60A8">
            <w:pPr>
              <w:ind w:right="113"/>
              <w:jc w:val="right"/>
              <w:rPr>
                <w:color w:val="000000"/>
                <w:sz w:val="16"/>
                <w:szCs w:val="16"/>
              </w:rPr>
            </w:pPr>
            <w:r w:rsidRPr="007A4ECB">
              <w:rPr>
                <w:color w:val="000000"/>
                <w:sz w:val="16"/>
                <w:szCs w:val="16"/>
              </w:rPr>
              <w:t>4.2</w:t>
            </w:r>
          </w:p>
        </w:tc>
        <w:tc>
          <w:tcPr>
            <w:tcW w:w="446" w:type="pct"/>
            <w:noWrap/>
            <w:hideMark/>
          </w:tcPr>
          <w:p w14:paraId="31CBEAD1" w14:textId="77777777" w:rsidR="00120717" w:rsidRPr="007A4ECB" w:rsidRDefault="00120717" w:rsidP="00BF60A8">
            <w:pPr>
              <w:ind w:right="113"/>
              <w:jc w:val="right"/>
              <w:rPr>
                <w:color w:val="000000"/>
                <w:sz w:val="16"/>
                <w:szCs w:val="16"/>
              </w:rPr>
            </w:pPr>
            <w:r w:rsidRPr="007A4ECB">
              <w:rPr>
                <w:color w:val="000000"/>
                <w:sz w:val="16"/>
                <w:szCs w:val="16"/>
              </w:rPr>
              <w:t>4.0</w:t>
            </w:r>
          </w:p>
        </w:tc>
        <w:tc>
          <w:tcPr>
            <w:tcW w:w="441" w:type="pct"/>
            <w:noWrap/>
            <w:hideMark/>
          </w:tcPr>
          <w:p w14:paraId="76FC102A" w14:textId="77777777" w:rsidR="00120717" w:rsidRPr="007A4ECB" w:rsidRDefault="00120717" w:rsidP="00BF60A8">
            <w:pPr>
              <w:ind w:right="113"/>
              <w:jc w:val="right"/>
              <w:rPr>
                <w:color w:val="000000"/>
                <w:sz w:val="16"/>
                <w:szCs w:val="16"/>
              </w:rPr>
            </w:pPr>
            <w:r w:rsidRPr="007A4ECB">
              <w:rPr>
                <w:color w:val="000000"/>
                <w:sz w:val="16"/>
                <w:szCs w:val="16"/>
              </w:rPr>
              <w:t>4.6</w:t>
            </w:r>
          </w:p>
        </w:tc>
      </w:tr>
      <w:tr w:rsidR="00120717" w:rsidRPr="007A4ECB" w14:paraId="366BEF82" w14:textId="77777777" w:rsidTr="00F62DB6">
        <w:trPr>
          <w:trHeight w:val="60"/>
        </w:trPr>
        <w:tc>
          <w:tcPr>
            <w:tcW w:w="1883" w:type="pct"/>
            <w:noWrap/>
            <w:hideMark/>
          </w:tcPr>
          <w:p w14:paraId="4234CD07" w14:textId="77777777" w:rsidR="00120717" w:rsidRPr="007A4ECB" w:rsidRDefault="00120717">
            <w:pPr>
              <w:jc w:val="left"/>
              <w:rPr>
                <w:sz w:val="16"/>
                <w:szCs w:val="16"/>
              </w:rPr>
            </w:pPr>
            <w:r w:rsidRPr="007A4ECB">
              <w:rPr>
                <w:sz w:val="16"/>
                <w:szCs w:val="16"/>
              </w:rPr>
              <w:tab/>
              <w:t>Korea, Republic of</w:t>
            </w:r>
          </w:p>
        </w:tc>
        <w:tc>
          <w:tcPr>
            <w:tcW w:w="446" w:type="pct"/>
            <w:noWrap/>
            <w:hideMark/>
          </w:tcPr>
          <w:p w14:paraId="7EAA6034" w14:textId="77777777" w:rsidR="00120717" w:rsidRPr="007A4ECB" w:rsidRDefault="00120717" w:rsidP="00BF60A8">
            <w:pPr>
              <w:ind w:right="113"/>
              <w:jc w:val="right"/>
              <w:rPr>
                <w:color w:val="000000"/>
                <w:sz w:val="16"/>
                <w:szCs w:val="16"/>
              </w:rPr>
            </w:pPr>
            <w:r w:rsidRPr="007A4ECB">
              <w:rPr>
                <w:color w:val="000000"/>
                <w:sz w:val="16"/>
                <w:szCs w:val="16"/>
              </w:rPr>
              <w:t>3.7</w:t>
            </w:r>
          </w:p>
        </w:tc>
        <w:tc>
          <w:tcPr>
            <w:tcW w:w="446" w:type="pct"/>
            <w:noWrap/>
            <w:hideMark/>
          </w:tcPr>
          <w:p w14:paraId="6939A2D9" w14:textId="77777777" w:rsidR="00120717" w:rsidRPr="007A4ECB" w:rsidRDefault="00120717" w:rsidP="00BF60A8">
            <w:pPr>
              <w:ind w:right="113"/>
              <w:jc w:val="right"/>
              <w:rPr>
                <w:color w:val="000000"/>
                <w:sz w:val="16"/>
                <w:szCs w:val="16"/>
              </w:rPr>
            </w:pPr>
            <w:r w:rsidRPr="007A4ECB">
              <w:rPr>
                <w:color w:val="000000"/>
                <w:sz w:val="16"/>
                <w:szCs w:val="16"/>
              </w:rPr>
              <w:t>4.3</w:t>
            </w:r>
          </w:p>
        </w:tc>
        <w:tc>
          <w:tcPr>
            <w:tcW w:w="446" w:type="pct"/>
            <w:noWrap/>
            <w:hideMark/>
          </w:tcPr>
          <w:p w14:paraId="632957B1" w14:textId="77777777" w:rsidR="00120717" w:rsidRPr="007A4ECB" w:rsidRDefault="00120717" w:rsidP="00BF60A8">
            <w:pPr>
              <w:ind w:right="113"/>
              <w:jc w:val="right"/>
              <w:rPr>
                <w:color w:val="000000"/>
                <w:sz w:val="16"/>
                <w:szCs w:val="16"/>
              </w:rPr>
            </w:pPr>
            <w:r w:rsidRPr="007A4ECB">
              <w:rPr>
                <w:color w:val="000000"/>
                <w:sz w:val="16"/>
                <w:szCs w:val="16"/>
              </w:rPr>
              <w:t>3.5</w:t>
            </w:r>
          </w:p>
        </w:tc>
        <w:tc>
          <w:tcPr>
            <w:tcW w:w="446" w:type="pct"/>
            <w:noWrap/>
            <w:hideMark/>
          </w:tcPr>
          <w:p w14:paraId="4415FA9E" w14:textId="77777777" w:rsidR="00120717" w:rsidRPr="007A4ECB" w:rsidRDefault="00120717" w:rsidP="00BF60A8">
            <w:pPr>
              <w:ind w:right="113"/>
              <w:jc w:val="right"/>
              <w:rPr>
                <w:color w:val="000000"/>
                <w:sz w:val="16"/>
                <w:szCs w:val="16"/>
              </w:rPr>
            </w:pPr>
            <w:r w:rsidRPr="007A4ECB">
              <w:rPr>
                <w:color w:val="000000"/>
                <w:sz w:val="16"/>
                <w:szCs w:val="16"/>
              </w:rPr>
              <w:t>4.6</w:t>
            </w:r>
          </w:p>
        </w:tc>
        <w:tc>
          <w:tcPr>
            <w:tcW w:w="446" w:type="pct"/>
            <w:noWrap/>
            <w:hideMark/>
          </w:tcPr>
          <w:p w14:paraId="1A3C46A8" w14:textId="77777777" w:rsidR="00120717" w:rsidRPr="007A4ECB" w:rsidRDefault="00120717" w:rsidP="00BF60A8">
            <w:pPr>
              <w:ind w:right="113"/>
              <w:jc w:val="right"/>
              <w:rPr>
                <w:color w:val="000000"/>
                <w:sz w:val="16"/>
                <w:szCs w:val="16"/>
              </w:rPr>
            </w:pPr>
            <w:r w:rsidRPr="007A4ECB">
              <w:rPr>
                <w:color w:val="000000"/>
                <w:sz w:val="16"/>
                <w:szCs w:val="16"/>
              </w:rPr>
              <w:t>3.8</w:t>
            </w:r>
          </w:p>
        </w:tc>
        <w:tc>
          <w:tcPr>
            <w:tcW w:w="446" w:type="pct"/>
            <w:noWrap/>
            <w:hideMark/>
          </w:tcPr>
          <w:p w14:paraId="156F6AE8" w14:textId="77777777" w:rsidR="00120717" w:rsidRPr="007A4ECB" w:rsidRDefault="00120717" w:rsidP="00BF60A8">
            <w:pPr>
              <w:ind w:right="113"/>
              <w:jc w:val="right"/>
              <w:rPr>
                <w:color w:val="000000"/>
                <w:sz w:val="16"/>
                <w:szCs w:val="16"/>
              </w:rPr>
            </w:pPr>
            <w:r w:rsidRPr="007A4ECB">
              <w:rPr>
                <w:color w:val="000000"/>
                <w:sz w:val="16"/>
                <w:szCs w:val="16"/>
              </w:rPr>
              <w:t>4.9</w:t>
            </w:r>
          </w:p>
        </w:tc>
        <w:tc>
          <w:tcPr>
            <w:tcW w:w="441" w:type="pct"/>
            <w:noWrap/>
            <w:hideMark/>
          </w:tcPr>
          <w:p w14:paraId="6E6511E2" w14:textId="77777777" w:rsidR="00120717" w:rsidRPr="007A4ECB" w:rsidRDefault="00120717" w:rsidP="00BF60A8">
            <w:pPr>
              <w:ind w:right="113"/>
              <w:jc w:val="right"/>
              <w:rPr>
                <w:color w:val="000000"/>
                <w:sz w:val="16"/>
                <w:szCs w:val="16"/>
              </w:rPr>
            </w:pPr>
            <w:r w:rsidRPr="007A4ECB">
              <w:rPr>
                <w:color w:val="000000"/>
                <w:sz w:val="16"/>
                <w:szCs w:val="16"/>
              </w:rPr>
              <w:t>4.5</w:t>
            </w:r>
          </w:p>
        </w:tc>
      </w:tr>
      <w:tr w:rsidR="00120717" w:rsidRPr="007A4ECB" w14:paraId="05E90751" w14:textId="77777777" w:rsidTr="00F62DB6">
        <w:trPr>
          <w:cnfStyle w:val="000000010000" w:firstRow="0" w:lastRow="0" w:firstColumn="0" w:lastColumn="0" w:oddVBand="0" w:evenVBand="0" w:oddHBand="0" w:evenHBand="1" w:firstRowFirstColumn="0" w:firstRowLastColumn="0" w:lastRowFirstColumn="0" w:lastRowLastColumn="0"/>
          <w:trHeight w:val="106"/>
        </w:trPr>
        <w:tc>
          <w:tcPr>
            <w:tcW w:w="1883" w:type="pct"/>
            <w:noWrap/>
            <w:hideMark/>
          </w:tcPr>
          <w:p w14:paraId="65D010FC" w14:textId="77777777" w:rsidR="00120717" w:rsidRPr="007A4ECB" w:rsidRDefault="00120717">
            <w:pPr>
              <w:jc w:val="left"/>
              <w:rPr>
                <w:sz w:val="16"/>
                <w:szCs w:val="16"/>
              </w:rPr>
            </w:pPr>
            <w:r w:rsidRPr="007A4ECB">
              <w:rPr>
                <w:sz w:val="16"/>
                <w:szCs w:val="16"/>
              </w:rPr>
              <w:tab/>
              <w:t>Malaysia</w:t>
            </w:r>
          </w:p>
        </w:tc>
        <w:tc>
          <w:tcPr>
            <w:tcW w:w="446" w:type="pct"/>
            <w:noWrap/>
            <w:hideMark/>
          </w:tcPr>
          <w:p w14:paraId="7A288DAD" w14:textId="77777777" w:rsidR="00120717" w:rsidRPr="007A4ECB" w:rsidRDefault="00120717" w:rsidP="00BF60A8">
            <w:pPr>
              <w:ind w:right="113"/>
              <w:jc w:val="right"/>
              <w:rPr>
                <w:color w:val="000000"/>
                <w:sz w:val="16"/>
                <w:szCs w:val="16"/>
              </w:rPr>
            </w:pPr>
            <w:r w:rsidRPr="007A4ECB">
              <w:rPr>
                <w:color w:val="000000"/>
                <w:sz w:val="16"/>
                <w:szCs w:val="16"/>
              </w:rPr>
              <w:t>3.3</w:t>
            </w:r>
          </w:p>
        </w:tc>
        <w:tc>
          <w:tcPr>
            <w:tcW w:w="446" w:type="pct"/>
            <w:noWrap/>
            <w:hideMark/>
          </w:tcPr>
          <w:p w14:paraId="00D028E7" w14:textId="77777777" w:rsidR="00120717" w:rsidRPr="007A4ECB" w:rsidRDefault="00120717" w:rsidP="00BF60A8">
            <w:pPr>
              <w:ind w:right="113"/>
              <w:jc w:val="right"/>
              <w:rPr>
                <w:color w:val="000000"/>
                <w:sz w:val="16"/>
                <w:szCs w:val="16"/>
              </w:rPr>
            </w:pPr>
            <w:r w:rsidRPr="007A4ECB">
              <w:rPr>
                <w:color w:val="000000"/>
                <w:sz w:val="16"/>
                <w:szCs w:val="16"/>
              </w:rPr>
              <w:t>2.6</w:t>
            </w:r>
          </w:p>
        </w:tc>
        <w:tc>
          <w:tcPr>
            <w:tcW w:w="446" w:type="pct"/>
            <w:noWrap/>
            <w:hideMark/>
          </w:tcPr>
          <w:p w14:paraId="4CBDCD8E" w14:textId="77777777" w:rsidR="00120717" w:rsidRPr="007A4ECB" w:rsidRDefault="00120717" w:rsidP="00BF60A8">
            <w:pPr>
              <w:ind w:right="113"/>
              <w:jc w:val="right"/>
              <w:rPr>
                <w:color w:val="000000"/>
                <w:sz w:val="16"/>
                <w:szCs w:val="16"/>
              </w:rPr>
            </w:pPr>
            <w:r w:rsidRPr="007A4ECB">
              <w:rPr>
                <w:color w:val="000000"/>
                <w:sz w:val="16"/>
                <w:szCs w:val="16"/>
              </w:rPr>
              <w:t>3.1</w:t>
            </w:r>
          </w:p>
        </w:tc>
        <w:tc>
          <w:tcPr>
            <w:tcW w:w="446" w:type="pct"/>
            <w:noWrap/>
            <w:hideMark/>
          </w:tcPr>
          <w:p w14:paraId="28839DCD" w14:textId="77777777" w:rsidR="00120717" w:rsidRPr="007A4ECB" w:rsidRDefault="00120717" w:rsidP="00BF60A8">
            <w:pPr>
              <w:ind w:right="113"/>
              <w:jc w:val="right"/>
              <w:rPr>
                <w:color w:val="000000"/>
                <w:sz w:val="16"/>
                <w:szCs w:val="16"/>
              </w:rPr>
            </w:pPr>
            <w:r w:rsidRPr="007A4ECB">
              <w:rPr>
                <w:color w:val="000000"/>
                <w:sz w:val="16"/>
                <w:szCs w:val="16"/>
              </w:rPr>
              <w:t>3.3</w:t>
            </w:r>
          </w:p>
        </w:tc>
        <w:tc>
          <w:tcPr>
            <w:tcW w:w="446" w:type="pct"/>
            <w:noWrap/>
            <w:hideMark/>
          </w:tcPr>
          <w:p w14:paraId="5C497EEA" w14:textId="77777777" w:rsidR="00120717" w:rsidRPr="007A4ECB" w:rsidRDefault="00120717" w:rsidP="00BF60A8">
            <w:pPr>
              <w:ind w:right="113"/>
              <w:jc w:val="right"/>
              <w:rPr>
                <w:color w:val="000000"/>
                <w:sz w:val="16"/>
                <w:szCs w:val="16"/>
              </w:rPr>
            </w:pPr>
            <w:r w:rsidRPr="007A4ECB">
              <w:rPr>
                <w:color w:val="000000"/>
                <w:sz w:val="16"/>
                <w:szCs w:val="16"/>
              </w:rPr>
              <w:t>3.2</w:t>
            </w:r>
          </w:p>
        </w:tc>
        <w:tc>
          <w:tcPr>
            <w:tcW w:w="446" w:type="pct"/>
            <w:noWrap/>
            <w:hideMark/>
          </w:tcPr>
          <w:p w14:paraId="0A96AEC1" w14:textId="77777777" w:rsidR="00120717" w:rsidRPr="007A4ECB" w:rsidRDefault="00120717" w:rsidP="00BF60A8">
            <w:pPr>
              <w:ind w:right="113"/>
              <w:jc w:val="right"/>
              <w:rPr>
                <w:color w:val="000000"/>
                <w:sz w:val="16"/>
                <w:szCs w:val="16"/>
              </w:rPr>
            </w:pPr>
            <w:r w:rsidRPr="007A4ECB">
              <w:rPr>
                <w:color w:val="000000"/>
                <w:sz w:val="16"/>
                <w:szCs w:val="16"/>
              </w:rPr>
              <w:t>2.9</w:t>
            </w:r>
          </w:p>
        </w:tc>
        <w:tc>
          <w:tcPr>
            <w:tcW w:w="441" w:type="pct"/>
            <w:noWrap/>
            <w:hideMark/>
          </w:tcPr>
          <w:p w14:paraId="51BACA20" w14:textId="77777777" w:rsidR="00120717" w:rsidRPr="007A4ECB" w:rsidRDefault="00120717" w:rsidP="00BF60A8">
            <w:pPr>
              <w:ind w:right="113"/>
              <w:jc w:val="right"/>
              <w:rPr>
                <w:color w:val="000000"/>
                <w:sz w:val="16"/>
                <w:szCs w:val="16"/>
              </w:rPr>
            </w:pPr>
            <w:r w:rsidRPr="007A4ECB">
              <w:rPr>
                <w:color w:val="000000"/>
                <w:sz w:val="16"/>
                <w:szCs w:val="16"/>
              </w:rPr>
              <w:t>2.7</w:t>
            </w:r>
          </w:p>
        </w:tc>
      </w:tr>
      <w:tr w:rsidR="00120717" w:rsidRPr="007A4ECB" w14:paraId="0FFB08E9" w14:textId="77777777" w:rsidTr="00F62DB6">
        <w:trPr>
          <w:trHeight w:val="60"/>
        </w:trPr>
        <w:tc>
          <w:tcPr>
            <w:tcW w:w="1883" w:type="pct"/>
            <w:noWrap/>
            <w:hideMark/>
          </w:tcPr>
          <w:p w14:paraId="57CA7229" w14:textId="77777777" w:rsidR="00120717" w:rsidRPr="007A4ECB" w:rsidRDefault="00120717">
            <w:pPr>
              <w:jc w:val="left"/>
              <w:rPr>
                <w:sz w:val="16"/>
                <w:szCs w:val="16"/>
              </w:rPr>
            </w:pPr>
            <w:r w:rsidRPr="007A4ECB">
              <w:rPr>
                <w:sz w:val="16"/>
                <w:szCs w:val="16"/>
              </w:rPr>
              <w:tab/>
              <w:t>Singapore</w:t>
            </w:r>
          </w:p>
        </w:tc>
        <w:tc>
          <w:tcPr>
            <w:tcW w:w="446" w:type="pct"/>
            <w:noWrap/>
            <w:hideMark/>
          </w:tcPr>
          <w:p w14:paraId="0C8A7088" w14:textId="77777777" w:rsidR="00120717" w:rsidRPr="007A4ECB" w:rsidRDefault="00120717" w:rsidP="00BF60A8">
            <w:pPr>
              <w:ind w:right="113"/>
              <w:jc w:val="right"/>
              <w:rPr>
                <w:color w:val="000000"/>
                <w:sz w:val="16"/>
                <w:szCs w:val="16"/>
              </w:rPr>
            </w:pPr>
            <w:r w:rsidRPr="007A4ECB">
              <w:rPr>
                <w:color w:val="000000"/>
                <w:sz w:val="16"/>
                <w:szCs w:val="16"/>
              </w:rPr>
              <w:t>3.5</w:t>
            </w:r>
          </w:p>
        </w:tc>
        <w:tc>
          <w:tcPr>
            <w:tcW w:w="446" w:type="pct"/>
            <w:noWrap/>
            <w:hideMark/>
          </w:tcPr>
          <w:p w14:paraId="360BB885" w14:textId="77777777" w:rsidR="00120717" w:rsidRPr="007A4ECB" w:rsidRDefault="00120717" w:rsidP="00BF60A8">
            <w:pPr>
              <w:ind w:right="113"/>
              <w:jc w:val="right"/>
              <w:rPr>
                <w:color w:val="000000"/>
                <w:sz w:val="16"/>
                <w:szCs w:val="16"/>
              </w:rPr>
            </w:pPr>
            <w:r w:rsidRPr="007A4ECB">
              <w:rPr>
                <w:color w:val="000000"/>
                <w:sz w:val="16"/>
                <w:szCs w:val="16"/>
              </w:rPr>
              <w:t>2.8</w:t>
            </w:r>
          </w:p>
        </w:tc>
        <w:tc>
          <w:tcPr>
            <w:tcW w:w="446" w:type="pct"/>
            <w:noWrap/>
            <w:hideMark/>
          </w:tcPr>
          <w:p w14:paraId="7AB2991C" w14:textId="77777777" w:rsidR="00120717" w:rsidRPr="007A4ECB" w:rsidRDefault="00120717" w:rsidP="00BF60A8">
            <w:pPr>
              <w:ind w:right="113"/>
              <w:jc w:val="right"/>
              <w:rPr>
                <w:color w:val="000000"/>
                <w:sz w:val="16"/>
                <w:szCs w:val="16"/>
              </w:rPr>
            </w:pPr>
            <w:r w:rsidRPr="007A4ECB">
              <w:rPr>
                <w:color w:val="000000"/>
                <w:sz w:val="16"/>
                <w:szCs w:val="16"/>
              </w:rPr>
              <w:t>3.4</w:t>
            </w:r>
          </w:p>
        </w:tc>
        <w:tc>
          <w:tcPr>
            <w:tcW w:w="446" w:type="pct"/>
            <w:noWrap/>
            <w:hideMark/>
          </w:tcPr>
          <w:p w14:paraId="30A8BC5C" w14:textId="77777777" w:rsidR="00120717" w:rsidRPr="007A4ECB" w:rsidRDefault="00120717" w:rsidP="00BF60A8">
            <w:pPr>
              <w:ind w:right="113"/>
              <w:jc w:val="right"/>
              <w:rPr>
                <w:color w:val="000000"/>
                <w:sz w:val="16"/>
                <w:szCs w:val="16"/>
              </w:rPr>
            </w:pPr>
            <w:r w:rsidRPr="007A4ECB">
              <w:rPr>
                <w:color w:val="000000"/>
                <w:sz w:val="16"/>
                <w:szCs w:val="16"/>
              </w:rPr>
              <w:t>3.4</w:t>
            </w:r>
          </w:p>
        </w:tc>
        <w:tc>
          <w:tcPr>
            <w:tcW w:w="446" w:type="pct"/>
            <w:noWrap/>
            <w:hideMark/>
          </w:tcPr>
          <w:p w14:paraId="544EF28F" w14:textId="77777777" w:rsidR="00120717" w:rsidRPr="007A4ECB" w:rsidRDefault="00120717" w:rsidP="00BF60A8">
            <w:pPr>
              <w:ind w:right="113"/>
              <w:jc w:val="right"/>
              <w:rPr>
                <w:color w:val="000000"/>
                <w:sz w:val="16"/>
                <w:szCs w:val="16"/>
              </w:rPr>
            </w:pPr>
            <w:r w:rsidRPr="007A4ECB">
              <w:rPr>
                <w:color w:val="000000"/>
                <w:sz w:val="16"/>
                <w:szCs w:val="16"/>
              </w:rPr>
              <w:t>2.9</w:t>
            </w:r>
          </w:p>
        </w:tc>
        <w:tc>
          <w:tcPr>
            <w:tcW w:w="446" w:type="pct"/>
            <w:noWrap/>
            <w:hideMark/>
          </w:tcPr>
          <w:p w14:paraId="73BC2952" w14:textId="77777777" w:rsidR="00120717" w:rsidRPr="007A4ECB" w:rsidRDefault="00120717" w:rsidP="00BF60A8">
            <w:pPr>
              <w:ind w:right="113"/>
              <w:jc w:val="right"/>
              <w:rPr>
                <w:color w:val="000000"/>
                <w:sz w:val="16"/>
                <w:szCs w:val="16"/>
              </w:rPr>
            </w:pPr>
            <w:r w:rsidRPr="007A4ECB">
              <w:rPr>
                <w:color w:val="000000"/>
                <w:sz w:val="16"/>
                <w:szCs w:val="16"/>
              </w:rPr>
              <w:t>2.7</w:t>
            </w:r>
          </w:p>
        </w:tc>
        <w:tc>
          <w:tcPr>
            <w:tcW w:w="441" w:type="pct"/>
            <w:noWrap/>
            <w:hideMark/>
          </w:tcPr>
          <w:p w14:paraId="148A12AC" w14:textId="77777777" w:rsidR="00120717" w:rsidRPr="007A4ECB" w:rsidRDefault="00120717" w:rsidP="00BF60A8">
            <w:pPr>
              <w:ind w:right="113"/>
              <w:jc w:val="right"/>
              <w:rPr>
                <w:color w:val="000000"/>
                <w:sz w:val="16"/>
                <w:szCs w:val="16"/>
              </w:rPr>
            </w:pPr>
            <w:r w:rsidRPr="007A4ECB">
              <w:rPr>
                <w:color w:val="000000"/>
                <w:sz w:val="16"/>
                <w:szCs w:val="16"/>
              </w:rPr>
              <w:t>2.2</w:t>
            </w:r>
          </w:p>
        </w:tc>
      </w:tr>
      <w:tr w:rsidR="00120717" w:rsidRPr="007A4ECB" w14:paraId="2EC616A3" w14:textId="77777777" w:rsidTr="00F62DB6">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2C917D81" w14:textId="77777777" w:rsidR="00120717" w:rsidRPr="007A4ECB" w:rsidRDefault="00120717">
            <w:pPr>
              <w:jc w:val="left"/>
              <w:rPr>
                <w:sz w:val="16"/>
                <w:szCs w:val="16"/>
              </w:rPr>
            </w:pPr>
            <w:r w:rsidRPr="007A4ECB">
              <w:rPr>
                <w:sz w:val="16"/>
                <w:szCs w:val="16"/>
              </w:rPr>
              <w:tab/>
              <w:t>Indonesia</w:t>
            </w:r>
          </w:p>
        </w:tc>
        <w:tc>
          <w:tcPr>
            <w:tcW w:w="446" w:type="pct"/>
            <w:noWrap/>
            <w:hideMark/>
          </w:tcPr>
          <w:p w14:paraId="648893CE" w14:textId="77777777" w:rsidR="00120717" w:rsidRPr="007A4ECB" w:rsidRDefault="00120717" w:rsidP="00BF60A8">
            <w:pPr>
              <w:ind w:right="113"/>
              <w:jc w:val="right"/>
              <w:rPr>
                <w:color w:val="000000"/>
                <w:sz w:val="16"/>
                <w:szCs w:val="16"/>
              </w:rPr>
            </w:pPr>
            <w:r w:rsidRPr="007A4ECB">
              <w:rPr>
                <w:color w:val="000000"/>
                <w:sz w:val="16"/>
                <w:szCs w:val="16"/>
              </w:rPr>
              <w:t>1.7</w:t>
            </w:r>
          </w:p>
        </w:tc>
        <w:tc>
          <w:tcPr>
            <w:tcW w:w="446" w:type="pct"/>
            <w:noWrap/>
            <w:hideMark/>
          </w:tcPr>
          <w:p w14:paraId="669B2CC9" w14:textId="77777777" w:rsidR="00120717" w:rsidRPr="007A4ECB" w:rsidRDefault="00120717" w:rsidP="00BF60A8">
            <w:pPr>
              <w:ind w:right="113"/>
              <w:jc w:val="right"/>
              <w:rPr>
                <w:color w:val="000000"/>
                <w:sz w:val="16"/>
                <w:szCs w:val="16"/>
              </w:rPr>
            </w:pPr>
            <w:r w:rsidRPr="007A4ECB">
              <w:rPr>
                <w:color w:val="000000"/>
                <w:sz w:val="16"/>
                <w:szCs w:val="16"/>
              </w:rPr>
              <w:t>1.3</w:t>
            </w:r>
          </w:p>
        </w:tc>
        <w:tc>
          <w:tcPr>
            <w:tcW w:w="446" w:type="pct"/>
            <w:noWrap/>
            <w:hideMark/>
          </w:tcPr>
          <w:p w14:paraId="6A120AE3" w14:textId="77777777" w:rsidR="00120717" w:rsidRPr="007A4ECB" w:rsidRDefault="00120717" w:rsidP="00BF60A8">
            <w:pPr>
              <w:ind w:right="113"/>
              <w:jc w:val="right"/>
              <w:rPr>
                <w:color w:val="000000"/>
                <w:sz w:val="16"/>
                <w:szCs w:val="16"/>
              </w:rPr>
            </w:pPr>
            <w:r w:rsidRPr="007A4ECB">
              <w:rPr>
                <w:color w:val="000000"/>
                <w:sz w:val="16"/>
                <w:szCs w:val="16"/>
              </w:rPr>
              <w:t>1.5</w:t>
            </w:r>
          </w:p>
        </w:tc>
        <w:tc>
          <w:tcPr>
            <w:tcW w:w="446" w:type="pct"/>
            <w:noWrap/>
            <w:hideMark/>
          </w:tcPr>
          <w:p w14:paraId="51388792" w14:textId="77777777" w:rsidR="00120717" w:rsidRPr="007A4ECB" w:rsidRDefault="00120717" w:rsidP="00BF60A8">
            <w:pPr>
              <w:ind w:right="113"/>
              <w:jc w:val="right"/>
              <w:rPr>
                <w:color w:val="000000"/>
                <w:sz w:val="16"/>
                <w:szCs w:val="16"/>
              </w:rPr>
            </w:pPr>
            <w:r w:rsidRPr="007A4ECB">
              <w:rPr>
                <w:color w:val="000000"/>
                <w:sz w:val="16"/>
                <w:szCs w:val="16"/>
              </w:rPr>
              <w:t>1.5</w:t>
            </w:r>
          </w:p>
        </w:tc>
        <w:tc>
          <w:tcPr>
            <w:tcW w:w="446" w:type="pct"/>
            <w:noWrap/>
            <w:hideMark/>
          </w:tcPr>
          <w:p w14:paraId="00B5D578" w14:textId="77777777" w:rsidR="00120717" w:rsidRPr="007A4ECB" w:rsidRDefault="00120717" w:rsidP="00BF60A8">
            <w:pPr>
              <w:ind w:right="113"/>
              <w:jc w:val="right"/>
              <w:rPr>
                <w:color w:val="000000"/>
                <w:sz w:val="16"/>
                <w:szCs w:val="16"/>
              </w:rPr>
            </w:pPr>
            <w:r w:rsidRPr="007A4ECB">
              <w:rPr>
                <w:color w:val="000000"/>
                <w:sz w:val="16"/>
                <w:szCs w:val="16"/>
              </w:rPr>
              <w:t>1.6</w:t>
            </w:r>
          </w:p>
        </w:tc>
        <w:tc>
          <w:tcPr>
            <w:tcW w:w="446" w:type="pct"/>
            <w:noWrap/>
            <w:hideMark/>
          </w:tcPr>
          <w:p w14:paraId="5ACAFF82" w14:textId="77777777" w:rsidR="00120717" w:rsidRPr="007A4ECB" w:rsidRDefault="00120717" w:rsidP="00BF60A8">
            <w:pPr>
              <w:ind w:right="113"/>
              <w:jc w:val="right"/>
              <w:rPr>
                <w:color w:val="000000"/>
                <w:sz w:val="16"/>
                <w:szCs w:val="16"/>
              </w:rPr>
            </w:pPr>
            <w:r w:rsidRPr="007A4ECB">
              <w:rPr>
                <w:color w:val="000000"/>
                <w:sz w:val="16"/>
                <w:szCs w:val="16"/>
              </w:rPr>
              <w:t>1.8</w:t>
            </w:r>
          </w:p>
        </w:tc>
        <w:tc>
          <w:tcPr>
            <w:tcW w:w="441" w:type="pct"/>
            <w:noWrap/>
            <w:hideMark/>
          </w:tcPr>
          <w:p w14:paraId="38B910CB" w14:textId="77777777" w:rsidR="00120717" w:rsidRPr="007A4ECB" w:rsidRDefault="00120717" w:rsidP="00BF60A8">
            <w:pPr>
              <w:ind w:right="113"/>
              <w:jc w:val="right"/>
              <w:rPr>
                <w:color w:val="000000"/>
                <w:sz w:val="16"/>
                <w:szCs w:val="16"/>
              </w:rPr>
            </w:pPr>
            <w:r w:rsidRPr="007A4ECB">
              <w:rPr>
                <w:color w:val="000000"/>
                <w:sz w:val="16"/>
                <w:szCs w:val="16"/>
              </w:rPr>
              <w:t>2.1</w:t>
            </w:r>
          </w:p>
        </w:tc>
      </w:tr>
      <w:tr w:rsidR="00120717" w:rsidRPr="007A4ECB" w14:paraId="6021CA10" w14:textId="77777777" w:rsidTr="00F62DB6">
        <w:trPr>
          <w:trHeight w:val="114"/>
        </w:trPr>
        <w:tc>
          <w:tcPr>
            <w:tcW w:w="1883" w:type="pct"/>
            <w:noWrap/>
            <w:hideMark/>
          </w:tcPr>
          <w:p w14:paraId="005F2B5C" w14:textId="77777777" w:rsidR="00120717" w:rsidRPr="007A4ECB" w:rsidRDefault="00120717">
            <w:pPr>
              <w:jc w:val="left"/>
              <w:rPr>
                <w:sz w:val="16"/>
                <w:szCs w:val="16"/>
              </w:rPr>
            </w:pPr>
            <w:r w:rsidRPr="007A4ECB">
              <w:rPr>
                <w:sz w:val="16"/>
                <w:szCs w:val="16"/>
              </w:rPr>
              <w:tab/>
              <w:t>Viet Nam</w:t>
            </w:r>
          </w:p>
        </w:tc>
        <w:tc>
          <w:tcPr>
            <w:tcW w:w="446" w:type="pct"/>
            <w:noWrap/>
            <w:hideMark/>
          </w:tcPr>
          <w:p w14:paraId="5E0F081D" w14:textId="77777777" w:rsidR="00120717" w:rsidRPr="007A4ECB" w:rsidRDefault="00120717" w:rsidP="00BF60A8">
            <w:pPr>
              <w:ind w:right="113"/>
              <w:jc w:val="right"/>
              <w:rPr>
                <w:color w:val="000000"/>
                <w:sz w:val="16"/>
                <w:szCs w:val="16"/>
              </w:rPr>
            </w:pPr>
            <w:r w:rsidRPr="007A4ECB">
              <w:rPr>
                <w:color w:val="000000"/>
                <w:sz w:val="16"/>
                <w:szCs w:val="16"/>
              </w:rPr>
              <w:t>1.2</w:t>
            </w:r>
          </w:p>
        </w:tc>
        <w:tc>
          <w:tcPr>
            <w:tcW w:w="446" w:type="pct"/>
            <w:noWrap/>
            <w:hideMark/>
          </w:tcPr>
          <w:p w14:paraId="01B73A60" w14:textId="77777777" w:rsidR="00120717" w:rsidRPr="007A4ECB" w:rsidRDefault="00120717" w:rsidP="00BF60A8">
            <w:pPr>
              <w:ind w:right="113"/>
              <w:jc w:val="right"/>
              <w:rPr>
                <w:color w:val="000000"/>
                <w:sz w:val="16"/>
                <w:szCs w:val="16"/>
              </w:rPr>
            </w:pPr>
            <w:r w:rsidRPr="007A4ECB">
              <w:rPr>
                <w:color w:val="000000"/>
                <w:sz w:val="16"/>
                <w:szCs w:val="16"/>
              </w:rPr>
              <w:t>1.3</w:t>
            </w:r>
          </w:p>
        </w:tc>
        <w:tc>
          <w:tcPr>
            <w:tcW w:w="446" w:type="pct"/>
            <w:noWrap/>
            <w:hideMark/>
          </w:tcPr>
          <w:p w14:paraId="6D471DB5" w14:textId="77777777" w:rsidR="00120717" w:rsidRPr="007A4ECB" w:rsidRDefault="00120717" w:rsidP="00BF60A8">
            <w:pPr>
              <w:ind w:right="113"/>
              <w:jc w:val="right"/>
              <w:rPr>
                <w:color w:val="000000"/>
                <w:sz w:val="16"/>
                <w:szCs w:val="16"/>
              </w:rPr>
            </w:pPr>
            <w:r w:rsidRPr="007A4ECB">
              <w:rPr>
                <w:color w:val="000000"/>
                <w:sz w:val="16"/>
                <w:szCs w:val="16"/>
              </w:rPr>
              <w:t>1.5</w:t>
            </w:r>
          </w:p>
        </w:tc>
        <w:tc>
          <w:tcPr>
            <w:tcW w:w="446" w:type="pct"/>
            <w:noWrap/>
            <w:hideMark/>
          </w:tcPr>
          <w:p w14:paraId="5C4BA8BB" w14:textId="77777777" w:rsidR="00120717" w:rsidRPr="007A4ECB" w:rsidRDefault="00120717" w:rsidP="00BF60A8">
            <w:pPr>
              <w:ind w:right="113"/>
              <w:jc w:val="right"/>
              <w:rPr>
                <w:color w:val="000000"/>
                <w:sz w:val="16"/>
                <w:szCs w:val="16"/>
              </w:rPr>
            </w:pPr>
            <w:r w:rsidRPr="007A4ECB">
              <w:rPr>
                <w:color w:val="000000"/>
                <w:sz w:val="16"/>
                <w:szCs w:val="16"/>
              </w:rPr>
              <w:t>1.5</w:t>
            </w:r>
          </w:p>
        </w:tc>
        <w:tc>
          <w:tcPr>
            <w:tcW w:w="446" w:type="pct"/>
            <w:noWrap/>
            <w:hideMark/>
          </w:tcPr>
          <w:p w14:paraId="5D950824" w14:textId="77777777" w:rsidR="00120717" w:rsidRPr="007A4ECB" w:rsidRDefault="00120717" w:rsidP="00BF60A8">
            <w:pPr>
              <w:ind w:right="113"/>
              <w:jc w:val="right"/>
              <w:rPr>
                <w:color w:val="000000"/>
                <w:sz w:val="16"/>
                <w:szCs w:val="16"/>
              </w:rPr>
            </w:pPr>
            <w:r w:rsidRPr="007A4ECB">
              <w:rPr>
                <w:color w:val="000000"/>
                <w:sz w:val="16"/>
                <w:szCs w:val="16"/>
              </w:rPr>
              <w:t>1.6</w:t>
            </w:r>
          </w:p>
        </w:tc>
        <w:tc>
          <w:tcPr>
            <w:tcW w:w="446" w:type="pct"/>
            <w:noWrap/>
            <w:hideMark/>
          </w:tcPr>
          <w:p w14:paraId="396630BC" w14:textId="77777777" w:rsidR="00120717" w:rsidRPr="007A4ECB" w:rsidRDefault="00120717" w:rsidP="00BF60A8">
            <w:pPr>
              <w:ind w:right="113"/>
              <w:jc w:val="right"/>
              <w:rPr>
                <w:color w:val="000000"/>
                <w:sz w:val="16"/>
                <w:szCs w:val="16"/>
              </w:rPr>
            </w:pPr>
            <w:r w:rsidRPr="007A4ECB">
              <w:rPr>
                <w:color w:val="000000"/>
                <w:sz w:val="16"/>
                <w:szCs w:val="16"/>
              </w:rPr>
              <w:t>1.7</w:t>
            </w:r>
          </w:p>
        </w:tc>
        <w:tc>
          <w:tcPr>
            <w:tcW w:w="441" w:type="pct"/>
            <w:noWrap/>
            <w:hideMark/>
          </w:tcPr>
          <w:p w14:paraId="2068661A" w14:textId="77777777" w:rsidR="00120717" w:rsidRPr="007A4ECB" w:rsidRDefault="00120717" w:rsidP="00BF60A8">
            <w:pPr>
              <w:ind w:right="113"/>
              <w:jc w:val="right"/>
              <w:rPr>
                <w:color w:val="000000"/>
                <w:sz w:val="16"/>
                <w:szCs w:val="16"/>
              </w:rPr>
            </w:pPr>
            <w:r w:rsidRPr="007A4ECB">
              <w:rPr>
                <w:color w:val="000000"/>
                <w:sz w:val="16"/>
                <w:szCs w:val="16"/>
              </w:rPr>
              <w:t>1.8</w:t>
            </w:r>
          </w:p>
        </w:tc>
      </w:tr>
      <w:tr w:rsidR="00120717" w:rsidRPr="007A4ECB" w14:paraId="347A90E1" w14:textId="77777777" w:rsidTr="00F62DB6">
        <w:trPr>
          <w:cnfStyle w:val="000000010000" w:firstRow="0" w:lastRow="0" w:firstColumn="0" w:lastColumn="0" w:oddVBand="0" w:evenVBand="0" w:oddHBand="0" w:evenHBand="1" w:firstRowFirstColumn="0" w:firstRowLastColumn="0" w:lastRowFirstColumn="0" w:lastRowLastColumn="0"/>
          <w:trHeight w:val="73"/>
        </w:trPr>
        <w:tc>
          <w:tcPr>
            <w:tcW w:w="1883" w:type="pct"/>
            <w:noWrap/>
            <w:hideMark/>
          </w:tcPr>
          <w:p w14:paraId="0B51A0C2" w14:textId="77777777" w:rsidR="00120717" w:rsidRPr="007A4ECB" w:rsidRDefault="00120717">
            <w:pPr>
              <w:jc w:val="left"/>
              <w:rPr>
                <w:sz w:val="16"/>
                <w:szCs w:val="16"/>
              </w:rPr>
            </w:pPr>
            <w:r w:rsidRPr="007A4ECB">
              <w:rPr>
                <w:sz w:val="16"/>
                <w:szCs w:val="16"/>
              </w:rPr>
              <w:tab/>
              <w:t>Chinese Taipei</w:t>
            </w:r>
          </w:p>
        </w:tc>
        <w:tc>
          <w:tcPr>
            <w:tcW w:w="446" w:type="pct"/>
            <w:noWrap/>
            <w:hideMark/>
          </w:tcPr>
          <w:p w14:paraId="5590D6E4" w14:textId="77777777" w:rsidR="00120717" w:rsidRPr="007A4ECB" w:rsidRDefault="00120717" w:rsidP="00BF60A8">
            <w:pPr>
              <w:ind w:right="113"/>
              <w:jc w:val="right"/>
              <w:rPr>
                <w:color w:val="000000"/>
                <w:sz w:val="16"/>
                <w:szCs w:val="16"/>
              </w:rPr>
            </w:pPr>
            <w:r w:rsidRPr="007A4ECB">
              <w:rPr>
                <w:color w:val="000000"/>
                <w:sz w:val="16"/>
                <w:szCs w:val="16"/>
              </w:rPr>
              <w:t>1.5</w:t>
            </w:r>
          </w:p>
        </w:tc>
        <w:tc>
          <w:tcPr>
            <w:tcW w:w="446" w:type="pct"/>
            <w:noWrap/>
            <w:hideMark/>
          </w:tcPr>
          <w:p w14:paraId="3090CD4F" w14:textId="77777777" w:rsidR="00120717" w:rsidRPr="007A4ECB" w:rsidRDefault="00120717" w:rsidP="00BF60A8">
            <w:pPr>
              <w:ind w:right="113"/>
              <w:jc w:val="right"/>
              <w:rPr>
                <w:color w:val="000000"/>
                <w:sz w:val="16"/>
                <w:szCs w:val="16"/>
              </w:rPr>
            </w:pPr>
            <w:r w:rsidRPr="007A4ECB">
              <w:rPr>
                <w:color w:val="000000"/>
                <w:sz w:val="16"/>
                <w:szCs w:val="16"/>
              </w:rPr>
              <w:t>1.4</w:t>
            </w:r>
          </w:p>
        </w:tc>
        <w:tc>
          <w:tcPr>
            <w:tcW w:w="446" w:type="pct"/>
            <w:noWrap/>
            <w:hideMark/>
          </w:tcPr>
          <w:p w14:paraId="3E21196E" w14:textId="77777777" w:rsidR="00120717" w:rsidRPr="007A4ECB" w:rsidRDefault="00120717" w:rsidP="00BF60A8">
            <w:pPr>
              <w:ind w:right="113"/>
              <w:jc w:val="right"/>
              <w:rPr>
                <w:color w:val="000000"/>
                <w:sz w:val="16"/>
                <w:szCs w:val="16"/>
              </w:rPr>
            </w:pPr>
            <w:r w:rsidRPr="007A4ECB">
              <w:rPr>
                <w:color w:val="000000"/>
                <w:sz w:val="16"/>
                <w:szCs w:val="16"/>
              </w:rPr>
              <w:t>1.4</w:t>
            </w:r>
          </w:p>
        </w:tc>
        <w:tc>
          <w:tcPr>
            <w:tcW w:w="446" w:type="pct"/>
            <w:noWrap/>
            <w:hideMark/>
          </w:tcPr>
          <w:p w14:paraId="16D9609D" w14:textId="77777777" w:rsidR="00120717" w:rsidRPr="007A4ECB" w:rsidRDefault="00120717" w:rsidP="00BF60A8">
            <w:pPr>
              <w:ind w:right="113"/>
              <w:jc w:val="right"/>
              <w:rPr>
                <w:color w:val="000000"/>
                <w:sz w:val="16"/>
                <w:szCs w:val="16"/>
              </w:rPr>
            </w:pPr>
            <w:r w:rsidRPr="007A4ECB">
              <w:rPr>
                <w:color w:val="000000"/>
                <w:sz w:val="16"/>
                <w:szCs w:val="16"/>
              </w:rPr>
              <w:t>1.4</w:t>
            </w:r>
          </w:p>
        </w:tc>
        <w:tc>
          <w:tcPr>
            <w:tcW w:w="446" w:type="pct"/>
            <w:noWrap/>
            <w:hideMark/>
          </w:tcPr>
          <w:p w14:paraId="2C5C1DBC" w14:textId="77777777" w:rsidR="00120717" w:rsidRPr="007A4ECB" w:rsidRDefault="00120717" w:rsidP="00BF60A8">
            <w:pPr>
              <w:ind w:right="113"/>
              <w:jc w:val="right"/>
              <w:rPr>
                <w:color w:val="000000"/>
                <w:sz w:val="16"/>
                <w:szCs w:val="16"/>
              </w:rPr>
            </w:pPr>
            <w:r w:rsidRPr="007A4ECB">
              <w:rPr>
                <w:color w:val="000000"/>
                <w:sz w:val="16"/>
                <w:szCs w:val="16"/>
              </w:rPr>
              <w:t>1.4</w:t>
            </w:r>
          </w:p>
        </w:tc>
        <w:tc>
          <w:tcPr>
            <w:tcW w:w="446" w:type="pct"/>
            <w:noWrap/>
            <w:hideMark/>
          </w:tcPr>
          <w:p w14:paraId="64ED7FB3" w14:textId="77777777" w:rsidR="00120717" w:rsidRPr="007A4ECB" w:rsidRDefault="00120717" w:rsidP="00BF60A8">
            <w:pPr>
              <w:ind w:right="113"/>
              <w:jc w:val="right"/>
              <w:rPr>
                <w:color w:val="000000"/>
                <w:sz w:val="16"/>
                <w:szCs w:val="16"/>
              </w:rPr>
            </w:pPr>
            <w:r w:rsidRPr="007A4ECB">
              <w:rPr>
                <w:color w:val="000000"/>
                <w:sz w:val="16"/>
                <w:szCs w:val="16"/>
              </w:rPr>
              <w:t>1.5</w:t>
            </w:r>
          </w:p>
        </w:tc>
        <w:tc>
          <w:tcPr>
            <w:tcW w:w="441" w:type="pct"/>
            <w:noWrap/>
            <w:hideMark/>
          </w:tcPr>
          <w:p w14:paraId="0648DE08" w14:textId="77777777" w:rsidR="00120717" w:rsidRPr="007A4ECB" w:rsidRDefault="00120717" w:rsidP="00BF60A8">
            <w:pPr>
              <w:ind w:right="113"/>
              <w:jc w:val="right"/>
              <w:rPr>
                <w:color w:val="000000"/>
                <w:sz w:val="16"/>
                <w:szCs w:val="16"/>
              </w:rPr>
            </w:pPr>
            <w:r w:rsidRPr="007A4ECB">
              <w:rPr>
                <w:color w:val="000000"/>
                <w:sz w:val="16"/>
                <w:szCs w:val="16"/>
              </w:rPr>
              <w:t>1.7</w:t>
            </w:r>
          </w:p>
        </w:tc>
      </w:tr>
      <w:tr w:rsidR="00120717" w:rsidRPr="007A4ECB" w14:paraId="0F6B4356" w14:textId="77777777" w:rsidTr="00F62DB6">
        <w:trPr>
          <w:trHeight w:val="60"/>
        </w:trPr>
        <w:tc>
          <w:tcPr>
            <w:tcW w:w="1883" w:type="pct"/>
            <w:noWrap/>
            <w:hideMark/>
          </w:tcPr>
          <w:p w14:paraId="5D14D583" w14:textId="77777777" w:rsidR="00120717" w:rsidRPr="007A4ECB" w:rsidRDefault="00120717">
            <w:pPr>
              <w:jc w:val="left"/>
              <w:rPr>
                <w:sz w:val="16"/>
                <w:szCs w:val="16"/>
              </w:rPr>
            </w:pPr>
            <w:r w:rsidRPr="007A4ECB">
              <w:rPr>
                <w:sz w:val="16"/>
                <w:szCs w:val="16"/>
              </w:rPr>
              <w:tab/>
              <w:t>India</w:t>
            </w:r>
          </w:p>
        </w:tc>
        <w:tc>
          <w:tcPr>
            <w:tcW w:w="446" w:type="pct"/>
            <w:noWrap/>
            <w:hideMark/>
          </w:tcPr>
          <w:p w14:paraId="034FF143" w14:textId="77777777" w:rsidR="00120717" w:rsidRPr="007A4ECB" w:rsidRDefault="00120717" w:rsidP="00BF60A8">
            <w:pPr>
              <w:ind w:right="113"/>
              <w:jc w:val="right"/>
              <w:rPr>
                <w:color w:val="000000"/>
                <w:sz w:val="16"/>
                <w:szCs w:val="16"/>
              </w:rPr>
            </w:pPr>
            <w:r w:rsidRPr="007A4ECB">
              <w:rPr>
                <w:color w:val="000000"/>
                <w:sz w:val="16"/>
                <w:szCs w:val="16"/>
              </w:rPr>
              <w:t>1.1</w:t>
            </w:r>
          </w:p>
        </w:tc>
        <w:tc>
          <w:tcPr>
            <w:tcW w:w="446" w:type="pct"/>
            <w:noWrap/>
            <w:hideMark/>
          </w:tcPr>
          <w:p w14:paraId="2CE755AF" w14:textId="77777777" w:rsidR="00120717" w:rsidRPr="007A4ECB" w:rsidRDefault="00120717" w:rsidP="00BF60A8">
            <w:pPr>
              <w:ind w:right="113"/>
              <w:jc w:val="right"/>
              <w:rPr>
                <w:color w:val="000000"/>
                <w:sz w:val="16"/>
                <w:szCs w:val="16"/>
              </w:rPr>
            </w:pPr>
            <w:r w:rsidRPr="007A4ECB">
              <w:rPr>
                <w:color w:val="000000"/>
                <w:sz w:val="16"/>
                <w:szCs w:val="16"/>
              </w:rPr>
              <w:t>1.1</w:t>
            </w:r>
          </w:p>
        </w:tc>
        <w:tc>
          <w:tcPr>
            <w:tcW w:w="446" w:type="pct"/>
            <w:noWrap/>
            <w:hideMark/>
          </w:tcPr>
          <w:p w14:paraId="41CED2D9" w14:textId="77777777" w:rsidR="00120717" w:rsidRPr="007A4ECB" w:rsidRDefault="00120717" w:rsidP="00BF60A8">
            <w:pPr>
              <w:ind w:right="113"/>
              <w:jc w:val="right"/>
              <w:rPr>
                <w:color w:val="000000"/>
                <w:sz w:val="16"/>
                <w:szCs w:val="16"/>
              </w:rPr>
            </w:pPr>
            <w:r w:rsidRPr="007A4ECB">
              <w:rPr>
                <w:color w:val="000000"/>
                <w:sz w:val="16"/>
                <w:szCs w:val="16"/>
              </w:rPr>
              <w:t>1.1</w:t>
            </w:r>
          </w:p>
        </w:tc>
        <w:tc>
          <w:tcPr>
            <w:tcW w:w="446" w:type="pct"/>
            <w:noWrap/>
            <w:hideMark/>
          </w:tcPr>
          <w:p w14:paraId="367BA91F" w14:textId="77777777" w:rsidR="00120717" w:rsidRPr="007A4ECB" w:rsidRDefault="00120717" w:rsidP="00BF60A8">
            <w:pPr>
              <w:ind w:right="113"/>
              <w:jc w:val="right"/>
              <w:rPr>
                <w:color w:val="000000"/>
                <w:sz w:val="16"/>
                <w:szCs w:val="16"/>
              </w:rPr>
            </w:pPr>
            <w:r w:rsidRPr="007A4ECB">
              <w:rPr>
                <w:color w:val="000000"/>
                <w:sz w:val="16"/>
                <w:szCs w:val="16"/>
              </w:rPr>
              <w:t>1.2</w:t>
            </w:r>
          </w:p>
        </w:tc>
        <w:tc>
          <w:tcPr>
            <w:tcW w:w="446" w:type="pct"/>
            <w:noWrap/>
            <w:hideMark/>
          </w:tcPr>
          <w:p w14:paraId="4113DF61" w14:textId="77777777" w:rsidR="00120717" w:rsidRPr="007A4ECB" w:rsidRDefault="00120717" w:rsidP="00BF60A8">
            <w:pPr>
              <w:ind w:right="113"/>
              <w:jc w:val="right"/>
              <w:rPr>
                <w:color w:val="000000"/>
                <w:sz w:val="16"/>
                <w:szCs w:val="16"/>
              </w:rPr>
            </w:pPr>
            <w:r w:rsidRPr="007A4ECB">
              <w:rPr>
                <w:color w:val="000000"/>
                <w:sz w:val="16"/>
                <w:szCs w:val="16"/>
              </w:rPr>
              <w:t>1.2</w:t>
            </w:r>
          </w:p>
        </w:tc>
        <w:tc>
          <w:tcPr>
            <w:tcW w:w="446" w:type="pct"/>
            <w:noWrap/>
            <w:hideMark/>
          </w:tcPr>
          <w:p w14:paraId="326D7344" w14:textId="77777777" w:rsidR="00120717" w:rsidRPr="007A4ECB" w:rsidRDefault="00120717" w:rsidP="00BF60A8">
            <w:pPr>
              <w:ind w:right="113"/>
              <w:jc w:val="right"/>
              <w:rPr>
                <w:color w:val="000000"/>
                <w:sz w:val="16"/>
                <w:szCs w:val="16"/>
              </w:rPr>
            </w:pPr>
            <w:r w:rsidRPr="007A4ECB">
              <w:rPr>
                <w:color w:val="000000"/>
                <w:sz w:val="16"/>
                <w:szCs w:val="16"/>
              </w:rPr>
              <w:t>1.3</w:t>
            </w:r>
          </w:p>
        </w:tc>
        <w:tc>
          <w:tcPr>
            <w:tcW w:w="441" w:type="pct"/>
            <w:noWrap/>
            <w:hideMark/>
          </w:tcPr>
          <w:p w14:paraId="2BEBC82D" w14:textId="77777777" w:rsidR="00120717" w:rsidRPr="007A4ECB" w:rsidRDefault="00120717" w:rsidP="00BF60A8">
            <w:pPr>
              <w:ind w:right="113"/>
              <w:jc w:val="right"/>
              <w:rPr>
                <w:color w:val="000000"/>
                <w:sz w:val="16"/>
                <w:szCs w:val="16"/>
              </w:rPr>
            </w:pPr>
            <w:r w:rsidRPr="007A4ECB">
              <w:rPr>
                <w:color w:val="000000"/>
                <w:sz w:val="16"/>
                <w:szCs w:val="16"/>
              </w:rPr>
              <w:t>1.4</w:t>
            </w:r>
          </w:p>
        </w:tc>
      </w:tr>
      <w:tr w:rsidR="00120717" w:rsidRPr="007A4ECB" w14:paraId="5BB8B814" w14:textId="77777777" w:rsidTr="00F62DB6">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2102FDAE" w14:textId="77777777" w:rsidR="00120717" w:rsidRPr="007A4ECB" w:rsidRDefault="00120717">
            <w:pPr>
              <w:jc w:val="left"/>
              <w:rPr>
                <w:sz w:val="16"/>
                <w:szCs w:val="16"/>
              </w:rPr>
            </w:pPr>
            <w:r w:rsidRPr="007A4ECB">
              <w:rPr>
                <w:sz w:val="16"/>
                <w:szCs w:val="16"/>
              </w:rPr>
              <w:t>Other</w:t>
            </w:r>
          </w:p>
        </w:tc>
        <w:tc>
          <w:tcPr>
            <w:tcW w:w="446" w:type="pct"/>
            <w:noWrap/>
            <w:hideMark/>
          </w:tcPr>
          <w:p w14:paraId="0ACAC1F9" w14:textId="77777777" w:rsidR="00120717" w:rsidRPr="007A4ECB" w:rsidRDefault="00120717" w:rsidP="00BF60A8">
            <w:pPr>
              <w:ind w:right="113"/>
              <w:jc w:val="right"/>
              <w:rPr>
                <w:color w:val="000000"/>
                <w:sz w:val="16"/>
                <w:szCs w:val="16"/>
              </w:rPr>
            </w:pPr>
            <w:r w:rsidRPr="007A4ECB">
              <w:rPr>
                <w:color w:val="000000"/>
                <w:sz w:val="16"/>
                <w:szCs w:val="16"/>
              </w:rPr>
              <w:t>0.0</w:t>
            </w:r>
          </w:p>
        </w:tc>
        <w:tc>
          <w:tcPr>
            <w:tcW w:w="446" w:type="pct"/>
            <w:noWrap/>
            <w:hideMark/>
          </w:tcPr>
          <w:p w14:paraId="1F80250E" w14:textId="77777777" w:rsidR="00120717" w:rsidRPr="007A4ECB" w:rsidRDefault="00120717" w:rsidP="00BF60A8">
            <w:pPr>
              <w:ind w:right="113"/>
              <w:jc w:val="right"/>
              <w:rPr>
                <w:color w:val="000000"/>
                <w:sz w:val="16"/>
                <w:szCs w:val="16"/>
              </w:rPr>
            </w:pPr>
            <w:r w:rsidRPr="007A4ECB">
              <w:rPr>
                <w:color w:val="000000"/>
                <w:sz w:val="16"/>
                <w:szCs w:val="16"/>
              </w:rPr>
              <w:t>0.0</w:t>
            </w:r>
          </w:p>
        </w:tc>
        <w:tc>
          <w:tcPr>
            <w:tcW w:w="446" w:type="pct"/>
            <w:noWrap/>
            <w:hideMark/>
          </w:tcPr>
          <w:p w14:paraId="121A5B63" w14:textId="77777777" w:rsidR="00120717" w:rsidRPr="007A4ECB" w:rsidRDefault="00120717" w:rsidP="00BF60A8">
            <w:pPr>
              <w:ind w:right="113"/>
              <w:jc w:val="right"/>
              <w:rPr>
                <w:color w:val="000000"/>
                <w:sz w:val="16"/>
                <w:szCs w:val="16"/>
              </w:rPr>
            </w:pPr>
            <w:r w:rsidRPr="007A4ECB">
              <w:rPr>
                <w:color w:val="000000"/>
                <w:sz w:val="16"/>
                <w:szCs w:val="16"/>
              </w:rPr>
              <w:t>0.0</w:t>
            </w:r>
          </w:p>
        </w:tc>
        <w:tc>
          <w:tcPr>
            <w:tcW w:w="446" w:type="pct"/>
            <w:noWrap/>
            <w:hideMark/>
          </w:tcPr>
          <w:p w14:paraId="18309B84" w14:textId="77777777" w:rsidR="00120717" w:rsidRPr="007A4ECB" w:rsidRDefault="00120717" w:rsidP="00BF60A8">
            <w:pPr>
              <w:ind w:right="113"/>
              <w:jc w:val="right"/>
              <w:rPr>
                <w:color w:val="000000"/>
                <w:sz w:val="16"/>
                <w:szCs w:val="16"/>
              </w:rPr>
            </w:pPr>
            <w:r w:rsidRPr="007A4ECB">
              <w:rPr>
                <w:color w:val="000000"/>
                <w:sz w:val="16"/>
                <w:szCs w:val="16"/>
              </w:rPr>
              <w:t>0.0</w:t>
            </w:r>
          </w:p>
        </w:tc>
        <w:tc>
          <w:tcPr>
            <w:tcW w:w="446" w:type="pct"/>
            <w:noWrap/>
            <w:hideMark/>
          </w:tcPr>
          <w:p w14:paraId="1BCAD36C" w14:textId="77777777" w:rsidR="00120717" w:rsidRPr="007A4ECB" w:rsidRDefault="00120717" w:rsidP="00BF60A8">
            <w:pPr>
              <w:ind w:right="113"/>
              <w:jc w:val="right"/>
              <w:rPr>
                <w:color w:val="000000"/>
                <w:sz w:val="16"/>
                <w:szCs w:val="16"/>
              </w:rPr>
            </w:pPr>
            <w:r w:rsidRPr="007A4ECB">
              <w:rPr>
                <w:color w:val="000000"/>
                <w:sz w:val="16"/>
                <w:szCs w:val="16"/>
              </w:rPr>
              <w:t>0.0</w:t>
            </w:r>
          </w:p>
        </w:tc>
        <w:tc>
          <w:tcPr>
            <w:tcW w:w="446" w:type="pct"/>
            <w:noWrap/>
            <w:hideMark/>
          </w:tcPr>
          <w:p w14:paraId="4F1DA01D" w14:textId="77777777" w:rsidR="00120717" w:rsidRPr="007A4ECB" w:rsidRDefault="00120717" w:rsidP="00BF60A8">
            <w:pPr>
              <w:ind w:right="113"/>
              <w:jc w:val="right"/>
              <w:rPr>
                <w:color w:val="000000"/>
                <w:sz w:val="16"/>
                <w:szCs w:val="16"/>
              </w:rPr>
            </w:pPr>
            <w:r w:rsidRPr="007A4ECB">
              <w:rPr>
                <w:color w:val="000000"/>
                <w:sz w:val="16"/>
                <w:szCs w:val="16"/>
              </w:rPr>
              <w:t>0.4</w:t>
            </w:r>
          </w:p>
        </w:tc>
        <w:tc>
          <w:tcPr>
            <w:tcW w:w="441" w:type="pct"/>
            <w:noWrap/>
            <w:hideMark/>
          </w:tcPr>
          <w:p w14:paraId="3E94561F" w14:textId="77777777" w:rsidR="00120717" w:rsidRPr="007A4ECB" w:rsidRDefault="00120717" w:rsidP="00BF60A8">
            <w:pPr>
              <w:ind w:right="113"/>
              <w:jc w:val="right"/>
              <w:rPr>
                <w:color w:val="000000"/>
                <w:sz w:val="16"/>
                <w:szCs w:val="16"/>
              </w:rPr>
            </w:pPr>
            <w:r w:rsidRPr="007A4ECB">
              <w:rPr>
                <w:color w:val="000000"/>
                <w:sz w:val="16"/>
                <w:szCs w:val="16"/>
              </w:rPr>
              <w:t>0.0</w:t>
            </w:r>
          </w:p>
        </w:tc>
      </w:tr>
      <w:tr w:rsidR="00120717" w:rsidRPr="007A4ECB" w14:paraId="4B17D980" w14:textId="77777777" w:rsidTr="00F62DB6">
        <w:trPr>
          <w:trHeight w:val="96"/>
        </w:trPr>
        <w:tc>
          <w:tcPr>
            <w:tcW w:w="1883" w:type="pct"/>
            <w:noWrap/>
            <w:hideMark/>
          </w:tcPr>
          <w:p w14:paraId="587AC8C8" w14:textId="77777777" w:rsidR="00120717" w:rsidRPr="007A4ECB" w:rsidRDefault="00120717">
            <w:pPr>
              <w:rPr>
                <w:i/>
                <w:iCs/>
                <w:sz w:val="16"/>
                <w:szCs w:val="16"/>
              </w:rPr>
            </w:pPr>
            <w:r w:rsidRPr="007A4ECB">
              <w:rPr>
                <w:i/>
                <w:iCs/>
                <w:sz w:val="16"/>
                <w:szCs w:val="16"/>
              </w:rPr>
              <w:t>Memorandum:</w:t>
            </w:r>
          </w:p>
        </w:tc>
        <w:tc>
          <w:tcPr>
            <w:tcW w:w="446" w:type="pct"/>
            <w:noWrap/>
            <w:hideMark/>
          </w:tcPr>
          <w:p w14:paraId="7975819C" w14:textId="77777777" w:rsidR="00120717" w:rsidRPr="007A4ECB" w:rsidRDefault="00120717" w:rsidP="00BF60A8">
            <w:pPr>
              <w:ind w:right="113"/>
              <w:jc w:val="right"/>
              <w:rPr>
                <w:i/>
                <w:iCs/>
                <w:sz w:val="16"/>
                <w:szCs w:val="16"/>
              </w:rPr>
            </w:pPr>
          </w:p>
        </w:tc>
        <w:tc>
          <w:tcPr>
            <w:tcW w:w="446" w:type="pct"/>
            <w:noWrap/>
            <w:hideMark/>
          </w:tcPr>
          <w:p w14:paraId="2BFA3F86" w14:textId="77777777" w:rsidR="00120717" w:rsidRPr="007A4ECB" w:rsidRDefault="00120717" w:rsidP="00BF60A8">
            <w:pPr>
              <w:ind w:right="113"/>
              <w:jc w:val="right"/>
              <w:rPr>
                <w:sz w:val="16"/>
                <w:szCs w:val="16"/>
              </w:rPr>
            </w:pPr>
          </w:p>
        </w:tc>
        <w:tc>
          <w:tcPr>
            <w:tcW w:w="446" w:type="pct"/>
            <w:noWrap/>
            <w:hideMark/>
          </w:tcPr>
          <w:p w14:paraId="3A63C947" w14:textId="77777777" w:rsidR="00120717" w:rsidRPr="007A4ECB" w:rsidRDefault="00120717" w:rsidP="00BF60A8">
            <w:pPr>
              <w:ind w:right="113"/>
              <w:jc w:val="right"/>
              <w:rPr>
                <w:sz w:val="16"/>
                <w:szCs w:val="16"/>
              </w:rPr>
            </w:pPr>
          </w:p>
        </w:tc>
        <w:tc>
          <w:tcPr>
            <w:tcW w:w="446" w:type="pct"/>
            <w:noWrap/>
            <w:hideMark/>
          </w:tcPr>
          <w:p w14:paraId="212D7B37" w14:textId="77777777" w:rsidR="00120717" w:rsidRPr="007A4ECB" w:rsidRDefault="00120717" w:rsidP="00BF60A8">
            <w:pPr>
              <w:ind w:right="113"/>
              <w:jc w:val="right"/>
              <w:rPr>
                <w:sz w:val="16"/>
                <w:szCs w:val="16"/>
              </w:rPr>
            </w:pPr>
          </w:p>
        </w:tc>
        <w:tc>
          <w:tcPr>
            <w:tcW w:w="446" w:type="pct"/>
            <w:noWrap/>
            <w:hideMark/>
          </w:tcPr>
          <w:p w14:paraId="68DCBF53" w14:textId="77777777" w:rsidR="00120717" w:rsidRPr="007A4ECB" w:rsidRDefault="00120717" w:rsidP="00BF60A8">
            <w:pPr>
              <w:ind w:right="113"/>
              <w:jc w:val="right"/>
              <w:rPr>
                <w:sz w:val="16"/>
                <w:szCs w:val="16"/>
              </w:rPr>
            </w:pPr>
          </w:p>
        </w:tc>
        <w:tc>
          <w:tcPr>
            <w:tcW w:w="446" w:type="pct"/>
            <w:noWrap/>
            <w:hideMark/>
          </w:tcPr>
          <w:p w14:paraId="77A4C4E4" w14:textId="77777777" w:rsidR="00120717" w:rsidRPr="007A4ECB" w:rsidRDefault="00120717" w:rsidP="00BF60A8">
            <w:pPr>
              <w:ind w:right="113"/>
              <w:jc w:val="right"/>
              <w:rPr>
                <w:sz w:val="16"/>
                <w:szCs w:val="16"/>
              </w:rPr>
            </w:pPr>
          </w:p>
        </w:tc>
        <w:tc>
          <w:tcPr>
            <w:tcW w:w="441" w:type="pct"/>
            <w:noWrap/>
            <w:hideMark/>
          </w:tcPr>
          <w:p w14:paraId="072254B2" w14:textId="77777777" w:rsidR="00120717" w:rsidRPr="007A4ECB" w:rsidRDefault="00120717" w:rsidP="00BF60A8">
            <w:pPr>
              <w:ind w:right="113"/>
              <w:jc w:val="right"/>
              <w:rPr>
                <w:sz w:val="16"/>
                <w:szCs w:val="16"/>
              </w:rPr>
            </w:pPr>
          </w:p>
        </w:tc>
      </w:tr>
      <w:tr w:rsidR="00120717" w:rsidRPr="007A4ECB" w14:paraId="0BF36EE7" w14:textId="77777777" w:rsidTr="00F62DB6">
        <w:trPr>
          <w:cnfStyle w:val="000000010000" w:firstRow="0" w:lastRow="0" w:firstColumn="0" w:lastColumn="0" w:oddVBand="0" w:evenVBand="0" w:oddHBand="0" w:evenHBand="1" w:firstRowFirstColumn="0" w:firstRowLastColumn="0" w:lastRowFirstColumn="0" w:lastRowLastColumn="0"/>
          <w:trHeight w:val="60"/>
        </w:trPr>
        <w:tc>
          <w:tcPr>
            <w:tcW w:w="1883" w:type="pct"/>
            <w:noWrap/>
            <w:hideMark/>
          </w:tcPr>
          <w:p w14:paraId="6CFFDD1D" w14:textId="77777777" w:rsidR="00120717" w:rsidRPr="007A4ECB" w:rsidRDefault="00120717">
            <w:pPr>
              <w:rPr>
                <w:sz w:val="16"/>
                <w:szCs w:val="16"/>
              </w:rPr>
            </w:pPr>
            <w:r w:rsidRPr="007A4ECB">
              <w:rPr>
                <w:sz w:val="16"/>
                <w:szCs w:val="16"/>
              </w:rPr>
              <w:t>EU-28</w:t>
            </w:r>
          </w:p>
        </w:tc>
        <w:tc>
          <w:tcPr>
            <w:tcW w:w="446" w:type="pct"/>
            <w:noWrap/>
            <w:hideMark/>
          </w:tcPr>
          <w:p w14:paraId="2ED284AB" w14:textId="77777777" w:rsidR="00120717" w:rsidRPr="007A4ECB" w:rsidRDefault="00120717" w:rsidP="00BF60A8">
            <w:pPr>
              <w:ind w:right="113"/>
              <w:jc w:val="right"/>
              <w:rPr>
                <w:color w:val="000000"/>
                <w:sz w:val="16"/>
                <w:szCs w:val="16"/>
              </w:rPr>
            </w:pPr>
            <w:r w:rsidRPr="007A4ECB">
              <w:rPr>
                <w:color w:val="000000"/>
                <w:sz w:val="16"/>
                <w:szCs w:val="16"/>
              </w:rPr>
              <w:t>17.7</w:t>
            </w:r>
          </w:p>
        </w:tc>
        <w:tc>
          <w:tcPr>
            <w:tcW w:w="446" w:type="pct"/>
            <w:noWrap/>
            <w:hideMark/>
          </w:tcPr>
          <w:p w14:paraId="5D385395" w14:textId="77777777" w:rsidR="00120717" w:rsidRPr="007A4ECB" w:rsidRDefault="00120717" w:rsidP="00BF60A8">
            <w:pPr>
              <w:ind w:right="113"/>
              <w:jc w:val="right"/>
              <w:rPr>
                <w:color w:val="000000"/>
                <w:sz w:val="16"/>
                <w:szCs w:val="16"/>
              </w:rPr>
            </w:pPr>
            <w:r w:rsidRPr="007A4ECB">
              <w:rPr>
                <w:color w:val="000000"/>
                <w:sz w:val="16"/>
                <w:szCs w:val="16"/>
              </w:rPr>
              <w:t>18.0</w:t>
            </w:r>
          </w:p>
        </w:tc>
        <w:tc>
          <w:tcPr>
            <w:tcW w:w="446" w:type="pct"/>
            <w:noWrap/>
            <w:hideMark/>
          </w:tcPr>
          <w:p w14:paraId="54EB7590" w14:textId="77777777" w:rsidR="00120717" w:rsidRPr="007A4ECB" w:rsidRDefault="00120717" w:rsidP="00BF60A8">
            <w:pPr>
              <w:ind w:right="113"/>
              <w:jc w:val="right"/>
              <w:rPr>
                <w:color w:val="000000"/>
                <w:sz w:val="16"/>
                <w:szCs w:val="16"/>
              </w:rPr>
            </w:pPr>
            <w:r w:rsidRPr="007A4ECB">
              <w:rPr>
                <w:color w:val="000000"/>
                <w:sz w:val="16"/>
                <w:szCs w:val="16"/>
              </w:rPr>
              <w:t>18.4</w:t>
            </w:r>
          </w:p>
        </w:tc>
        <w:tc>
          <w:tcPr>
            <w:tcW w:w="446" w:type="pct"/>
            <w:noWrap/>
            <w:hideMark/>
          </w:tcPr>
          <w:p w14:paraId="6809E782" w14:textId="77777777" w:rsidR="00120717" w:rsidRPr="007A4ECB" w:rsidRDefault="00120717" w:rsidP="00BF60A8">
            <w:pPr>
              <w:ind w:right="113"/>
              <w:jc w:val="right"/>
              <w:rPr>
                <w:color w:val="000000"/>
                <w:sz w:val="16"/>
                <w:szCs w:val="16"/>
              </w:rPr>
            </w:pPr>
            <w:r w:rsidRPr="007A4ECB">
              <w:rPr>
                <w:color w:val="000000"/>
                <w:sz w:val="16"/>
                <w:szCs w:val="16"/>
              </w:rPr>
              <w:t>17.8</w:t>
            </w:r>
          </w:p>
        </w:tc>
        <w:tc>
          <w:tcPr>
            <w:tcW w:w="446" w:type="pct"/>
            <w:noWrap/>
            <w:hideMark/>
          </w:tcPr>
          <w:p w14:paraId="5F034A08" w14:textId="77777777" w:rsidR="00120717" w:rsidRPr="007A4ECB" w:rsidRDefault="00120717" w:rsidP="00BF60A8">
            <w:pPr>
              <w:ind w:right="113"/>
              <w:jc w:val="right"/>
              <w:rPr>
                <w:color w:val="000000"/>
                <w:sz w:val="16"/>
                <w:szCs w:val="16"/>
              </w:rPr>
            </w:pPr>
            <w:r w:rsidRPr="007A4ECB">
              <w:rPr>
                <w:color w:val="000000"/>
                <w:sz w:val="16"/>
                <w:szCs w:val="16"/>
              </w:rPr>
              <w:t>18.8</w:t>
            </w:r>
          </w:p>
        </w:tc>
        <w:tc>
          <w:tcPr>
            <w:tcW w:w="446" w:type="pct"/>
            <w:noWrap/>
            <w:hideMark/>
          </w:tcPr>
          <w:p w14:paraId="1C3BECA6" w14:textId="77777777" w:rsidR="00120717" w:rsidRPr="007A4ECB" w:rsidRDefault="00120717" w:rsidP="00BF60A8">
            <w:pPr>
              <w:ind w:right="113"/>
              <w:jc w:val="right"/>
              <w:rPr>
                <w:color w:val="000000"/>
                <w:sz w:val="16"/>
                <w:szCs w:val="16"/>
              </w:rPr>
            </w:pPr>
            <w:r w:rsidRPr="007A4ECB">
              <w:rPr>
                <w:color w:val="000000"/>
                <w:sz w:val="16"/>
                <w:szCs w:val="16"/>
              </w:rPr>
              <w:t>17.9</w:t>
            </w:r>
          </w:p>
        </w:tc>
        <w:tc>
          <w:tcPr>
            <w:tcW w:w="441" w:type="pct"/>
            <w:noWrap/>
            <w:hideMark/>
          </w:tcPr>
          <w:p w14:paraId="41F26AAE" w14:textId="77777777" w:rsidR="00120717" w:rsidRPr="007A4ECB" w:rsidRDefault="00120717" w:rsidP="00BF60A8">
            <w:pPr>
              <w:ind w:right="113"/>
              <w:jc w:val="right"/>
              <w:rPr>
                <w:color w:val="000000"/>
                <w:sz w:val="16"/>
                <w:szCs w:val="16"/>
              </w:rPr>
            </w:pPr>
            <w:r w:rsidRPr="007A4ECB">
              <w:rPr>
                <w:color w:val="000000"/>
                <w:sz w:val="16"/>
                <w:szCs w:val="16"/>
              </w:rPr>
              <w:t>18.1</w:t>
            </w:r>
          </w:p>
        </w:tc>
      </w:tr>
      <w:tr w:rsidR="00120717" w:rsidRPr="007A4ECB" w14:paraId="3A82AD26" w14:textId="77777777" w:rsidTr="00F62DB6">
        <w:trPr>
          <w:trHeight w:val="60"/>
        </w:trPr>
        <w:tc>
          <w:tcPr>
            <w:tcW w:w="1883" w:type="pct"/>
            <w:noWrap/>
            <w:hideMark/>
          </w:tcPr>
          <w:p w14:paraId="14F257A8" w14:textId="77777777" w:rsidR="00120717" w:rsidRPr="007A4ECB" w:rsidRDefault="00120717">
            <w:pPr>
              <w:jc w:val="left"/>
              <w:rPr>
                <w:sz w:val="16"/>
                <w:szCs w:val="16"/>
              </w:rPr>
            </w:pPr>
            <w:r w:rsidRPr="007A4ECB">
              <w:rPr>
                <w:sz w:val="16"/>
                <w:szCs w:val="16"/>
              </w:rPr>
              <w:t>APEC</w:t>
            </w:r>
          </w:p>
        </w:tc>
        <w:tc>
          <w:tcPr>
            <w:tcW w:w="446" w:type="pct"/>
            <w:noWrap/>
            <w:hideMark/>
          </w:tcPr>
          <w:p w14:paraId="3019834D" w14:textId="77777777" w:rsidR="00120717" w:rsidRPr="007A4ECB" w:rsidRDefault="00120717" w:rsidP="00BF60A8">
            <w:pPr>
              <w:ind w:right="113"/>
              <w:jc w:val="right"/>
              <w:rPr>
                <w:color w:val="000000"/>
                <w:sz w:val="16"/>
                <w:szCs w:val="16"/>
              </w:rPr>
            </w:pPr>
            <w:r w:rsidRPr="007A4ECB">
              <w:rPr>
                <w:color w:val="000000"/>
                <w:sz w:val="16"/>
                <w:szCs w:val="16"/>
              </w:rPr>
              <w:t>73.9</w:t>
            </w:r>
          </w:p>
        </w:tc>
        <w:tc>
          <w:tcPr>
            <w:tcW w:w="446" w:type="pct"/>
            <w:noWrap/>
            <w:hideMark/>
          </w:tcPr>
          <w:p w14:paraId="5DCEEE72" w14:textId="77777777" w:rsidR="00120717" w:rsidRPr="007A4ECB" w:rsidRDefault="00120717" w:rsidP="00BF60A8">
            <w:pPr>
              <w:ind w:right="113"/>
              <w:jc w:val="right"/>
              <w:rPr>
                <w:color w:val="000000"/>
                <w:sz w:val="16"/>
                <w:szCs w:val="16"/>
              </w:rPr>
            </w:pPr>
            <w:r w:rsidRPr="007A4ECB">
              <w:rPr>
                <w:color w:val="000000"/>
                <w:sz w:val="16"/>
                <w:szCs w:val="16"/>
              </w:rPr>
              <w:t>72.8</w:t>
            </w:r>
          </w:p>
        </w:tc>
        <w:tc>
          <w:tcPr>
            <w:tcW w:w="446" w:type="pct"/>
            <w:noWrap/>
            <w:hideMark/>
          </w:tcPr>
          <w:p w14:paraId="669E8492" w14:textId="77777777" w:rsidR="00120717" w:rsidRPr="007A4ECB" w:rsidRDefault="00120717" w:rsidP="00BF60A8">
            <w:pPr>
              <w:ind w:right="113"/>
              <w:jc w:val="right"/>
              <w:rPr>
                <w:color w:val="000000"/>
                <w:sz w:val="16"/>
                <w:szCs w:val="16"/>
              </w:rPr>
            </w:pPr>
            <w:r w:rsidRPr="007A4ECB">
              <w:rPr>
                <w:color w:val="000000"/>
                <w:sz w:val="16"/>
                <w:szCs w:val="16"/>
              </w:rPr>
              <w:t>72.1</w:t>
            </w:r>
          </w:p>
        </w:tc>
        <w:tc>
          <w:tcPr>
            <w:tcW w:w="446" w:type="pct"/>
            <w:noWrap/>
            <w:hideMark/>
          </w:tcPr>
          <w:p w14:paraId="6A50CA3A" w14:textId="77777777" w:rsidR="00120717" w:rsidRPr="007A4ECB" w:rsidRDefault="00120717" w:rsidP="00BF60A8">
            <w:pPr>
              <w:ind w:right="113"/>
              <w:jc w:val="right"/>
              <w:rPr>
                <w:color w:val="000000"/>
                <w:sz w:val="16"/>
                <w:szCs w:val="16"/>
              </w:rPr>
            </w:pPr>
            <w:r w:rsidRPr="007A4ECB">
              <w:rPr>
                <w:color w:val="000000"/>
                <w:sz w:val="16"/>
                <w:szCs w:val="16"/>
              </w:rPr>
              <w:t>71.5</w:t>
            </w:r>
          </w:p>
        </w:tc>
        <w:tc>
          <w:tcPr>
            <w:tcW w:w="446" w:type="pct"/>
            <w:noWrap/>
            <w:hideMark/>
          </w:tcPr>
          <w:p w14:paraId="386AF035" w14:textId="77777777" w:rsidR="00120717" w:rsidRPr="007A4ECB" w:rsidRDefault="00120717" w:rsidP="00BF60A8">
            <w:pPr>
              <w:ind w:right="113"/>
              <w:jc w:val="right"/>
              <w:rPr>
                <w:color w:val="000000"/>
                <w:sz w:val="16"/>
                <w:szCs w:val="16"/>
              </w:rPr>
            </w:pPr>
            <w:r w:rsidRPr="007A4ECB">
              <w:rPr>
                <w:color w:val="000000"/>
                <w:sz w:val="16"/>
                <w:szCs w:val="16"/>
              </w:rPr>
              <w:t>70.8</w:t>
            </w:r>
          </w:p>
        </w:tc>
        <w:tc>
          <w:tcPr>
            <w:tcW w:w="446" w:type="pct"/>
            <w:noWrap/>
            <w:hideMark/>
          </w:tcPr>
          <w:p w14:paraId="798DF29F" w14:textId="77777777" w:rsidR="00120717" w:rsidRPr="007A4ECB" w:rsidRDefault="00120717" w:rsidP="00BF60A8">
            <w:pPr>
              <w:ind w:right="113"/>
              <w:jc w:val="right"/>
              <w:rPr>
                <w:color w:val="000000"/>
                <w:sz w:val="16"/>
                <w:szCs w:val="16"/>
              </w:rPr>
            </w:pPr>
            <w:r w:rsidRPr="007A4ECB">
              <w:rPr>
                <w:color w:val="000000"/>
                <w:sz w:val="16"/>
                <w:szCs w:val="16"/>
              </w:rPr>
              <w:t>72.8</w:t>
            </w:r>
          </w:p>
        </w:tc>
        <w:tc>
          <w:tcPr>
            <w:tcW w:w="441" w:type="pct"/>
            <w:noWrap/>
            <w:hideMark/>
          </w:tcPr>
          <w:p w14:paraId="55A1C801" w14:textId="77777777" w:rsidR="00120717" w:rsidRPr="007A4ECB" w:rsidRDefault="00120717" w:rsidP="00BF60A8">
            <w:pPr>
              <w:ind w:right="113"/>
              <w:jc w:val="right"/>
              <w:rPr>
                <w:color w:val="000000"/>
                <w:sz w:val="16"/>
                <w:szCs w:val="16"/>
              </w:rPr>
            </w:pPr>
            <w:r w:rsidRPr="007A4ECB">
              <w:rPr>
                <w:color w:val="000000"/>
                <w:sz w:val="16"/>
                <w:szCs w:val="16"/>
              </w:rPr>
              <w:t>72.6</w:t>
            </w:r>
          </w:p>
        </w:tc>
      </w:tr>
    </w:tbl>
    <w:p w14:paraId="42395C07" w14:textId="77777777" w:rsidR="00120717" w:rsidRPr="00B93EE1" w:rsidRDefault="00120717" w:rsidP="006B1D61">
      <w:pPr>
        <w:pStyle w:val="NoteText"/>
        <w:spacing w:before="120"/>
      </w:pPr>
      <w:r w:rsidRPr="00B93EE1">
        <w:t>a</w:t>
      </w:r>
      <w:r w:rsidRPr="00B93EE1">
        <w:tab/>
        <w:t xml:space="preserve">Commonwealth of </w:t>
      </w:r>
      <w:r w:rsidRPr="00B93EE1">
        <w:rPr>
          <w:lang w:eastAsia="en-GB"/>
        </w:rPr>
        <w:t>Independent</w:t>
      </w:r>
      <w:r w:rsidRPr="00B93EE1">
        <w:t xml:space="preserve"> States, including certain associate and former member States.</w:t>
      </w:r>
    </w:p>
    <w:p w14:paraId="2D8C4E7D" w14:textId="77777777" w:rsidR="00120717" w:rsidRPr="00B93EE1" w:rsidRDefault="00120717" w:rsidP="006B1D61">
      <w:pPr>
        <w:pStyle w:val="NoteText"/>
        <w:spacing w:before="120"/>
      </w:pPr>
      <w:r w:rsidRPr="00B93EE1">
        <w:t>Source:</w:t>
      </w:r>
      <w:r w:rsidRPr="00B93EE1">
        <w:tab/>
        <w:t xml:space="preserve">WTO Secretariat </w:t>
      </w:r>
      <w:r w:rsidRPr="00B93EE1">
        <w:rPr>
          <w:lang w:eastAsia="en-GB"/>
        </w:rPr>
        <w:t>calculations</w:t>
      </w:r>
      <w:r w:rsidRPr="00B93EE1">
        <w:t>, based on UN Comtrade database.</w:t>
      </w:r>
    </w:p>
    <w:p w14:paraId="7AABD1FF" w14:textId="77777777" w:rsidR="00120717" w:rsidRPr="00B93EE1" w:rsidRDefault="00120717" w:rsidP="009D5168"/>
    <w:p w14:paraId="2CA41382" w14:textId="77777777" w:rsidR="00120717" w:rsidRPr="00B93EE1" w:rsidRDefault="00120717" w:rsidP="009D5168">
      <w:pPr>
        <w:sectPr w:rsidR="00120717" w:rsidRPr="00B93EE1" w:rsidSect="003D7746">
          <w:footnotePr>
            <w:numRestart w:val="eachSect"/>
          </w:footnotePr>
          <w:pgSz w:w="11906" w:h="16838" w:code="9"/>
          <w:pgMar w:top="1701" w:right="1440" w:bottom="1440" w:left="1440" w:header="720" w:footer="720" w:gutter="0"/>
          <w:cols w:space="720"/>
          <w:docGrid w:linePitch="360"/>
        </w:sectPr>
      </w:pPr>
    </w:p>
    <w:p w14:paraId="2D8D1D0C" w14:textId="632EE8AC" w:rsidR="00120717" w:rsidRPr="00B93EE1" w:rsidRDefault="00DE713E" w:rsidP="00DE713E">
      <w:pPr>
        <w:pStyle w:val="Caption"/>
      </w:pPr>
      <w:bookmarkStart w:id="262" w:name="_Toc97743451"/>
      <w:r>
        <w:lastRenderedPageBreak/>
        <w:t>Table A2.</w:t>
      </w:r>
      <w:r w:rsidR="0012793B">
        <w:fldChar w:fldCharType="begin"/>
      </w:r>
      <w:r w:rsidR="0012793B">
        <w:instrText xml:space="preserve"> SEQ Table_A2. \* ARABIC </w:instrText>
      </w:r>
      <w:r w:rsidR="0012793B">
        <w:fldChar w:fldCharType="separate"/>
      </w:r>
      <w:r>
        <w:rPr>
          <w:noProof/>
        </w:rPr>
        <w:t>1</w:t>
      </w:r>
      <w:r w:rsidR="0012793B">
        <w:rPr>
          <w:noProof/>
        </w:rPr>
        <w:fldChar w:fldCharType="end"/>
      </w:r>
      <w:r w:rsidR="00120717" w:rsidRPr="00B93EE1">
        <w:t xml:space="preserve"> Selected notifications to the WTO, 1 January 2015 to 31 December 2021</w:t>
      </w:r>
      <w:bookmarkEnd w:id="262"/>
    </w:p>
    <w:tbl>
      <w:tblPr>
        <w:tblStyle w:val="WTOTable1"/>
        <w:tblW w:w="0" w:type="auto"/>
        <w:tblBorders>
          <w:insideH w:val="single" w:sz="4" w:space="0" w:color="auto"/>
        </w:tblBorders>
        <w:tblLayout w:type="fixed"/>
        <w:tblCellMar>
          <w:left w:w="57" w:type="dxa"/>
          <w:right w:w="57" w:type="dxa"/>
        </w:tblCellMar>
        <w:tblLook w:val="04A0" w:firstRow="1" w:lastRow="0" w:firstColumn="1" w:lastColumn="0" w:noHBand="0" w:noVBand="1"/>
      </w:tblPr>
      <w:tblGrid>
        <w:gridCol w:w="2263"/>
        <w:gridCol w:w="2268"/>
        <w:gridCol w:w="1584"/>
        <w:gridCol w:w="2901"/>
      </w:tblGrid>
      <w:tr w:rsidR="00120717" w:rsidRPr="00B93EE1" w14:paraId="5066D97A" w14:textId="77777777" w:rsidTr="00F62DB6">
        <w:trPr>
          <w:cnfStyle w:val="100000000000" w:firstRow="1" w:lastRow="0" w:firstColumn="0" w:lastColumn="0" w:oddVBand="0" w:evenVBand="0" w:oddHBand="0" w:evenHBand="0" w:firstRowFirstColumn="0" w:firstRowLastColumn="0" w:lastRowFirstColumn="0" w:lastRowLastColumn="0"/>
          <w:cantSplit/>
          <w:tblHeader/>
        </w:trPr>
        <w:tc>
          <w:tcPr>
            <w:tcW w:w="2263" w:type="dxa"/>
            <w:vAlign w:val="center"/>
            <w:hideMark/>
          </w:tcPr>
          <w:p w14:paraId="19A01F64" w14:textId="77777777" w:rsidR="00120717" w:rsidRPr="00B93EE1" w:rsidRDefault="00120717" w:rsidP="00075C8B">
            <w:pPr>
              <w:jc w:val="left"/>
              <w:rPr>
                <w:bCs/>
                <w:sz w:val="16"/>
                <w:szCs w:val="16"/>
              </w:rPr>
            </w:pPr>
            <w:r w:rsidRPr="00B93EE1">
              <w:rPr>
                <w:bCs/>
                <w:sz w:val="16"/>
                <w:szCs w:val="16"/>
              </w:rPr>
              <w:t>Agreement</w:t>
            </w:r>
          </w:p>
        </w:tc>
        <w:tc>
          <w:tcPr>
            <w:tcW w:w="2268" w:type="dxa"/>
            <w:vAlign w:val="center"/>
            <w:hideMark/>
          </w:tcPr>
          <w:p w14:paraId="2EE1047D" w14:textId="77777777" w:rsidR="00120717" w:rsidRPr="00B93EE1" w:rsidRDefault="00120717" w:rsidP="00075C8B">
            <w:pPr>
              <w:jc w:val="left"/>
              <w:rPr>
                <w:bCs/>
                <w:sz w:val="16"/>
                <w:szCs w:val="16"/>
              </w:rPr>
            </w:pPr>
            <w:r w:rsidRPr="00B93EE1">
              <w:rPr>
                <w:bCs/>
                <w:sz w:val="16"/>
                <w:szCs w:val="16"/>
              </w:rPr>
              <w:t>Description</w:t>
            </w:r>
          </w:p>
        </w:tc>
        <w:tc>
          <w:tcPr>
            <w:tcW w:w="1584" w:type="dxa"/>
            <w:vAlign w:val="center"/>
            <w:hideMark/>
          </w:tcPr>
          <w:p w14:paraId="0975FBFE" w14:textId="77777777" w:rsidR="00120717" w:rsidRPr="00B93EE1" w:rsidRDefault="00120717" w:rsidP="00075C8B">
            <w:pPr>
              <w:jc w:val="left"/>
              <w:rPr>
                <w:bCs/>
                <w:sz w:val="16"/>
                <w:szCs w:val="16"/>
              </w:rPr>
            </w:pPr>
            <w:r w:rsidRPr="00B93EE1">
              <w:rPr>
                <w:bCs/>
                <w:sz w:val="16"/>
                <w:szCs w:val="16"/>
              </w:rPr>
              <w:t>Periodicity</w:t>
            </w:r>
          </w:p>
        </w:tc>
        <w:tc>
          <w:tcPr>
            <w:tcW w:w="2901" w:type="dxa"/>
            <w:vAlign w:val="center"/>
            <w:hideMark/>
          </w:tcPr>
          <w:p w14:paraId="0E50E4D1" w14:textId="77777777" w:rsidR="00120717" w:rsidRPr="00B93EE1" w:rsidRDefault="00120717" w:rsidP="00075C8B">
            <w:pPr>
              <w:jc w:val="left"/>
              <w:rPr>
                <w:bCs/>
                <w:sz w:val="16"/>
                <w:szCs w:val="16"/>
              </w:rPr>
            </w:pPr>
            <w:r w:rsidRPr="00B93EE1">
              <w:rPr>
                <w:bCs/>
                <w:sz w:val="16"/>
                <w:szCs w:val="16"/>
              </w:rPr>
              <w:t>WTO documents (most recent if submitted periodically)</w:t>
            </w:r>
          </w:p>
        </w:tc>
      </w:tr>
      <w:tr w:rsidR="00120717" w:rsidRPr="00B93EE1" w14:paraId="0A35B3A4" w14:textId="77777777" w:rsidTr="00075C8B">
        <w:trPr>
          <w:cantSplit/>
        </w:trPr>
        <w:tc>
          <w:tcPr>
            <w:tcW w:w="9016" w:type="dxa"/>
            <w:gridSpan w:val="4"/>
            <w:shd w:val="clear" w:color="auto" w:fill="auto"/>
            <w:hideMark/>
          </w:tcPr>
          <w:p w14:paraId="14B1F5F7" w14:textId="77777777" w:rsidR="00120717" w:rsidRPr="00B93EE1" w:rsidRDefault="00120717" w:rsidP="00075C8B">
            <w:pPr>
              <w:jc w:val="left"/>
              <w:rPr>
                <w:b/>
                <w:bCs/>
                <w:sz w:val="16"/>
                <w:szCs w:val="16"/>
                <w:highlight w:val="cyan"/>
              </w:rPr>
            </w:pPr>
            <w:r w:rsidRPr="00B93EE1">
              <w:rPr>
                <w:b/>
                <w:bCs/>
                <w:sz w:val="16"/>
                <w:szCs w:val="16"/>
              </w:rPr>
              <w:t>Agreement on Agriculture</w:t>
            </w:r>
          </w:p>
        </w:tc>
      </w:tr>
      <w:tr w:rsidR="00120717" w:rsidRPr="00B93EE1" w14:paraId="2D0678C8"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hideMark/>
          </w:tcPr>
          <w:p w14:paraId="493942D0" w14:textId="77777777" w:rsidR="00120717" w:rsidRPr="00B93EE1" w:rsidRDefault="00120717" w:rsidP="00075C8B">
            <w:pPr>
              <w:jc w:val="left"/>
              <w:rPr>
                <w:sz w:val="16"/>
                <w:szCs w:val="16"/>
              </w:rPr>
            </w:pPr>
            <w:r w:rsidRPr="00B93EE1">
              <w:rPr>
                <w:sz w:val="16"/>
                <w:szCs w:val="16"/>
              </w:rPr>
              <w:t>Articles 10 and 18.2 (ES:1, ES:2)</w:t>
            </w:r>
          </w:p>
        </w:tc>
        <w:tc>
          <w:tcPr>
            <w:tcW w:w="2268" w:type="dxa"/>
            <w:hideMark/>
          </w:tcPr>
          <w:p w14:paraId="34C51428" w14:textId="77777777" w:rsidR="00120717" w:rsidRPr="00B93EE1" w:rsidRDefault="00120717" w:rsidP="00075C8B">
            <w:pPr>
              <w:jc w:val="left"/>
              <w:rPr>
                <w:sz w:val="16"/>
                <w:szCs w:val="16"/>
              </w:rPr>
            </w:pPr>
            <w:r w:rsidRPr="00B93EE1">
              <w:rPr>
                <w:sz w:val="16"/>
                <w:szCs w:val="16"/>
              </w:rPr>
              <w:t>Export subsidies</w:t>
            </w:r>
          </w:p>
        </w:tc>
        <w:tc>
          <w:tcPr>
            <w:tcW w:w="1584" w:type="dxa"/>
            <w:hideMark/>
          </w:tcPr>
          <w:p w14:paraId="07A32045" w14:textId="77777777" w:rsidR="00120717" w:rsidRPr="00B93EE1" w:rsidRDefault="00120717" w:rsidP="00075C8B">
            <w:pPr>
              <w:jc w:val="left"/>
              <w:rPr>
                <w:sz w:val="16"/>
                <w:szCs w:val="16"/>
              </w:rPr>
            </w:pPr>
            <w:r w:rsidRPr="00B93EE1">
              <w:rPr>
                <w:sz w:val="16"/>
                <w:szCs w:val="16"/>
              </w:rPr>
              <w:t>Annual</w:t>
            </w:r>
          </w:p>
        </w:tc>
        <w:tc>
          <w:tcPr>
            <w:tcW w:w="2901" w:type="dxa"/>
          </w:tcPr>
          <w:p w14:paraId="1819B376" w14:textId="77777777" w:rsidR="00120717" w:rsidRPr="00B93EE1" w:rsidRDefault="00120717" w:rsidP="00075C8B">
            <w:pPr>
              <w:jc w:val="left"/>
              <w:rPr>
                <w:sz w:val="16"/>
                <w:szCs w:val="16"/>
              </w:rPr>
            </w:pPr>
            <w:r w:rsidRPr="00B93EE1">
              <w:rPr>
                <w:sz w:val="16"/>
                <w:szCs w:val="16"/>
              </w:rPr>
              <w:t>G/AG/N/NZL/127, 03/08/2021</w:t>
            </w:r>
          </w:p>
        </w:tc>
      </w:tr>
      <w:tr w:rsidR="00120717" w:rsidRPr="00B93EE1" w14:paraId="640B3BF6" w14:textId="77777777" w:rsidTr="00075C8B">
        <w:trPr>
          <w:cantSplit/>
        </w:trPr>
        <w:tc>
          <w:tcPr>
            <w:tcW w:w="2263" w:type="dxa"/>
            <w:shd w:val="clear" w:color="auto" w:fill="C9DED4"/>
            <w:hideMark/>
          </w:tcPr>
          <w:p w14:paraId="6C544BFF" w14:textId="77777777" w:rsidR="00120717" w:rsidRPr="00B93EE1" w:rsidRDefault="00120717" w:rsidP="00075C8B">
            <w:pPr>
              <w:jc w:val="left"/>
              <w:rPr>
                <w:sz w:val="16"/>
                <w:szCs w:val="16"/>
              </w:rPr>
            </w:pPr>
            <w:r w:rsidRPr="00B93EE1">
              <w:rPr>
                <w:sz w:val="16"/>
                <w:szCs w:val="16"/>
              </w:rPr>
              <w:t>Article 18.2 (DS:1)</w:t>
            </w:r>
          </w:p>
        </w:tc>
        <w:tc>
          <w:tcPr>
            <w:tcW w:w="2268" w:type="dxa"/>
            <w:shd w:val="clear" w:color="auto" w:fill="C9DED4"/>
            <w:hideMark/>
          </w:tcPr>
          <w:p w14:paraId="78F47071" w14:textId="77777777" w:rsidR="00120717" w:rsidRPr="00B93EE1" w:rsidRDefault="00120717" w:rsidP="00075C8B">
            <w:pPr>
              <w:jc w:val="left"/>
              <w:rPr>
                <w:sz w:val="16"/>
                <w:szCs w:val="16"/>
              </w:rPr>
            </w:pPr>
            <w:r w:rsidRPr="00B93EE1">
              <w:rPr>
                <w:sz w:val="16"/>
                <w:szCs w:val="16"/>
              </w:rPr>
              <w:t>Domestic support</w:t>
            </w:r>
          </w:p>
        </w:tc>
        <w:tc>
          <w:tcPr>
            <w:tcW w:w="1584" w:type="dxa"/>
            <w:shd w:val="clear" w:color="auto" w:fill="C9DED4"/>
            <w:hideMark/>
          </w:tcPr>
          <w:p w14:paraId="548A942A" w14:textId="77777777" w:rsidR="00120717" w:rsidRPr="00B93EE1" w:rsidRDefault="00120717" w:rsidP="00075C8B">
            <w:pPr>
              <w:jc w:val="left"/>
              <w:rPr>
                <w:sz w:val="16"/>
                <w:szCs w:val="16"/>
              </w:rPr>
            </w:pPr>
            <w:r w:rsidRPr="00B93EE1">
              <w:rPr>
                <w:sz w:val="16"/>
                <w:szCs w:val="16"/>
              </w:rPr>
              <w:t>Annual</w:t>
            </w:r>
          </w:p>
        </w:tc>
        <w:tc>
          <w:tcPr>
            <w:tcW w:w="2901" w:type="dxa"/>
            <w:shd w:val="clear" w:color="auto" w:fill="C9DED4"/>
          </w:tcPr>
          <w:p w14:paraId="6362E580" w14:textId="77777777" w:rsidR="00120717" w:rsidRPr="00B93EE1" w:rsidRDefault="00120717" w:rsidP="00075C8B">
            <w:pPr>
              <w:jc w:val="left"/>
              <w:rPr>
                <w:sz w:val="16"/>
                <w:szCs w:val="16"/>
              </w:rPr>
            </w:pPr>
            <w:r w:rsidRPr="00B93EE1">
              <w:rPr>
                <w:sz w:val="16"/>
                <w:szCs w:val="16"/>
              </w:rPr>
              <w:t>G/AG/N/NZL/126, 26/02/2021</w:t>
            </w:r>
          </w:p>
        </w:tc>
      </w:tr>
      <w:tr w:rsidR="00120717" w:rsidRPr="00B93EE1" w14:paraId="2FF91446"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hideMark/>
          </w:tcPr>
          <w:p w14:paraId="1E082BC1" w14:textId="77777777" w:rsidR="00120717" w:rsidRPr="00B93EE1" w:rsidRDefault="00120717" w:rsidP="00075C8B">
            <w:pPr>
              <w:jc w:val="left"/>
              <w:rPr>
                <w:sz w:val="16"/>
                <w:szCs w:val="16"/>
              </w:rPr>
            </w:pPr>
            <w:r w:rsidRPr="00B93EE1">
              <w:rPr>
                <w:sz w:val="16"/>
                <w:szCs w:val="16"/>
              </w:rPr>
              <w:t>Article 18.2 (MA:2)</w:t>
            </w:r>
          </w:p>
        </w:tc>
        <w:tc>
          <w:tcPr>
            <w:tcW w:w="2268" w:type="dxa"/>
            <w:hideMark/>
          </w:tcPr>
          <w:p w14:paraId="3A83475B" w14:textId="77777777" w:rsidR="00120717" w:rsidRPr="00B93EE1" w:rsidRDefault="00120717" w:rsidP="00075C8B">
            <w:pPr>
              <w:jc w:val="left"/>
              <w:rPr>
                <w:sz w:val="16"/>
                <w:szCs w:val="16"/>
              </w:rPr>
            </w:pPr>
            <w:r w:rsidRPr="00B93EE1">
              <w:rPr>
                <w:sz w:val="16"/>
                <w:szCs w:val="16"/>
              </w:rPr>
              <w:t>Tariff and other quota commitments</w:t>
            </w:r>
          </w:p>
        </w:tc>
        <w:tc>
          <w:tcPr>
            <w:tcW w:w="1584" w:type="dxa"/>
            <w:hideMark/>
          </w:tcPr>
          <w:p w14:paraId="59554965" w14:textId="77777777" w:rsidR="00120717" w:rsidRPr="00B93EE1" w:rsidRDefault="00120717" w:rsidP="00075C8B">
            <w:pPr>
              <w:jc w:val="left"/>
              <w:rPr>
                <w:sz w:val="16"/>
                <w:szCs w:val="16"/>
              </w:rPr>
            </w:pPr>
            <w:r w:rsidRPr="00B93EE1">
              <w:rPr>
                <w:sz w:val="16"/>
                <w:szCs w:val="16"/>
              </w:rPr>
              <w:t>Annual</w:t>
            </w:r>
          </w:p>
        </w:tc>
        <w:tc>
          <w:tcPr>
            <w:tcW w:w="2901" w:type="dxa"/>
          </w:tcPr>
          <w:p w14:paraId="37ED91A4" w14:textId="77777777" w:rsidR="00120717" w:rsidRPr="00B93EE1" w:rsidRDefault="00120717" w:rsidP="00075C8B">
            <w:pPr>
              <w:jc w:val="left"/>
              <w:rPr>
                <w:sz w:val="16"/>
                <w:szCs w:val="16"/>
              </w:rPr>
            </w:pPr>
            <w:r w:rsidRPr="00B93EE1">
              <w:rPr>
                <w:sz w:val="16"/>
                <w:szCs w:val="16"/>
              </w:rPr>
              <w:t>G/AG/N/NZL/124, 26/02/2021</w:t>
            </w:r>
          </w:p>
        </w:tc>
      </w:tr>
      <w:tr w:rsidR="00120717" w:rsidRPr="00B93EE1" w14:paraId="27105BF3" w14:textId="77777777" w:rsidTr="00075C8B">
        <w:trPr>
          <w:cantSplit/>
        </w:trPr>
        <w:tc>
          <w:tcPr>
            <w:tcW w:w="2263" w:type="dxa"/>
            <w:shd w:val="clear" w:color="auto" w:fill="C9DED4"/>
          </w:tcPr>
          <w:p w14:paraId="018B9727" w14:textId="77777777" w:rsidR="00120717" w:rsidRPr="00B93EE1" w:rsidRDefault="00120717" w:rsidP="00075C8B">
            <w:pPr>
              <w:jc w:val="left"/>
              <w:rPr>
                <w:sz w:val="16"/>
                <w:szCs w:val="16"/>
              </w:rPr>
            </w:pPr>
            <w:r w:rsidRPr="00B93EE1">
              <w:rPr>
                <w:sz w:val="16"/>
                <w:szCs w:val="16"/>
              </w:rPr>
              <w:t>Article 18.3 (DS:2)</w:t>
            </w:r>
          </w:p>
        </w:tc>
        <w:tc>
          <w:tcPr>
            <w:tcW w:w="2268" w:type="dxa"/>
            <w:shd w:val="clear" w:color="auto" w:fill="C9DED4"/>
          </w:tcPr>
          <w:p w14:paraId="63325ED9" w14:textId="77777777" w:rsidR="00120717" w:rsidRPr="00B93EE1" w:rsidRDefault="00120717" w:rsidP="00075C8B">
            <w:pPr>
              <w:jc w:val="left"/>
              <w:rPr>
                <w:sz w:val="16"/>
                <w:szCs w:val="16"/>
              </w:rPr>
            </w:pPr>
            <w:r w:rsidRPr="00B93EE1">
              <w:rPr>
                <w:sz w:val="16"/>
                <w:szCs w:val="16"/>
              </w:rPr>
              <w:t>New or modified domestic support measures exempt from reduction</w:t>
            </w:r>
          </w:p>
        </w:tc>
        <w:tc>
          <w:tcPr>
            <w:tcW w:w="1584" w:type="dxa"/>
            <w:shd w:val="clear" w:color="auto" w:fill="C9DED4"/>
          </w:tcPr>
          <w:p w14:paraId="1E6DA711" w14:textId="77777777" w:rsidR="00120717" w:rsidRPr="00B93EE1" w:rsidRDefault="00120717" w:rsidP="00075C8B">
            <w:pPr>
              <w:jc w:val="left"/>
              <w:rPr>
                <w:sz w:val="16"/>
                <w:szCs w:val="16"/>
              </w:rPr>
            </w:pPr>
            <w:r w:rsidRPr="00B93EE1">
              <w:rPr>
                <w:i/>
                <w:sz w:val="16"/>
                <w:szCs w:val="16"/>
              </w:rPr>
              <w:t>Ad hoc</w:t>
            </w:r>
          </w:p>
        </w:tc>
        <w:tc>
          <w:tcPr>
            <w:tcW w:w="2901" w:type="dxa"/>
            <w:shd w:val="clear" w:color="auto" w:fill="C9DED4"/>
          </w:tcPr>
          <w:p w14:paraId="6FAEFC42" w14:textId="77777777" w:rsidR="00120717" w:rsidRPr="00B93EE1" w:rsidRDefault="00120717" w:rsidP="00075C8B">
            <w:pPr>
              <w:jc w:val="left"/>
              <w:rPr>
                <w:sz w:val="16"/>
                <w:szCs w:val="16"/>
              </w:rPr>
            </w:pPr>
            <w:r w:rsidRPr="00B93EE1">
              <w:rPr>
                <w:sz w:val="16"/>
                <w:szCs w:val="16"/>
              </w:rPr>
              <w:t>G/AG/N/NZL/122, 22/09/2020</w:t>
            </w:r>
          </w:p>
        </w:tc>
      </w:tr>
      <w:tr w:rsidR="00120717" w:rsidRPr="00B93EE1" w14:paraId="3202BE18"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hideMark/>
          </w:tcPr>
          <w:p w14:paraId="39A44960" w14:textId="77777777" w:rsidR="00120717" w:rsidRPr="00B93EE1" w:rsidRDefault="00120717" w:rsidP="00075C8B">
            <w:pPr>
              <w:jc w:val="left"/>
              <w:rPr>
                <w:sz w:val="16"/>
                <w:szCs w:val="16"/>
              </w:rPr>
            </w:pPr>
            <w:r w:rsidRPr="00B93EE1">
              <w:rPr>
                <w:sz w:val="16"/>
                <w:szCs w:val="16"/>
              </w:rPr>
              <w:t>Articles 5.7 and 18.2 (MA:5)</w:t>
            </w:r>
          </w:p>
        </w:tc>
        <w:tc>
          <w:tcPr>
            <w:tcW w:w="2268" w:type="dxa"/>
            <w:hideMark/>
          </w:tcPr>
          <w:p w14:paraId="6E9FC861" w14:textId="77777777" w:rsidR="00120717" w:rsidRPr="00B93EE1" w:rsidRDefault="00120717" w:rsidP="00075C8B">
            <w:pPr>
              <w:jc w:val="left"/>
              <w:rPr>
                <w:sz w:val="16"/>
                <w:szCs w:val="16"/>
              </w:rPr>
            </w:pPr>
            <w:r w:rsidRPr="00B93EE1">
              <w:rPr>
                <w:sz w:val="16"/>
                <w:szCs w:val="16"/>
              </w:rPr>
              <w:t>Special safeguard provisions</w:t>
            </w:r>
          </w:p>
        </w:tc>
        <w:tc>
          <w:tcPr>
            <w:tcW w:w="1584" w:type="dxa"/>
            <w:hideMark/>
          </w:tcPr>
          <w:p w14:paraId="02D72FA5" w14:textId="77777777" w:rsidR="00120717" w:rsidRPr="00B93EE1" w:rsidRDefault="00120717" w:rsidP="00075C8B">
            <w:pPr>
              <w:jc w:val="left"/>
              <w:rPr>
                <w:sz w:val="16"/>
                <w:szCs w:val="16"/>
              </w:rPr>
            </w:pPr>
            <w:r w:rsidRPr="00B93EE1">
              <w:rPr>
                <w:sz w:val="16"/>
                <w:szCs w:val="16"/>
              </w:rPr>
              <w:t>Annual</w:t>
            </w:r>
          </w:p>
        </w:tc>
        <w:tc>
          <w:tcPr>
            <w:tcW w:w="2901" w:type="dxa"/>
          </w:tcPr>
          <w:p w14:paraId="144B90E8" w14:textId="77777777" w:rsidR="00120717" w:rsidRPr="00B93EE1" w:rsidRDefault="00120717" w:rsidP="00075C8B">
            <w:pPr>
              <w:jc w:val="left"/>
              <w:rPr>
                <w:sz w:val="16"/>
                <w:szCs w:val="16"/>
              </w:rPr>
            </w:pPr>
            <w:r w:rsidRPr="00B93EE1">
              <w:rPr>
                <w:sz w:val="16"/>
                <w:szCs w:val="16"/>
              </w:rPr>
              <w:t>G/AG/N/NZL/125, 26/02/2021</w:t>
            </w:r>
          </w:p>
        </w:tc>
      </w:tr>
      <w:tr w:rsidR="00120717" w:rsidRPr="00B93EE1" w14:paraId="33DDAAB3" w14:textId="77777777" w:rsidTr="00075C8B">
        <w:trPr>
          <w:cantSplit/>
        </w:trPr>
        <w:tc>
          <w:tcPr>
            <w:tcW w:w="2263" w:type="dxa"/>
            <w:shd w:val="clear" w:color="auto" w:fill="C9DED4"/>
          </w:tcPr>
          <w:p w14:paraId="2E4376D6" w14:textId="603897FF" w:rsidR="00120717" w:rsidRPr="00B93EE1" w:rsidRDefault="00120717" w:rsidP="00075C8B">
            <w:pPr>
              <w:jc w:val="left"/>
              <w:rPr>
                <w:sz w:val="16"/>
                <w:szCs w:val="16"/>
              </w:rPr>
            </w:pPr>
            <w:r w:rsidRPr="00B93EE1">
              <w:rPr>
                <w:sz w:val="16"/>
                <w:szCs w:val="16"/>
              </w:rPr>
              <w:t>Article</w:t>
            </w:r>
            <w:r w:rsidR="00A56655">
              <w:rPr>
                <w:sz w:val="16"/>
                <w:szCs w:val="16"/>
              </w:rPr>
              <w:t> </w:t>
            </w:r>
            <w:r w:rsidRPr="00B93EE1">
              <w:rPr>
                <w:sz w:val="16"/>
                <w:szCs w:val="16"/>
              </w:rPr>
              <w:t>16.2</w:t>
            </w:r>
          </w:p>
        </w:tc>
        <w:tc>
          <w:tcPr>
            <w:tcW w:w="2268" w:type="dxa"/>
            <w:shd w:val="clear" w:color="auto" w:fill="C9DED4"/>
          </w:tcPr>
          <w:p w14:paraId="6D32BA98" w14:textId="77777777" w:rsidR="00120717" w:rsidRPr="00B93EE1" w:rsidRDefault="00120717" w:rsidP="00075C8B">
            <w:pPr>
              <w:jc w:val="left"/>
              <w:rPr>
                <w:sz w:val="16"/>
                <w:szCs w:val="16"/>
              </w:rPr>
            </w:pPr>
            <w:r w:rsidRPr="00B93EE1">
              <w:rPr>
                <w:sz w:val="16"/>
                <w:szCs w:val="16"/>
              </w:rPr>
              <w:t>Measures concerning the possible negative effects of the reform programme on least developed and net food importing developing countries</w:t>
            </w:r>
          </w:p>
        </w:tc>
        <w:tc>
          <w:tcPr>
            <w:tcW w:w="1584" w:type="dxa"/>
            <w:shd w:val="clear" w:color="auto" w:fill="C9DED4"/>
          </w:tcPr>
          <w:p w14:paraId="4E2D44AA" w14:textId="77777777" w:rsidR="00120717" w:rsidRPr="00B93EE1" w:rsidRDefault="00120717" w:rsidP="00075C8B">
            <w:pPr>
              <w:jc w:val="left"/>
              <w:rPr>
                <w:sz w:val="16"/>
                <w:szCs w:val="16"/>
              </w:rPr>
            </w:pPr>
            <w:r w:rsidRPr="00B93EE1">
              <w:rPr>
                <w:sz w:val="16"/>
                <w:szCs w:val="16"/>
              </w:rPr>
              <w:t>Annual</w:t>
            </w:r>
          </w:p>
        </w:tc>
        <w:tc>
          <w:tcPr>
            <w:tcW w:w="2901" w:type="dxa"/>
            <w:shd w:val="clear" w:color="auto" w:fill="C9DED4"/>
          </w:tcPr>
          <w:p w14:paraId="39B019E1" w14:textId="77777777" w:rsidR="00120717" w:rsidRPr="00B93EE1" w:rsidRDefault="00120717" w:rsidP="00075C8B">
            <w:pPr>
              <w:jc w:val="left"/>
              <w:rPr>
                <w:sz w:val="16"/>
                <w:szCs w:val="16"/>
              </w:rPr>
            </w:pPr>
            <w:r w:rsidRPr="00B93EE1">
              <w:rPr>
                <w:sz w:val="16"/>
                <w:szCs w:val="16"/>
              </w:rPr>
              <w:t>G/AG/N/NZL/128, 06/10/2021</w:t>
            </w:r>
          </w:p>
        </w:tc>
      </w:tr>
      <w:tr w:rsidR="00120717" w:rsidRPr="00B93EE1" w14:paraId="10645B11"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9016" w:type="dxa"/>
            <w:gridSpan w:val="4"/>
            <w:shd w:val="clear" w:color="auto" w:fill="FFFFFF" w:themeFill="background1"/>
          </w:tcPr>
          <w:p w14:paraId="59EA6653" w14:textId="77777777" w:rsidR="00120717" w:rsidRPr="00B93EE1" w:rsidRDefault="00120717" w:rsidP="00075C8B">
            <w:pPr>
              <w:jc w:val="left"/>
              <w:rPr>
                <w:sz w:val="16"/>
                <w:szCs w:val="16"/>
              </w:rPr>
            </w:pPr>
            <w:r w:rsidRPr="00B93EE1">
              <w:rPr>
                <w:b/>
                <w:sz w:val="16"/>
                <w:szCs w:val="16"/>
              </w:rPr>
              <w:t>Agreement on Implementation of Article VI of the GATT 1994 (Anti-Dumping Agreement)</w:t>
            </w:r>
          </w:p>
        </w:tc>
      </w:tr>
      <w:tr w:rsidR="00120717" w:rsidRPr="00B93EE1" w14:paraId="5D299A48" w14:textId="77777777" w:rsidTr="00075C8B">
        <w:trPr>
          <w:cantSplit/>
        </w:trPr>
        <w:tc>
          <w:tcPr>
            <w:tcW w:w="2263" w:type="dxa"/>
            <w:shd w:val="clear" w:color="auto" w:fill="C9DED4"/>
          </w:tcPr>
          <w:p w14:paraId="750657A4" w14:textId="77777777" w:rsidR="00120717" w:rsidRPr="00B93EE1" w:rsidRDefault="00120717" w:rsidP="00075C8B">
            <w:pPr>
              <w:jc w:val="left"/>
              <w:rPr>
                <w:sz w:val="16"/>
                <w:szCs w:val="16"/>
              </w:rPr>
            </w:pPr>
            <w:r w:rsidRPr="00B93EE1">
              <w:rPr>
                <w:sz w:val="16"/>
                <w:szCs w:val="16"/>
              </w:rPr>
              <w:t>Article 16.4</w:t>
            </w:r>
          </w:p>
        </w:tc>
        <w:tc>
          <w:tcPr>
            <w:tcW w:w="2268" w:type="dxa"/>
            <w:shd w:val="clear" w:color="auto" w:fill="C9DED4"/>
          </w:tcPr>
          <w:p w14:paraId="0F5D1ED3" w14:textId="77777777" w:rsidR="00120717" w:rsidRPr="00B93EE1" w:rsidRDefault="00120717" w:rsidP="00075C8B">
            <w:pPr>
              <w:jc w:val="left"/>
              <w:rPr>
                <w:sz w:val="16"/>
                <w:szCs w:val="16"/>
              </w:rPr>
            </w:pPr>
            <w:r w:rsidRPr="00B93EE1">
              <w:rPr>
                <w:sz w:val="16"/>
                <w:szCs w:val="16"/>
              </w:rPr>
              <w:t>Reports concerning anti</w:t>
            </w:r>
            <w:r w:rsidRPr="00B93EE1">
              <w:rPr>
                <w:sz w:val="16"/>
                <w:szCs w:val="16"/>
              </w:rPr>
              <w:noBreakHyphen/>
              <w:t>dumping actions</w:t>
            </w:r>
          </w:p>
        </w:tc>
        <w:tc>
          <w:tcPr>
            <w:tcW w:w="1584" w:type="dxa"/>
            <w:shd w:val="clear" w:color="auto" w:fill="C9DED4"/>
          </w:tcPr>
          <w:p w14:paraId="02743C07" w14:textId="77777777" w:rsidR="00120717" w:rsidRPr="00B93EE1" w:rsidRDefault="00120717" w:rsidP="00075C8B">
            <w:pPr>
              <w:jc w:val="left"/>
              <w:rPr>
                <w:sz w:val="16"/>
                <w:szCs w:val="16"/>
              </w:rPr>
            </w:pPr>
            <w:r w:rsidRPr="00B93EE1">
              <w:rPr>
                <w:i/>
                <w:sz w:val="16"/>
                <w:szCs w:val="16"/>
              </w:rPr>
              <w:t>Ad hoc</w:t>
            </w:r>
          </w:p>
        </w:tc>
        <w:tc>
          <w:tcPr>
            <w:tcW w:w="2901" w:type="dxa"/>
            <w:shd w:val="clear" w:color="auto" w:fill="C9DED4"/>
          </w:tcPr>
          <w:p w14:paraId="402F94EF" w14:textId="77777777" w:rsidR="00120717" w:rsidRPr="00B93EE1" w:rsidRDefault="00120717" w:rsidP="00075C8B">
            <w:pPr>
              <w:jc w:val="left"/>
              <w:rPr>
                <w:sz w:val="16"/>
                <w:szCs w:val="16"/>
              </w:rPr>
            </w:pPr>
            <w:r w:rsidRPr="00B93EE1">
              <w:rPr>
                <w:sz w:val="16"/>
                <w:szCs w:val="16"/>
              </w:rPr>
              <w:t>G/ADP/N/358, 15/07/2021</w:t>
            </w:r>
          </w:p>
          <w:p w14:paraId="7C717E19" w14:textId="77777777" w:rsidR="00120717" w:rsidRPr="00B93EE1" w:rsidRDefault="00120717" w:rsidP="00075C8B">
            <w:pPr>
              <w:jc w:val="left"/>
              <w:rPr>
                <w:sz w:val="16"/>
                <w:szCs w:val="16"/>
              </w:rPr>
            </w:pPr>
            <w:r w:rsidRPr="00B93EE1">
              <w:rPr>
                <w:sz w:val="16"/>
                <w:szCs w:val="16"/>
              </w:rPr>
              <w:t>G/ADP/N/354, 13/04/2021</w:t>
            </w:r>
          </w:p>
          <w:p w14:paraId="28FF7DCB" w14:textId="77777777" w:rsidR="00120717" w:rsidRPr="00B93EE1" w:rsidRDefault="00120717" w:rsidP="00075C8B">
            <w:pPr>
              <w:jc w:val="left"/>
              <w:rPr>
                <w:sz w:val="16"/>
                <w:szCs w:val="16"/>
              </w:rPr>
            </w:pPr>
            <w:r w:rsidRPr="00B93EE1">
              <w:rPr>
                <w:sz w:val="16"/>
                <w:szCs w:val="16"/>
              </w:rPr>
              <w:t>G/ADP/N/348, 13/11/2020</w:t>
            </w:r>
          </w:p>
          <w:p w14:paraId="6C89A032" w14:textId="77777777" w:rsidR="00120717" w:rsidRPr="00B93EE1" w:rsidRDefault="00120717" w:rsidP="00075C8B">
            <w:pPr>
              <w:jc w:val="left"/>
              <w:rPr>
                <w:sz w:val="16"/>
                <w:szCs w:val="16"/>
              </w:rPr>
            </w:pPr>
            <w:r w:rsidRPr="00B93EE1">
              <w:rPr>
                <w:sz w:val="16"/>
                <w:szCs w:val="16"/>
              </w:rPr>
              <w:t>G/ADP/N/337, 29/01/2020</w:t>
            </w:r>
          </w:p>
          <w:p w14:paraId="76D39AFE" w14:textId="77777777" w:rsidR="00120717" w:rsidRPr="00B93EE1" w:rsidRDefault="00120717" w:rsidP="00075C8B">
            <w:pPr>
              <w:jc w:val="left"/>
              <w:rPr>
                <w:sz w:val="16"/>
                <w:szCs w:val="16"/>
              </w:rPr>
            </w:pPr>
            <w:r w:rsidRPr="00B93EE1">
              <w:rPr>
                <w:sz w:val="16"/>
                <w:szCs w:val="16"/>
              </w:rPr>
              <w:t>G/ADP/N/318, 24/09/2018</w:t>
            </w:r>
          </w:p>
          <w:p w14:paraId="2EEDF3CB" w14:textId="77777777" w:rsidR="00120717" w:rsidRPr="00B93EE1" w:rsidRDefault="00120717" w:rsidP="00075C8B">
            <w:pPr>
              <w:jc w:val="left"/>
              <w:rPr>
                <w:sz w:val="16"/>
                <w:szCs w:val="16"/>
              </w:rPr>
            </w:pPr>
            <w:r w:rsidRPr="00B93EE1">
              <w:rPr>
                <w:sz w:val="16"/>
                <w:szCs w:val="16"/>
              </w:rPr>
              <w:t>G/ADP/N/398, 20/04/2017</w:t>
            </w:r>
          </w:p>
          <w:p w14:paraId="79AE6D69" w14:textId="77777777" w:rsidR="00120717" w:rsidRPr="00B93EE1" w:rsidRDefault="00120717" w:rsidP="00075C8B">
            <w:pPr>
              <w:jc w:val="left"/>
              <w:rPr>
                <w:sz w:val="16"/>
                <w:szCs w:val="16"/>
              </w:rPr>
            </w:pPr>
            <w:r w:rsidRPr="00B93EE1">
              <w:rPr>
                <w:sz w:val="16"/>
                <w:szCs w:val="16"/>
              </w:rPr>
              <w:t>G/ADP/N/275, 31/08/2015</w:t>
            </w:r>
          </w:p>
          <w:p w14:paraId="33A85DF7" w14:textId="77777777" w:rsidR="00120717" w:rsidRPr="00B93EE1" w:rsidRDefault="00120717" w:rsidP="00075C8B">
            <w:pPr>
              <w:jc w:val="left"/>
              <w:rPr>
                <w:sz w:val="16"/>
                <w:szCs w:val="16"/>
              </w:rPr>
            </w:pPr>
            <w:r w:rsidRPr="00B93EE1">
              <w:rPr>
                <w:sz w:val="16"/>
                <w:szCs w:val="16"/>
              </w:rPr>
              <w:t>G/ADP/N/274, 24/07/2015</w:t>
            </w:r>
          </w:p>
        </w:tc>
      </w:tr>
      <w:tr w:rsidR="00120717" w:rsidRPr="00B93EE1" w14:paraId="1AF78584"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tcPr>
          <w:p w14:paraId="201095EC" w14:textId="77777777" w:rsidR="00120717" w:rsidRPr="00B93EE1" w:rsidRDefault="00120717" w:rsidP="00075C8B">
            <w:pPr>
              <w:jc w:val="left"/>
              <w:rPr>
                <w:sz w:val="16"/>
                <w:szCs w:val="16"/>
              </w:rPr>
            </w:pPr>
            <w:r w:rsidRPr="00B93EE1">
              <w:rPr>
                <w:sz w:val="16"/>
                <w:szCs w:val="16"/>
              </w:rPr>
              <w:t>Article 16.4</w:t>
            </w:r>
          </w:p>
        </w:tc>
        <w:tc>
          <w:tcPr>
            <w:tcW w:w="2268" w:type="dxa"/>
          </w:tcPr>
          <w:p w14:paraId="37544970" w14:textId="77777777" w:rsidR="00120717" w:rsidRPr="00B93EE1" w:rsidRDefault="00120717" w:rsidP="00075C8B">
            <w:pPr>
              <w:jc w:val="left"/>
              <w:rPr>
                <w:sz w:val="16"/>
                <w:szCs w:val="16"/>
              </w:rPr>
            </w:pPr>
            <w:r w:rsidRPr="00B93EE1">
              <w:rPr>
                <w:sz w:val="16"/>
                <w:szCs w:val="16"/>
              </w:rPr>
              <w:t>Semi-annual reports of anti-dumping actions (taken within the preceding six months)</w:t>
            </w:r>
          </w:p>
        </w:tc>
        <w:tc>
          <w:tcPr>
            <w:tcW w:w="1584" w:type="dxa"/>
          </w:tcPr>
          <w:p w14:paraId="37922B33" w14:textId="77777777" w:rsidR="00120717" w:rsidRPr="00B93EE1" w:rsidRDefault="00120717" w:rsidP="00075C8B">
            <w:pPr>
              <w:jc w:val="left"/>
              <w:rPr>
                <w:sz w:val="16"/>
                <w:szCs w:val="16"/>
              </w:rPr>
            </w:pPr>
            <w:r w:rsidRPr="00B93EE1">
              <w:rPr>
                <w:sz w:val="16"/>
                <w:szCs w:val="16"/>
              </w:rPr>
              <w:t>Semi-annual</w:t>
            </w:r>
          </w:p>
        </w:tc>
        <w:tc>
          <w:tcPr>
            <w:tcW w:w="2901" w:type="dxa"/>
          </w:tcPr>
          <w:p w14:paraId="7D901160" w14:textId="77777777" w:rsidR="00120717" w:rsidRPr="00B93EE1" w:rsidRDefault="00120717" w:rsidP="00075C8B">
            <w:pPr>
              <w:jc w:val="left"/>
              <w:rPr>
                <w:sz w:val="16"/>
                <w:szCs w:val="16"/>
              </w:rPr>
            </w:pPr>
            <w:r w:rsidRPr="00B93EE1">
              <w:rPr>
                <w:sz w:val="16"/>
                <w:szCs w:val="16"/>
              </w:rPr>
              <w:t>G/ADP/N/357/NZL, 11/10/2021</w:t>
            </w:r>
          </w:p>
        </w:tc>
      </w:tr>
      <w:tr w:rsidR="00120717" w:rsidRPr="00B93EE1" w14:paraId="72197F9F" w14:textId="77777777" w:rsidTr="00075C8B">
        <w:trPr>
          <w:cantSplit/>
        </w:trPr>
        <w:tc>
          <w:tcPr>
            <w:tcW w:w="2263" w:type="dxa"/>
            <w:shd w:val="clear" w:color="auto" w:fill="C9DED4"/>
          </w:tcPr>
          <w:p w14:paraId="24C9D353" w14:textId="77777777" w:rsidR="00120717" w:rsidRPr="00B93EE1" w:rsidRDefault="00120717" w:rsidP="00075C8B">
            <w:pPr>
              <w:jc w:val="left"/>
              <w:rPr>
                <w:sz w:val="16"/>
                <w:szCs w:val="16"/>
              </w:rPr>
            </w:pPr>
            <w:r w:rsidRPr="00B93EE1">
              <w:rPr>
                <w:sz w:val="16"/>
                <w:szCs w:val="16"/>
              </w:rPr>
              <w:t>Article 18.5</w:t>
            </w:r>
          </w:p>
        </w:tc>
        <w:tc>
          <w:tcPr>
            <w:tcW w:w="2268" w:type="dxa"/>
            <w:shd w:val="clear" w:color="auto" w:fill="C9DED4"/>
          </w:tcPr>
          <w:p w14:paraId="6DBCDDBB" w14:textId="77777777" w:rsidR="00120717" w:rsidRPr="00B93EE1" w:rsidRDefault="00120717" w:rsidP="00075C8B">
            <w:pPr>
              <w:jc w:val="left"/>
              <w:rPr>
                <w:sz w:val="16"/>
                <w:szCs w:val="16"/>
              </w:rPr>
            </w:pPr>
            <w:r w:rsidRPr="00B93EE1">
              <w:rPr>
                <w:sz w:val="16"/>
                <w:szCs w:val="16"/>
              </w:rPr>
              <w:t>Laws and regulations</w:t>
            </w:r>
          </w:p>
        </w:tc>
        <w:tc>
          <w:tcPr>
            <w:tcW w:w="1584" w:type="dxa"/>
            <w:shd w:val="clear" w:color="auto" w:fill="C9DED4"/>
          </w:tcPr>
          <w:p w14:paraId="01935330" w14:textId="77777777" w:rsidR="00120717" w:rsidRPr="00B93EE1" w:rsidRDefault="00120717" w:rsidP="00075C8B">
            <w:pPr>
              <w:jc w:val="left"/>
              <w:rPr>
                <w:sz w:val="16"/>
                <w:szCs w:val="16"/>
              </w:rPr>
            </w:pPr>
            <w:r w:rsidRPr="00B93EE1">
              <w:rPr>
                <w:sz w:val="16"/>
                <w:szCs w:val="16"/>
              </w:rPr>
              <w:t>Once, then changes</w:t>
            </w:r>
          </w:p>
        </w:tc>
        <w:tc>
          <w:tcPr>
            <w:tcW w:w="2901" w:type="dxa"/>
            <w:shd w:val="clear" w:color="auto" w:fill="C9DED4"/>
          </w:tcPr>
          <w:p w14:paraId="0BEAFC7B" w14:textId="77777777" w:rsidR="00120717" w:rsidRPr="00B93EE1" w:rsidRDefault="00120717" w:rsidP="00075C8B">
            <w:pPr>
              <w:jc w:val="left"/>
              <w:rPr>
                <w:sz w:val="16"/>
                <w:szCs w:val="16"/>
              </w:rPr>
            </w:pPr>
            <w:r w:rsidRPr="00B93EE1">
              <w:rPr>
                <w:sz w:val="16"/>
                <w:szCs w:val="16"/>
              </w:rPr>
              <w:t>G/ADP/N/1/NZL/2/Suppl.6/Rev.1,</w:t>
            </w:r>
          </w:p>
          <w:p w14:paraId="50E4BC52" w14:textId="77777777" w:rsidR="00120717" w:rsidRPr="00B93EE1" w:rsidRDefault="00120717" w:rsidP="00075C8B">
            <w:pPr>
              <w:jc w:val="left"/>
              <w:rPr>
                <w:sz w:val="16"/>
                <w:szCs w:val="16"/>
              </w:rPr>
            </w:pPr>
            <w:r w:rsidRPr="00B93EE1">
              <w:rPr>
                <w:sz w:val="16"/>
                <w:szCs w:val="16"/>
              </w:rPr>
              <w:t>23/08/2017</w:t>
            </w:r>
          </w:p>
        </w:tc>
      </w:tr>
      <w:tr w:rsidR="00120717" w:rsidRPr="00B93EE1" w14:paraId="1910CF07"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9016" w:type="dxa"/>
            <w:gridSpan w:val="4"/>
            <w:shd w:val="clear" w:color="auto" w:fill="FFFFFF" w:themeFill="background1"/>
          </w:tcPr>
          <w:p w14:paraId="5741F996" w14:textId="77777777" w:rsidR="00120717" w:rsidRPr="00B93EE1" w:rsidRDefault="00120717" w:rsidP="00075C8B">
            <w:pPr>
              <w:jc w:val="left"/>
              <w:rPr>
                <w:sz w:val="16"/>
                <w:szCs w:val="16"/>
              </w:rPr>
            </w:pPr>
            <w:r w:rsidRPr="00B93EE1">
              <w:rPr>
                <w:b/>
                <w:sz w:val="16"/>
                <w:szCs w:val="16"/>
              </w:rPr>
              <w:t>Agreement on Subsidies and Countervailing Measures</w:t>
            </w:r>
          </w:p>
        </w:tc>
      </w:tr>
      <w:tr w:rsidR="00120717" w:rsidRPr="00B93EE1" w14:paraId="50E2A196" w14:textId="77777777" w:rsidTr="00075C8B">
        <w:trPr>
          <w:cantSplit/>
        </w:trPr>
        <w:tc>
          <w:tcPr>
            <w:tcW w:w="2263" w:type="dxa"/>
            <w:shd w:val="clear" w:color="auto" w:fill="C9DED4"/>
          </w:tcPr>
          <w:p w14:paraId="34E309B9" w14:textId="77777777" w:rsidR="00120717" w:rsidRPr="00B93EE1" w:rsidRDefault="00120717" w:rsidP="00075C8B">
            <w:pPr>
              <w:jc w:val="left"/>
              <w:rPr>
                <w:sz w:val="16"/>
                <w:szCs w:val="16"/>
              </w:rPr>
            </w:pPr>
            <w:r w:rsidRPr="00B93EE1">
              <w:rPr>
                <w:sz w:val="16"/>
                <w:szCs w:val="16"/>
              </w:rPr>
              <w:t>Article 25.1</w:t>
            </w:r>
          </w:p>
        </w:tc>
        <w:tc>
          <w:tcPr>
            <w:tcW w:w="2268" w:type="dxa"/>
            <w:shd w:val="clear" w:color="auto" w:fill="C9DED4"/>
          </w:tcPr>
          <w:p w14:paraId="04F8D14E" w14:textId="77777777" w:rsidR="00120717" w:rsidRPr="00B93EE1" w:rsidRDefault="00120717" w:rsidP="00075C8B">
            <w:pPr>
              <w:jc w:val="left"/>
              <w:rPr>
                <w:sz w:val="16"/>
                <w:szCs w:val="16"/>
              </w:rPr>
            </w:pPr>
            <w:r w:rsidRPr="00B93EE1">
              <w:rPr>
                <w:sz w:val="16"/>
                <w:szCs w:val="16"/>
              </w:rPr>
              <w:t>Report on subsidies</w:t>
            </w:r>
          </w:p>
        </w:tc>
        <w:tc>
          <w:tcPr>
            <w:tcW w:w="1584" w:type="dxa"/>
            <w:shd w:val="clear" w:color="auto" w:fill="C9DED4"/>
          </w:tcPr>
          <w:p w14:paraId="588261AB" w14:textId="77777777" w:rsidR="00120717" w:rsidRPr="00B93EE1" w:rsidRDefault="00120717" w:rsidP="00075C8B">
            <w:pPr>
              <w:jc w:val="left"/>
              <w:rPr>
                <w:sz w:val="16"/>
                <w:szCs w:val="16"/>
              </w:rPr>
            </w:pPr>
            <w:r w:rsidRPr="00B93EE1">
              <w:rPr>
                <w:sz w:val="16"/>
                <w:szCs w:val="16"/>
              </w:rPr>
              <w:t>Biennial</w:t>
            </w:r>
          </w:p>
        </w:tc>
        <w:tc>
          <w:tcPr>
            <w:tcW w:w="2901" w:type="dxa"/>
            <w:shd w:val="clear" w:color="auto" w:fill="C9DED4"/>
          </w:tcPr>
          <w:p w14:paraId="1CE9D023" w14:textId="77777777" w:rsidR="00120717" w:rsidRPr="00B93EE1" w:rsidRDefault="00120717" w:rsidP="00075C8B">
            <w:pPr>
              <w:jc w:val="left"/>
              <w:rPr>
                <w:sz w:val="16"/>
                <w:szCs w:val="16"/>
              </w:rPr>
            </w:pPr>
            <w:r w:rsidRPr="00B93EE1">
              <w:rPr>
                <w:sz w:val="16"/>
                <w:szCs w:val="16"/>
              </w:rPr>
              <w:t>G/</w:t>
            </w:r>
            <w:proofErr w:type="spellStart"/>
            <w:r w:rsidRPr="00B93EE1">
              <w:rPr>
                <w:sz w:val="16"/>
                <w:szCs w:val="16"/>
              </w:rPr>
              <w:t>SCM</w:t>
            </w:r>
            <w:proofErr w:type="spellEnd"/>
            <w:r w:rsidRPr="00B93EE1">
              <w:rPr>
                <w:sz w:val="16"/>
                <w:szCs w:val="16"/>
              </w:rPr>
              <w:t>/N/372/NZL, 30/06/2021</w:t>
            </w:r>
          </w:p>
        </w:tc>
      </w:tr>
      <w:tr w:rsidR="00120717" w:rsidRPr="00B93EE1" w14:paraId="0457FA2C"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tcPr>
          <w:p w14:paraId="215DCD4A" w14:textId="77777777" w:rsidR="00120717" w:rsidRPr="00B93EE1" w:rsidRDefault="00120717" w:rsidP="00075C8B">
            <w:pPr>
              <w:jc w:val="left"/>
              <w:rPr>
                <w:sz w:val="16"/>
                <w:szCs w:val="16"/>
              </w:rPr>
            </w:pPr>
            <w:r w:rsidRPr="00B93EE1">
              <w:rPr>
                <w:sz w:val="16"/>
                <w:szCs w:val="16"/>
              </w:rPr>
              <w:t>Article 25.11</w:t>
            </w:r>
          </w:p>
        </w:tc>
        <w:tc>
          <w:tcPr>
            <w:tcW w:w="2268" w:type="dxa"/>
          </w:tcPr>
          <w:p w14:paraId="26994289" w14:textId="77777777" w:rsidR="00120717" w:rsidRPr="00B93EE1" w:rsidRDefault="00120717" w:rsidP="00075C8B">
            <w:pPr>
              <w:jc w:val="left"/>
              <w:rPr>
                <w:sz w:val="16"/>
                <w:szCs w:val="16"/>
              </w:rPr>
            </w:pPr>
            <w:r w:rsidRPr="00B93EE1">
              <w:rPr>
                <w:sz w:val="16"/>
                <w:szCs w:val="16"/>
              </w:rPr>
              <w:t>Semi-annual report on countervailing duty actions</w:t>
            </w:r>
          </w:p>
        </w:tc>
        <w:tc>
          <w:tcPr>
            <w:tcW w:w="1584" w:type="dxa"/>
          </w:tcPr>
          <w:p w14:paraId="609A5384" w14:textId="77777777" w:rsidR="00120717" w:rsidRPr="00B93EE1" w:rsidRDefault="00120717" w:rsidP="00075C8B">
            <w:pPr>
              <w:jc w:val="left"/>
              <w:rPr>
                <w:sz w:val="16"/>
                <w:szCs w:val="16"/>
              </w:rPr>
            </w:pPr>
            <w:r w:rsidRPr="00B93EE1">
              <w:rPr>
                <w:sz w:val="16"/>
                <w:szCs w:val="16"/>
              </w:rPr>
              <w:t>Semi-annual</w:t>
            </w:r>
          </w:p>
        </w:tc>
        <w:tc>
          <w:tcPr>
            <w:tcW w:w="2901" w:type="dxa"/>
          </w:tcPr>
          <w:p w14:paraId="1B82CF50" w14:textId="77777777" w:rsidR="00120717" w:rsidRPr="00B93EE1" w:rsidRDefault="00120717" w:rsidP="00075C8B">
            <w:pPr>
              <w:jc w:val="left"/>
              <w:rPr>
                <w:sz w:val="16"/>
                <w:szCs w:val="16"/>
              </w:rPr>
            </w:pPr>
            <w:r w:rsidRPr="00B93EE1">
              <w:rPr>
                <w:sz w:val="16"/>
                <w:szCs w:val="16"/>
              </w:rPr>
              <w:t>G/</w:t>
            </w:r>
            <w:proofErr w:type="spellStart"/>
            <w:r w:rsidRPr="00B93EE1">
              <w:rPr>
                <w:sz w:val="16"/>
                <w:szCs w:val="16"/>
              </w:rPr>
              <w:t>SCM</w:t>
            </w:r>
            <w:proofErr w:type="spellEnd"/>
            <w:r w:rsidRPr="00B93EE1">
              <w:rPr>
                <w:sz w:val="16"/>
                <w:szCs w:val="16"/>
              </w:rPr>
              <w:t>/N/379, 15/06/2021</w:t>
            </w:r>
          </w:p>
        </w:tc>
      </w:tr>
      <w:tr w:rsidR="00120717" w:rsidRPr="00B93EE1" w14:paraId="2EDA0135" w14:textId="77777777" w:rsidTr="00075C8B">
        <w:trPr>
          <w:cantSplit/>
          <w:trHeight w:val="118"/>
        </w:trPr>
        <w:tc>
          <w:tcPr>
            <w:tcW w:w="9016" w:type="dxa"/>
            <w:gridSpan w:val="4"/>
            <w:shd w:val="clear" w:color="auto" w:fill="auto"/>
            <w:hideMark/>
          </w:tcPr>
          <w:p w14:paraId="3E250FC0" w14:textId="77777777" w:rsidR="00120717" w:rsidRPr="00B93EE1" w:rsidRDefault="00120717" w:rsidP="00075C8B">
            <w:pPr>
              <w:jc w:val="left"/>
              <w:rPr>
                <w:b/>
                <w:bCs/>
                <w:sz w:val="16"/>
                <w:szCs w:val="16"/>
              </w:rPr>
            </w:pPr>
            <w:r w:rsidRPr="00B93EE1">
              <w:rPr>
                <w:b/>
                <w:bCs/>
                <w:sz w:val="16"/>
                <w:szCs w:val="16"/>
              </w:rPr>
              <w:t>Agreement on Government Procurement</w:t>
            </w:r>
          </w:p>
        </w:tc>
      </w:tr>
      <w:tr w:rsidR="00120717" w:rsidRPr="00B93EE1" w14:paraId="4AEAD587"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tcPr>
          <w:p w14:paraId="7C6D1A87" w14:textId="77777777" w:rsidR="00120717" w:rsidRPr="00B93EE1" w:rsidRDefault="00120717" w:rsidP="00075C8B">
            <w:pPr>
              <w:jc w:val="left"/>
              <w:rPr>
                <w:sz w:val="16"/>
                <w:szCs w:val="16"/>
              </w:rPr>
            </w:pPr>
            <w:r w:rsidRPr="00B93EE1">
              <w:rPr>
                <w:sz w:val="16"/>
                <w:szCs w:val="16"/>
              </w:rPr>
              <w:t xml:space="preserve">GPA 2012, Article XIX </w:t>
            </w:r>
          </w:p>
        </w:tc>
        <w:tc>
          <w:tcPr>
            <w:tcW w:w="2268" w:type="dxa"/>
          </w:tcPr>
          <w:p w14:paraId="009FA9CE" w14:textId="77777777" w:rsidR="00120717" w:rsidRPr="00B93EE1" w:rsidRDefault="00120717" w:rsidP="00075C8B">
            <w:pPr>
              <w:jc w:val="left"/>
              <w:rPr>
                <w:sz w:val="16"/>
                <w:szCs w:val="16"/>
              </w:rPr>
            </w:pPr>
            <w:r w:rsidRPr="00B93EE1">
              <w:rPr>
                <w:sz w:val="16"/>
                <w:szCs w:val="16"/>
              </w:rPr>
              <w:t>Notification of modifications to market access commitments</w:t>
            </w:r>
          </w:p>
        </w:tc>
        <w:tc>
          <w:tcPr>
            <w:tcW w:w="1584" w:type="dxa"/>
            <w:hideMark/>
          </w:tcPr>
          <w:p w14:paraId="0841E196" w14:textId="77777777" w:rsidR="00120717" w:rsidRPr="00B93EE1" w:rsidRDefault="00120717" w:rsidP="00075C8B">
            <w:pPr>
              <w:jc w:val="left"/>
              <w:rPr>
                <w:sz w:val="16"/>
                <w:szCs w:val="16"/>
              </w:rPr>
            </w:pPr>
            <w:r w:rsidRPr="00B93EE1">
              <w:rPr>
                <w:i/>
                <w:sz w:val="16"/>
                <w:szCs w:val="16"/>
              </w:rPr>
              <w:t>Ad hoc</w:t>
            </w:r>
          </w:p>
        </w:tc>
        <w:tc>
          <w:tcPr>
            <w:tcW w:w="2901" w:type="dxa"/>
          </w:tcPr>
          <w:p w14:paraId="6277EF3D" w14:textId="77777777" w:rsidR="00120717" w:rsidRPr="00B55C45" w:rsidRDefault="00120717" w:rsidP="00075C8B">
            <w:pPr>
              <w:jc w:val="left"/>
              <w:rPr>
                <w:sz w:val="16"/>
                <w:szCs w:val="16"/>
                <w:lang w:val="es-ES"/>
              </w:rPr>
            </w:pPr>
            <w:proofErr w:type="spellStart"/>
            <w:r w:rsidRPr="00B55C45">
              <w:rPr>
                <w:sz w:val="16"/>
                <w:szCs w:val="16"/>
                <w:lang w:val="es-ES"/>
              </w:rPr>
              <w:t>GPA</w:t>
            </w:r>
            <w:proofErr w:type="spellEnd"/>
            <w:r w:rsidRPr="00B55C45">
              <w:rPr>
                <w:sz w:val="16"/>
                <w:szCs w:val="16"/>
                <w:lang w:val="es-ES"/>
              </w:rPr>
              <w:t>/MOD/</w:t>
            </w:r>
            <w:proofErr w:type="spellStart"/>
            <w:r w:rsidRPr="00B55C45">
              <w:rPr>
                <w:sz w:val="16"/>
                <w:szCs w:val="16"/>
                <w:lang w:val="es-ES"/>
              </w:rPr>
              <w:t>NZL</w:t>
            </w:r>
            <w:proofErr w:type="spellEnd"/>
            <w:r w:rsidRPr="00B55C45">
              <w:rPr>
                <w:sz w:val="16"/>
                <w:szCs w:val="16"/>
                <w:lang w:val="es-ES"/>
              </w:rPr>
              <w:t>/7, 23/04/2018</w:t>
            </w:r>
          </w:p>
          <w:p w14:paraId="2E21E1E6" w14:textId="77777777" w:rsidR="00120717" w:rsidRPr="00B55C45" w:rsidRDefault="00120717" w:rsidP="00075C8B">
            <w:pPr>
              <w:jc w:val="left"/>
              <w:rPr>
                <w:sz w:val="16"/>
                <w:szCs w:val="16"/>
                <w:lang w:val="es-ES"/>
              </w:rPr>
            </w:pPr>
            <w:proofErr w:type="spellStart"/>
            <w:r w:rsidRPr="00B55C45">
              <w:rPr>
                <w:sz w:val="16"/>
                <w:szCs w:val="16"/>
                <w:lang w:val="es-ES"/>
              </w:rPr>
              <w:t>GPA</w:t>
            </w:r>
            <w:proofErr w:type="spellEnd"/>
            <w:r w:rsidRPr="00B55C45">
              <w:rPr>
                <w:sz w:val="16"/>
                <w:szCs w:val="16"/>
                <w:lang w:val="es-ES"/>
              </w:rPr>
              <w:t>/MOD/</w:t>
            </w:r>
            <w:proofErr w:type="spellStart"/>
            <w:r w:rsidRPr="00B55C45">
              <w:rPr>
                <w:sz w:val="16"/>
                <w:szCs w:val="16"/>
                <w:lang w:val="es-ES"/>
              </w:rPr>
              <w:t>NZL</w:t>
            </w:r>
            <w:proofErr w:type="spellEnd"/>
            <w:r w:rsidRPr="00B55C45">
              <w:rPr>
                <w:sz w:val="16"/>
                <w:szCs w:val="16"/>
                <w:lang w:val="es-ES"/>
              </w:rPr>
              <w:t>/6, 26/02/2018</w:t>
            </w:r>
          </w:p>
          <w:p w14:paraId="64E3F18B" w14:textId="77777777" w:rsidR="00120717" w:rsidRPr="00B55C45" w:rsidRDefault="00120717" w:rsidP="00075C8B">
            <w:pPr>
              <w:jc w:val="left"/>
              <w:rPr>
                <w:sz w:val="16"/>
                <w:szCs w:val="16"/>
                <w:lang w:val="es-ES"/>
              </w:rPr>
            </w:pPr>
            <w:proofErr w:type="spellStart"/>
            <w:r w:rsidRPr="00B55C45">
              <w:rPr>
                <w:sz w:val="16"/>
                <w:szCs w:val="16"/>
                <w:lang w:val="es-ES"/>
              </w:rPr>
              <w:t>GPA</w:t>
            </w:r>
            <w:proofErr w:type="spellEnd"/>
            <w:r w:rsidRPr="00B55C45">
              <w:rPr>
                <w:sz w:val="16"/>
                <w:szCs w:val="16"/>
                <w:lang w:val="es-ES"/>
              </w:rPr>
              <w:t>/MOD/</w:t>
            </w:r>
            <w:proofErr w:type="spellStart"/>
            <w:r w:rsidRPr="00B55C45">
              <w:rPr>
                <w:sz w:val="16"/>
                <w:szCs w:val="16"/>
                <w:lang w:val="es-ES"/>
              </w:rPr>
              <w:t>NZL</w:t>
            </w:r>
            <w:proofErr w:type="spellEnd"/>
            <w:r w:rsidRPr="00B55C45">
              <w:rPr>
                <w:sz w:val="16"/>
                <w:szCs w:val="16"/>
                <w:lang w:val="es-ES"/>
              </w:rPr>
              <w:t>/5, 29/11/2017</w:t>
            </w:r>
          </w:p>
          <w:p w14:paraId="17B65C28" w14:textId="77777777" w:rsidR="00120717" w:rsidRPr="00B55C45" w:rsidRDefault="00120717" w:rsidP="00075C8B">
            <w:pPr>
              <w:jc w:val="left"/>
              <w:rPr>
                <w:sz w:val="16"/>
                <w:szCs w:val="16"/>
                <w:lang w:val="es-ES"/>
              </w:rPr>
            </w:pPr>
            <w:proofErr w:type="spellStart"/>
            <w:r w:rsidRPr="00B55C45">
              <w:rPr>
                <w:sz w:val="16"/>
                <w:szCs w:val="16"/>
                <w:lang w:val="es-ES"/>
              </w:rPr>
              <w:t>GPA</w:t>
            </w:r>
            <w:proofErr w:type="spellEnd"/>
            <w:r w:rsidRPr="00B55C45">
              <w:rPr>
                <w:sz w:val="16"/>
                <w:szCs w:val="16"/>
                <w:lang w:val="es-ES"/>
              </w:rPr>
              <w:t>/MOD/</w:t>
            </w:r>
            <w:proofErr w:type="spellStart"/>
            <w:r w:rsidRPr="00B55C45">
              <w:rPr>
                <w:sz w:val="16"/>
                <w:szCs w:val="16"/>
                <w:lang w:val="es-ES"/>
              </w:rPr>
              <w:t>NZL</w:t>
            </w:r>
            <w:proofErr w:type="spellEnd"/>
            <w:r w:rsidRPr="00B55C45">
              <w:rPr>
                <w:sz w:val="16"/>
                <w:szCs w:val="16"/>
                <w:lang w:val="es-ES"/>
              </w:rPr>
              <w:t>/4, 11/05/2017</w:t>
            </w:r>
          </w:p>
          <w:p w14:paraId="49FA2B45" w14:textId="77777777" w:rsidR="00120717" w:rsidRPr="00B55C45" w:rsidRDefault="00120717" w:rsidP="00075C8B">
            <w:pPr>
              <w:jc w:val="left"/>
              <w:rPr>
                <w:sz w:val="16"/>
                <w:szCs w:val="16"/>
                <w:lang w:val="es-ES"/>
              </w:rPr>
            </w:pPr>
            <w:proofErr w:type="spellStart"/>
            <w:r w:rsidRPr="00B55C45">
              <w:rPr>
                <w:sz w:val="16"/>
                <w:szCs w:val="16"/>
                <w:lang w:val="es-ES"/>
              </w:rPr>
              <w:t>GPA</w:t>
            </w:r>
            <w:proofErr w:type="spellEnd"/>
            <w:r w:rsidRPr="00B55C45">
              <w:rPr>
                <w:sz w:val="16"/>
                <w:szCs w:val="16"/>
                <w:lang w:val="es-ES"/>
              </w:rPr>
              <w:t>/MOD/</w:t>
            </w:r>
            <w:proofErr w:type="spellStart"/>
            <w:r w:rsidRPr="00B55C45">
              <w:rPr>
                <w:sz w:val="16"/>
                <w:szCs w:val="16"/>
                <w:lang w:val="es-ES"/>
              </w:rPr>
              <w:t>NZL</w:t>
            </w:r>
            <w:proofErr w:type="spellEnd"/>
            <w:r w:rsidRPr="00B55C45">
              <w:rPr>
                <w:sz w:val="16"/>
                <w:szCs w:val="16"/>
                <w:lang w:val="es-ES"/>
              </w:rPr>
              <w:t>/3, 27/10/2016</w:t>
            </w:r>
          </w:p>
          <w:p w14:paraId="1D5ACD83" w14:textId="77777777" w:rsidR="00120717" w:rsidRPr="00B55C45" w:rsidRDefault="00120717" w:rsidP="00075C8B">
            <w:pPr>
              <w:jc w:val="left"/>
              <w:rPr>
                <w:sz w:val="16"/>
                <w:szCs w:val="16"/>
                <w:lang w:val="es-ES"/>
              </w:rPr>
            </w:pPr>
            <w:proofErr w:type="spellStart"/>
            <w:r w:rsidRPr="00B55C45">
              <w:rPr>
                <w:sz w:val="16"/>
                <w:szCs w:val="16"/>
                <w:lang w:val="es-ES"/>
              </w:rPr>
              <w:t>GPA</w:t>
            </w:r>
            <w:proofErr w:type="spellEnd"/>
            <w:r w:rsidRPr="00B55C45">
              <w:rPr>
                <w:sz w:val="16"/>
                <w:szCs w:val="16"/>
                <w:lang w:val="es-ES"/>
              </w:rPr>
              <w:t>/MOD/</w:t>
            </w:r>
            <w:proofErr w:type="spellStart"/>
            <w:r w:rsidRPr="00B55C45">
              <w:rPr>
                <w:sz w:val="16"/>
                <w:szCs w:val="16"/>
                <w:lang w:val="es-ES"/>
              </w:rPr>
              <w:t>NZL</w:t>
            </w:r>
            <w:proofErr w:type="spellEnd"/>
            <w:r w:rsidRPr="00B55C45">
              <w:rPr>
                <w:sz w:val="16"/>
                <w:szCs w:val="16"/>
                <w:lang w:val="es-ES"/>
              </w:rPr>
              <w:t>/2, 11/08/2016</w:t>
            </w:r>
          </w:p>
          <w:p w14:paraId="3F8ACD18" w14:textId="77777777" w:rsidR="00120717" w:rsidRPr="00B93EE1" w:rsidRDefault="00120717" w:rsidP="00075C8B">
            <w:pPr>
              <w:jc w:val="left"/>
              <w:rPr>
                <w:sz w:val="16"/>
                <w:szCs w:val="16"/>
              </w:rPr>
            </w:pPr>
            <w:r w:rsidRPr="00B93EE1">
              <w:rPr>
                <w:sz w:val="16"/>
                <w:szCs w:val="16"/>
              </w:rPr>
              <w:t>GPA/MOD/NZL/1, 12/08/2015</w:t>
            </w:r>
          </w:p>
        </w:tc>
      </w:tr>
      <w:tr w:rsidR="00120717" w:rsidRPr="00B93EE1" w14:paraId="029BF5A5" w14:textId="77777777" w:rsidTr="00075C8B">
        <w:trPr>
          <w:cantSplit/>
          <w:trHeight w:val="118"/>
        </w:trPr>
        <w:tc>
          <w:tcPr>
            <w:tcW w:w="2263" w:type="dxa"/>
            <w:shd w:val="clear" w:color="auto" w:fill="C9DED4"/>
          </w:tcPr>
          <w:p w14:paraId="2E0E84A5" w14:textId="77777777" w:rsidR="00120717" w:rsidRPr="00B93EE1" w:rsidRDefault="00120717" w:rsidP="00075C8B">
            <w:pPr>
              <w:jc w:val="left"/>
              <w:rPr>
                <w:sz w:val="16"/>
                <w:szCs w:val="16"/>
              </w:rPr>
            </w:pPr>
            <w:r w:rsidRPr="00B93EE1">
              <w:rPr>
                <w:sz w:val="16"/>
                <w:szCs w:val="16"/>
              </w:rPr>
              <w:t>Appendix 1</w:t>
            </w:r>
          </w:p>
        </w:tc>
        <w:tc>
          <w:tcPr>
            <w:tcW w:w="2268" w:type="dxa"/>
            <w:shd w:val="clear" w:color="auto" w:fill="C9DED4"/>
          </w:tcPr>
          <w:p w14:paraId="7E03774B" w14:textId="77777777" w:rsidR="00120717" w:rsidRPr="00B93EE1" w:rsidRDefault="00120717" w:rsidP="00075C8B">
            <w:pPr>
              <w:jc w:val="left"/>
              <w:rPr>
                <w:sz w:val="16"/>
                <w:szCs w:val="16"/>
              </w:rPr>
            </w:pPr>
            <w:r w:rsidRPr="00B93EE1">
              <w:rPr>
                <w:sz w:val="16"/>
                <w:szCs w:val="16"/>
              </w:rPr>
              <w:t>Thresholds</w:t>
            </w:r>
          </w:p>
        </w:tc>
        <w:tc>
          <w:tcPr>
            <w:tcW w:w="1584" w:type="dxa"/>
            <w:shd w:val="clear" w:color="auto" w:fill="C9DED4"/>
          </w:tcPr>
          <w:p w14:paraId="660471C7" w14:textId="77777777" w:rsidR="00120717" w:rsidRPr="00B93EE1" w:rsidRDefault="00120717" w:rsidP="00075C8B">
            <w:pPr>
              <w:jc w:val="left"/>
              <w:rPr>
                <w:i/>
                <w:iCs/>
                <w:sz w:val="16"/>
                <w:szCs w:val="16"/>
              </w:rPr>
            </w:pPr>
          </w:p>
        </w:tc>
        <w:tc>
          <w:tcPr>
            <w:tcW w:w="2901" w:type="dxa"/>
            <w:shd w:val="clear" w:color="auto" w:fill="C9DED4"/>
          </w:tcPr>
          <w:p w14:paraId="538DD11C" w14:textId="77777777" w:rsidR="00120717" w:rsidRPr="00B93EE1" w:rsidRDefault="00120717" w:rsidP="00075C8B">
            <w:pPr>
              <w:jc w:val="left"/>
              <w:rPr>
                <w:sz w:val="16"/>
                <w:szCs w:val="16"/>
              </w:rPr>
            </w:pPr>
            <w:r w:rsidRPr="00B93EE1">
              <w:rPr>
                <w:sz w:val="16"/>
                <w:szCs w:val="16"/>
              </w:rPr>
              <w:t>GPA/THR/NZL/2, 16/12/2021</w:t>
            </w:r>
          </w:p>
        </w:tc>
      </w:tr>
      <w:tr w:rsidR="00120717" w:rsidRPr="00B93EE1" w14:paraId="7EFEAA26"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9016" w:type="dxa"/>
            <w:gridSpan w:val="4"/>
            <w:shd w:val="clear" w:color="auto" w:fill="auto"/>
            <w:hideMark/>
          </w:tcPr>
          <w:p w14:paraId="342B5F95" w14:textId="77777777" w:rsidR="00120717" w:rsidRPr="00B93EE1" w:rsidRDefault="00120717" w:rsidP="00075C8B">
            <w:pPr>
              <w:jc w:val="left"/>
              <w:rPr>
                <w:b/>
                <w:bCs/>
                <w:sz w:val="16"/>
                <w:szCs w:val="16"/>
                <w:highlight w:val="cyan"/>
              </w:rPr>
            </w:pPr>
            <w:r w:rsidRPr="00B93EE1">
              <w:rPr>
                <w:b/>
                <w:sz w:val="16"/>
                <w:szCs w:val="16"/>
              </w:rPr>
              <w:t xml:space="preserve">Understanding on the Interpretation of </w:t>
            </w:r>
            <w:r w:rsidRPr="00B93EE1">
              <w:rPr>
                <w:b/>
                <w:spacing w:val="-2"/>
                <w:sz w:val="16"/>
                <w:szCs w:val="16"/>
              </w:rPr>
              <w:t>Article XVII:4(a) of the GATT 1994 (State trading)</w:t>
            </w:r>
          </w:p>
        </w:tc>
      </w:tr>
      <w:tr w:rsidR="00120717" w:rsidRPr="00B93EE1" w14:paraId="76CD08CC" w14:textId="77777777" w:rsidTr="00075C8B">
        <w:trPr>
          <w:cantSplit/>
        </w:trPr>
        <w:tc>
          <w:tcPr>
            <w:tcW w:w="2263" w:type="dxa"/>
            <w:shd w:val="clear" w:color="auto" w:fill="C9DED4"/>
            <w:hideMark/>
          </w:tcPr>
          <w:p w14:paraId="0AD26E8A" w14:textId="77777777" w:rsidR="00120717" w:rsidRPr="00B93EE1" w:rsidRDefault="00120717" w:rsidP="00075C8B">
            <w:pPr>
              <w:jc w:val="left"/>
              <w:rPr>
                <w:sz w:val="16"/>
                <w:szCs w:val="16"/>
              </w:rPr>
            </w:pPr>
            <w:r w:rsidRPr="00B93EE1">
              <w:rPr>
                <w:sz w:val="16"/>
                <w:szCs w:val="16"/>
              </w:rPr>
              <w:t>Article XVII:4(a)</w:t>
            </w:r>
          </w:p>
        </w:tc>
        <w:tc>
          <w:tcPr>
            <w:tcW w:w="2268" w:type="dxa"/>
            <w:shd w:val="clear" w:color="auto" w:fill="C9DED4"/>
            <w:hideMark/>
          </w:tcPr>
          <w:p w14:paraId="45E76BFD" w14:textId="77777777" w:rsidR="00120717" w:rsidRPr="00B93EE1" w:rsidRDefault="00120717" w:rsidP="00075C8B">
            <w:pPr>
              <w:jc w:val="left"/>
              <w:rPr>
                <w:sz w:val="16"/>
                <w:szCs w:val="16"/>
              </w:rPr>
            </w:pPr>
            <w:r w:rsidRPr="00B93EE1">
              <w:rPr>
                <w:sz w:val="16"/>
                <w:szCs w:val="16"/>
              </w:rPr>
              <w:t>State trading activities</w:t>
            </w:r>
          </w:p>
        </w:tc>
        <w:tc>
          <w:tcPr>
            <w:tcW w:w="1584" w:type="dxa"/>
            <w:shd w:val="clear" w:color="auto" w:fill="C9DED4"/>
            <w:hideMark/>
          </w:tcPr>
          <w:p w14:paraId="5A26AA2A" w14:textId="77777777" w:rsidR="00120717" w:rsidRPr="00B93EE1" w:rsidRDefault="00120717" w:rsidP="00075C8B">
            <w:pPr>
              <w:jc w:val="left"/>
              <w:rPr>
                <w:sz w:val="16"/>
                <w:szCs w:val="16"/>
              </w:rPr>
            </w:pPr>
            <w:r w:rsidRPr="00B93EE1">
              <w:rPr>
                <w:sz w:val="16"/>
                <w:szCs w:val="16"/>
              </w:rPr>
              <w:t>Biennial</w:t>
            </w:r>
          </w:p>
        </w:tc>
        <w:tc>
          <w:tcPr>
            <w:tcW w:w="2901" w:type="dxa"/>
            <w:shd w:val="clear" w:color="auto" w:fill="C9DED4"/>
          </w:tcPr>
          <w:p w14:paraId="185B049F" w14:textId="77777777" w:rsidR="00120717" w:rsidRPr="00B93EE1" w:rsidRDefault="00120717" w:rsidP="00075C8B">
            <w:pPr>
              <w:jc w:val="left"/>
              <w:rPr>
                <w:sz w:val="16"/>
                <w:szCs w:val="16"/>
              </w:rPr>
            </w:pPr>
            <w:r w:rsidRPr="00B93EE1">
              <w:rPr>
                <w:sz w:val="16"/>
                <w:szCs w:val="16"/>
              </w:rPr>
              <w:t>G/STR/N/18/NZL, 02/07/2020</w:t>
            </w:r>
          </w:p>
        </w:tc>
      </w:tr>
      <w:tr w:rsidR="00120717" w:rsidRPr="00B93EE1" w14:paraId="0D8DB70F"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9016" w:type="dxa"/>
            <w:gridSpan w:val="4"/>
            <w:shd w:val="clear" w:color="auto" w:fill="auto"/>
          </w:tcPr>
          <w:p w14:paraId="32D76D6D" w14:textId="77777777" w:rsidR="00120717" w:rsidRPr="00B93EE1" w:rsidRDefault="00120717" w:rsidP="00075C8B">
            <w:pPr>
              <w:jc w:val="left"/>
              <w:rPr>
                <w:sz w:val="16"/>
                <w:szCs w:val="16"/>
              </w:rPr>
            </w:pPr>
            <w:r w:rsidRPr="00B93EE1">
              <w:rPr>
                <w:b/>
                <w:bCs/>
                <w:sz w:val="16"/>
                <w:szCs w:val="16"/>
              </w:rPr>
              <w:t>Participation in regional trade agreements</w:t>
            </w:r>
          </w:p>
        </w:tc>
      </w:tr>
      <w:tr w:rsidR="00120717" w:rsidRPr="00B93EE1" w14:paraId="593783EF" w14:textId="77777777" w:rsidTr="00075C8B">
        <w:trPr>
          <w:cantSplit/>
        </w:trPr>
        <w:tc>
          <w:tcPr>
            <w:tcW w:w="2263" w:type="dxa"/>
            <w:shd w:val="clear" w:color="auto" w:fill="C9DED4"/>
          </w:tcPr>
          <w:p w14:paraId="10B4605E" w14:textId="77777777" w:rsidR="00120717" w:rsidRPr="00B93EE1" w:rsidRDefault="00120717" w:rsidP="00075C8B">
            <w:pPr>
              <w:jc w:val="left"/>
              <w:rPr>
                <w:sz w:val="16"/>
                <w:szCs w:val="16"/>
              </w:rPr>
            </w:pPr>
            <w:r w:rsidRPr="00B93EE1">
              <w:rPr>
                <w:sz w:val="16"/>
                <w:szCs w:val="16"/>
              </w:rPr>
              <w:t>GATT 1994, Article XXIV:7(a)</w:t>
            </w:r>
          </w:p>
        </w:tc>
        <w:tc>
          <w:tcPr>
            <w:tcW w:w="2268" w:type="dxa"/>
            <w:shd w:val="clear" w:color="auto" w:fill="C9DED4"/>
          </w:tcPr>
          <w:p w14:paraId="72E1A62D" w14:textId="77777777" w:rsidR="00120717" w:rsidRPr="00B93EE1" w:rsidRDefault="00120717" w:rsidP="00075C8B">
            <w:pPr>
              <w:jc w:val="left"/>
              <w:rPr>
                <w:sz w:val="16"/>
                <w:szCs w:val="16"/>
              </w:rPr>
            </w:pPr>
            <w:r w:rsidRPr="00B93EE1">
              <w:rPr>
                <w:sz w:val="16"/>
                <w:szCs w:val="16"/>
              </w:rPr>
              <w:t>Formation of a free trade area</w:t>
            </w:r>
          </w:p>
        </w:tc>
        <w:tc>
          <w:tcPr>
            <w:tcW w:w="1584" w:type="dxa"/>
            <w:shd w:val="clear" w:color="auto" w:fill="C9DED4"/>
          </w:tcPr>
          <w:p w14:paraId="55B0F6BF" w14:textId="77777777" w:rsidR="00120717" w:rsidRPr="00B93EE1" w:rsidRDefault="00120717" w:rsidP="00075C8B">
            <w:pPr>
              <w:jc w:val="left"/>
              <w:rPr>
                <w:sz w:val="16"/>
                <w:szCs w:val="16"/>
              </w:rPr>
            </w:pPr>
            <w:r w:rsidRPr="00B93EE1">
              <w:rPr>
                <w:i/>
                <w:sz w:val="16"/>
                <w:szCs w:val="16"/>
              </w:rPr>
              <w:t>Ad hoc</w:t>
            </w:r>
          </w:p>
        </w:tc>
        <w:tc>
          <w:tcPr>
            <w:tcW w:w="2901" w:type="dxa"/>
            <w:shd w:val="clear" w:color="auto" w:fill="C9DED4"/>
          </w:tcPr>
          <w:p w14:paraId="00F6D488" w14:textId="77777777" w:rsidR="00120717" w:rsidRPr="00B93EE1" w:rsidRDefault="00120717" w:rsidP="00075C8B">
            <w:pPr>
              <w:jc w:val="left"/>
              <w:rPr>
                <w:sz w:val="16"/>
                <w:szCs w:val="16"/>
              </w:rPr>
            </w:pPr>
            <w:r w:rsidRPr="00B93EE1">
              <w:rPr>
                <w:sz w:val="16"/>
                <w:szCs w:val="16"/>
              </w:rPr>
              <w:t>WT/REG451/N/1, 12/04/2021</w:t>
            </w:r>
          </w:p>
          <w:p w14:paraId="18442267" w14:textId="77777777" w:rsidR="00120717" w:rsidRPr="00B93EE1" w:rsidRDefault="00120717" w:rsidP="00075C8B">
            <w:pPr>
              <w:jc w:val="left"/>
              <w:rPr>
                <w:sz w:val="16"/>
                <w:szCs w:val="16"/>
              </w:rPr>
            </w:pPr>
            <w:r w:rsidRPr="00B93EE1">
              <w:rPr>
                <w:sz w:val="16"/>
                <w:szCs w:val="16"/>
              </w:rPr>
              <w:t>WT/REG395/N/1, 20/12/2018</w:t>
            </w:r>
          </w:p>
          <w:p w14:paraId="08E8775B" w14:textId="77777777" w:rsidR="00120717" w:rsidRPr="00B93EE1" w:rsidRDefault="00120717" w:rsidP="00075C8B">
            <w:pPr>
              <w:jc w:val="left"/>
              <w:rPr>
                <w:sz w:val="16"/>
                <w:szCs w:val="16"/>
              </w:rPr>
            </w:pPr>
            <w:r w:rsidRPr="00B93EE1">
              <w:rPr>
                <w:sz w:val="16"/>
                <w:szCs w:val="16"/>
              </w:rPr>
              <w:t>WT/REG367/N/1, 04/01/2016</w:t>
            </w:r>
          </w:p>
        </w:tc>
      </w:tr>
      <w:tr w:rsidR="00120717" w:rsidRPr="00B93EE1" w14:paraId="36CABCC2"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tcPr>
          <w:p w14:paraId="41CD4DEA" w14:textId="77777777" w:rsidR="00120717" w:rsidRPr="00B93EE1" w:rsidRDefault="00120717" w:rsidP="00075C8B">
            <w:pPr>
              <w:jc w:val="left"/>
              <w:rPr>
                <w:sz w:val="16"/>
                <w:szCs w:val="16"/>
              </w:rPr>
            </w:pPr>
            <w:r w:rsidRPr="00B93EE1">
              <w:rPr>
                <w:sz w:val="16"/>
                <w:szCs w:val="16"/>
              </w:rPr>
              <w:t>GATS, Article V:7(a)</w:t>
            </w:r>
          </w:p>
        </w:tc>
        <w:tc>
          <w:tcPr>
            <w:tcW w:w="2268" w:type="dxa"/>
          </w:tcPr>
          <w:p w14:paraId="7C32E352" w14:textId="77777777" w:rsidR="00120717" w:rsidRPr="00B93EE1" w:rsidRDefault="00120717" w:rsidP="00075C8B">
            <w:pPr>
              <w:jc w:val="left"/>
              <w:rPr>
                <w:sz w:val="16"/>
                <w:szCs w:val="16"/>
              </w:rPr>
            </w:pPr>
            <w:r w:rsidRPr="00B93EE1">
              <w:rPr>
                <w:sz w:val="16"/>
                <w:szCs w:val="16"/>
              </w:rPr>
              <w:t>Economic integration agreements</w:t>
            </w:r>
          </w:p>
        </w:tc>
        <w:tc>
          <w:tcPr>
            <w:tcW w:w="1584" w:type="dxa"/>
          </w:tcPr>
          <w:p w14:paraId="4747AE69" w14:textId="77777777" w:rsidR="00120717" w:rsidRPr="00B93EE1" w:rsidRDefault="00120717" w:rsidP="00075C8B">
            <w:pPr>
              <w:jc w:val="left"/>
              <w:rPr>
                <w:sz w:val="16"/>
                <w:szCs w:val="16"/>
              </w:rPr>
            </w:pPr>
            <w:r w:rsidRPr="00B93EE1">
              <w:rPr>
                <w:i/>
                <w:sz w:val="16"/>
                <w:szCs w:val="16"/>
              </w:rPr>
              <w:t>Ad hoc</w:t>
            </w:r>
          </w:p>
        </w:tc>
        <w:tc>
          <w:tcPr>
            <w:tcW w:w="2901" w:type="dxa"/>
          </w:tcPr>
          <w:p w14:paraId="23FAC218" w14:textId="77777777" w:rsidR="00120717" w:rsidRPr="00B93EE1" w:rsidRDefault="00120717" w:rsidP="00075C8B">
            <w:pPr>
              <w:jc w:val="left"/>
              <w:rPr>
                <w:sz w:val="16"/>
                <w:szCs w:val="16"/>
              </w:rPr>
            </w:pPr>
            <w:r w:rsidRPr="00B93EE1">
              <w:rPr>
                <w:sz w:val="16"/>
                <w:szCs w:val="16"/>
              </w:rPr>
              <w:t>S/C/N/1052, 12/04/2021</w:t>
            </w:r>
          </w:p>
          <w:p w14:paraId="65F4E54A" w14:textId="77777777" w:rsidR="00120717" w:rsidRPr="00B93EE1" w:rsidRDefault="00120717" w:rsidP="00075C8B">
            <w:pPr>
              <w:jc w:val="left"/>
              <w:rPr>
                <w:sz w:val="16"/>
                <w:szCs w:val="16"/>
              </w:rPr>
            </w:pPr>
            <w:r w:rsidRPr="00B93EE1">
              <w:rPr>
                <w:sz w:val="16"/>
                <w:szCs w:val="16"/>
              </w:rPr>
              <w:t>S/C/N/920, 20/12/2018</w:t>
            </w:r>
          </w:p>
          <w:p w14:paraId="7F0D282A" w14:textId="77777777" w:rsidR="00120717" w:rsidRPr="00B93EE1" w:rsidRDefault="00120717" w:rsidP="00075C8B">
            <w:pPr>
              <w:jc w:val="left"/>
              <w:rPr>
                <w:sz w:val="16"/>
                <w:szCs w:val="16"/>
              </w:rPr>
            </w:pPr>
            <w:r w:rsidRPr="00B93EE1">
              <w:rPr>
                <w:sz w:val="16"/>
                <w:szCs w:val="16"/>
              </w:rPr>
              <w:t>S/C/N/855, 04/01/2016</w:t>
            </w:r>
          </w:p>
        </w:tc>
      </w:tr>
      <w:tr w:rsidR="00120717" w:rsidRPr="00B93EE1" w14:paraId="26E55DA7" w14:textId="77777777" w:rsidTr="00075C8B">
        <w:trPr>
          <w:cantSplit/>
        </w:trPr>
        <w:tc>
          <w:tcPr>
            <w:tcW w:w="9016" w:type="dxa"/>
            <w:gridSpan w:val="4"/>
            <w:shd w:val="clear" w:color="auto" w:fill="FFFFFF" w:themeFill="background1"/>
          </w:tcPr>
          <w:p w14:paraId="1AB82EBA" w14:textId="77777777" w:rsidR="00120717" w:rsidRPr="00B93EE1" w:rsidRDefault="00120717" w:rsidP="00075C8B">
            <w:pPr>
              <w:keepNext/>
              <w:keepLines/>
              <w:jc w:val="left"/>
              <w:rPr>
                <w:sz w:val="16"/>
                <w:szCs w:val="16"/>
                <w:highlight w:val="cyan"/>
              </w:rPr>
            </w:pPr>
            <w:r w:rsidRPr="00B93EE1">
              <w:rPr>
                <w:b/>
                <w:bCs/>
                <w:sz w:val="16"/>
                <w:szCs w:val="16"/>
              </w:rPr>
              <w:lastRenderedPageBreak/>
              <w:t>Agreement on Rules of Origin</w:t>
            </w:r>
          </w:p>
        </w:tc>
      </w:tr>
      <w:tr w:rsidR="00120717" w:rsidRPr="00B93EE1" w14:paraId="7E1754E4"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tcPr>
          <w:p w14:paraId="48469F77" w14:textId="77777777" w:rsidR="00120717" w:rsidRPr="00B93EE1" w:rsidRDefault="00120717" w:rsidP="00075C8B">
            <w:pPr>
              <w:keepNext/>
              <w:keepLines/>
              <w:jc w:val="left"/>
              <w:rPr>
                <w:sz w:val="16"/>
                <w:szCs w:val="16"/>
              </w:rPr>
            </w:pPr>
            <w:r w:rsidRPr="00B93EE1">
              <w:rPr>
                <w:sz w:val="16"/>
                <w:szCs w:val="16"/>
              </w:rPr>
              <w:t xml:space="preserve">Article 5 and Annex II, para. 4 </w:t>
            </w:r>
          </w:p>
        </w:tc>
        <w:tc>
          <w:tcPr>
            <w:tcW w:w="2268" w:type="dxa"/>
          </w:tcPr>
          <w:p w14:paraId="5860833A" w14:textId="77777777" w:rsidR="00120717" w:rsidRPr="00B93EE1" w:rsidRDefault="00120717" w:rsidP="00075C8B">
            <w:pPr>
              <w:keepNext/>
              <w:keepLines/>
              <w:jc w:val="left"/>
              <w:rPr>
                <w:sz w:val="16"/>
                <w:szCs w:val="16"/>
              </w:rPr>
            </w:pPr>
            <w:r w:rsidRPr="00B93EE1">
              <w:rPr>
                <w:sz w:val="16"/>
                <w:szCs w:val="16"/>
              </w:rPr>
              <w:t xml:space="preserve">Changes to preferential rules of origin; new preferential rules of origin </w:t>
            </w:r>
          </w:p>
        </w:tc>
        <w:tc>
          <w:tcPr>
            <w:tcW w:w="1584" w:type="dxa"/>
          </w:tcPr>
          <w:p w14:paraId="09973099" w14:textId="77777777" w:rsidR="00120717" w:rsidRPr="00B93EE1" w:rsidRDefault="00120717" w:rsidP="00075C8B">
            <w:pPr>
              <w:keepNext/>
              <w:keepLines/>
              <w:jc w:val="left"/>
              <w:rPr>
                <w:sz w:val="16"/>
                <w:szCs w:val="16"/>
              </w:rPr>
            </w:pPr>
            <w:r w:rsidRPr="00B93EE1">
              <w:rPr>
                <w:i/>
                <w:sz w:val="16"/>
                <w:szCs w:val="16"/>
              </w:rPr>
              <w:t>Ad hoc</w:t>
            </w:r>
          </w:p>
        </w:tc>
        <w:tc>
          <w:tcPr>
            <w:tcW w:w="2901" w:type="dxa"/>
          </w:tcPr>
          <w:p w14:paraId="08301FF9" w14:textId="77777777" w:rsidR="00120717" w:rsidRPr="00B93EE1" w:rsidRDefault="00120717" w:rsidP="00075C8B">
            <w:pPr>
              <w:keepNext/>
              <w:keepLines/>
              <w:jc w:val="left"/>
              <w:rPr>
                <w:sz w:val="16"/>
                <w:szCs w:val="16"/>
              </w:rPr>
            </w:pPr>
            <w:r w:rsidRPr="00B93EE1">
              <w:rPr>
                <w:sz w:val="16"/>
                <w:szCs w:val="16"/>
              </w:rPr>
              <w:t>G/RO/N/183, 15/04/2019</w:t>
            </w:r>
          </w:p>
          <w:p w14:paraId="39474463" w14:textId="77777777" w:rsidR="00120717" w:rsidRPr="00B93EE1" w:rsidRDefault="00120717" w:rsidP="00075C8B">
            <w:pPr>
              <w:keepNext/>
              <w:keepLines/>
              <w:jc w:val="left"/>
              <w:rPr>
                <w:sz w:val="16"/>
                <w:szCs w:val="16"/>
              </w:rPr>
            </w:pPr>
            <w:r w:rsidRPr="00B93EE1">
              <w:rPr>
                <w:sz w:val="16"/>
                <w:szCs w:val="16"/>
              </w:rPr>
              <w:t>G/RO/N/136, 11/04/2016</w:t>
            </w:r>
          </w:p>
        </w:tc>
      </w:tr>
      <w:tr w:rsidR="00120717" w:rsidRPr="00B93EE1" w14:paraId="58BB7FF0" w14:textId="77777777" w:rsidTr="00075C8B">
        <w:trPr>
          <w:cantSplit/>
          <w:trHeight w:val="1106"/>
        </w:trPr>
        <w:tc>
          <w:tcPr>
            <w:tcW w:w="2263" w:type="dxa"/>
            <w:shd w:val="clear" w:color="auto" w:fill="C9DED4"/>
          </w:tcPr>
          <w:p w14:paraId="6020A13E" w14:textId="77777777" w:rsidR="00120717" w:rsidRPr="00B93EE1" w:rsidRDefault="00120717" w:rsidP="00075C8B">
            <w:pPr>
              <w:keepNext/>
              <w:keepLines/>
              <w:jc w:val="left"/>
              <w:rPr>
                <w:sz w:val="16"/>
                <w:szCs w:val="16"/>
              </w:rPr>
            </w:pPr>
            <w:r w:rsidRPr="00B93EE1">
              <w:rPr>
                <w:sz w:val="16"/>
                <w:szCs w:val="16"/>
              </w:rPr>
              <w:t xml:space="preserve">Article 5 and Annex II, para. 4 </w:t>
            </w:r>
            <w:r w:rsidRPr="00B93EE1">
              <w:rPr>
                <w:sz w:val="16"/>
                <w:szCs w:val="16"/>
              </w:rPr>
              <w:noBreakHyphen/>
              <w:t xml:space="preserve"> First time </w:t>
            </w:r>
          </w:p>
        </w:tc>
        <w:tc>
          <w:tcPr>
            <w:tcW w:w="2268" w:type="dxa"/>
            <w:shd w:val="clear" w:color="auto" w:fill="C9DED4"/>
          </w:tcPr>
          <w:p w14:paraId="5ED6AF73" w14:textId="77777777" w:rsidR="00120717" w:rsidRPr="00B93EE1" w:rsidRDefault="00120717" w:rsidP="00075C8B">
            <w:pPr>
              <w:keepNext/>
              <w:keepLines/>
              <w:jc w:val="left"/>
              <w:rPr>
                <w:sz w:val="16"/>
                <w:szCs w:val="16"/>
              </w:rPr>
            </w:pPr>
            <w:r w:rsidRPr="00B93EE1">
              <w:rPr>
                <w:sz w:val="16"/>
                <w:szCs w:val="16"/>
              </w:rPr>
              <w:t>Existing preferential rules of origin; judicial decisions and administrative rulings of general application relating to preferential rules of origin</w:t>
            </w:r>
          </w:p>
        </w:tc>
        <w:tc>
          <w:tcPr>
            <w:tcW w:w="1584" w:type="dxa"/>
            <w:shd w:val="clear" w:color="auto" w:fill="C9DED4"/>
          </w:tcPr>
          <w:p w14:paraId="6D15A624" w14:textId="77777777" w:rsidR="00120717" w:rsidRPr="00B93EE1" w:rsidRDefault="00120717" w:rsidP="00075C8B">
            <w:pPr>
              <w:keepNext/>
              <w:keepLines/>
              <w:jc w:val="left"/>
              <w:rPr>
                <w:i/>
                <w:iCs/>
                <w:sz w:val="16"/>
                <w:szCs w:val="16"/>
              </w:rPr>
            </w:pPr>
            <w:r w:rsidRPr="00B93EE1">
              <w:rPr>
                <w:sz w:val="16"/>
                <w:szCs w:val="16"/>
              </w:rPr>
              <w:t>Once only (within 90 days of the date of entry into force of the WTO Agreement for the Member concerned)</w:t>
            </w:r>
          </w:p>
        </w:tc>
        <w:tc>
          <w:tcPr>
            <w:tcW w:w="2901" w:type="dxa"/>
            <w:shd w:val="clear" w:color="auto" w:fill="C9DED4"/>
          </w:tcPr>
          <w:p w14:paraId="7293AB56" w14:textId="77777777" w:rsidR="00120717" w:rsidRPr="00B93EE1" w:rsidRDefault="00120717" w:rsidP="00075C8B">
            <w:pPr>
              <w:keepNext/>
              <w:keepLines/>
              <w:jc w:val="left"/>
              <w:rPr>
                <w:sz w:val="16"/>
                <w:szCs w:val="16"/>
              </w:rPr>
            </w:pPr>
            <w:r w:rsidRPr="00B93EE1">
              <w:rPr>
                <w:sz w:val="16"/>
                <w:szCs w:val="16"/>
              </w:rPr>
              <w:t>G/RO/N/224, 29/04/2021</w:t>
            </w:r>
          </w:p>
          <w:p w14:paraId="2620F09D" w14:textId="77777777" w:rsidR="00120717" w:rsidRPr="00B93EE1" w:rsidRDefault="00120717" w:rsidP="00075C8B">
            <w:pPr>
              <w:keepNext/>
              <w:keepLines/>
              <w:jc w:val="left"/>
              <w:rPr>
                <w:sz w:val="16"/>
                <w:szCs w:val="16"/>
              </w:rPr>
            </w:pPr>
            <w:r w:rsidRPr="00B93EE1">
              <w:rPr>
                <w:sz w:val="16"/>
                <w:szCs w:val="16"/>
              </w:rPr>
              <w:t>G/RO/</w:t>
            </w:r>
            <w:proofErr w:type="spellStart"/>
            <w:r w:rsidRPr="00B93EE1">
              <w:rPr>
                <w:sz w:val="16"/>
                <w:szCs w:val="16"/>
              </w:rPr>
              <w:t>LDC</w:t>
            </w:r>
            <w:proofErr w:type="spellEnd"/>
            <w:r w:rsidRPr="00B93EE1">
              <w:rPr>
                <w:sz w:val="16"/>
                <w:szCs w:val="16"/>
              </w:rPr>
              <w:t>/N/NZL/1, 05/09/2017</w:t>
            </w:r>
          </w:p>
        </w:tc>
      </w:tr>
      <w:tr w:rsidR="00120717" w:rsidRPr="00B93EE1" w14:paraId="18053176"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9016" w:type="dxa"/>
            <w:gridSpan w:val="4"/>
            <w:shd w:val="clear" w:color="auto" w:fill="auto"/>
            <w:hideMark/>
          </w:tcPr>
          <w:p w14:paraId="2C281047" w14:textId="77777777" w:rsidR="00120717" w:rsidRPr="00B93EE1" w:rsidRDefault="00120717" w:rsidP="00075C8B">
            <w:pPr>
              <w:jc w:val="left"/>
              <w:rPr>
                <w:b/>
                <w:bCs/>
                <w:sz w:val="16"/>
                <w:szCs w:val="16"/>
              </w:rPr>
            </w:pPr>
            <w:r w:rsidRPr="00B93EE1">
              <w:rPr>
                <w:b/>
                <w:bCs/>
                <w:sz w:val="16"/>
                <w:szCs w:val="16"/>
              </w:rPr>
              <w:t>Agreement on Import Licensing Procedures</w:t>
            </w:r>
          </w:p>
        </w:tc>
      </w:tr>
      <w:tr w:rsidR="00120717" w:rsidRPr="00B93EE1" w14:paraId="0F31872A" w14:textId="77777777" w:rsidTr="00075C8B">
        <w:trPr>
          <w:cantSplit/>
        </w:trPr>
        <w:tc>
          <w:tcPr>
            <w:tcW w:w="2263" w:type="dxa"/>
            <w:shd w:val="clear" w:color="auto" w:fill="C9DED4"/>
            <w:hideMark/>
          </w:tcPr>
          <w:p w14:paraId="1A474227" w14:textId="77777777" w:rsidR="00120717" w:rsidRPr="00B93EE1" w:rsidRDefault="00120717" w:rsidP="00075C8B">
            <w:pPr>
              <w:jc w:val="left"/>
              <w:rPr>
                <w:sz w:val="16"/>
                <w:szCs w:val="16"/>
              </w:rPr>
            </w:pPr>
            <w:r w:rsidRPr="00B93EE1">
              <w:rPr>
                <w:sz w:val="16"/>
                <w:szCs w:val="16"/>
              </w:rPr>
              <w:t>Article 7.3</w:t>
            </w:r>
          </w:p>
        </w:tc>
        <w:tc>
          <w:tcPr>
            <w:tcW w:w="2268" w:type="dxa"/>
            <w:shd w:val="clear" w:color="auto" w:fill="C9DED4"/>
            <w:hideMark/>
          </w:tcPr>
          <w:p w14:paraId="3AC1942E" w14:textId="77777777" w:rsidR="00120717" w:rsidRPr="00B93EE1" w:rsidRDefault="00120717" w:rsidP="00075C8B">
            <w:pPr>
              <w:jc w:val="left"/>
              <w:rPr>
                <w:sz w:val="16"/>
                <w:szCs w:val="16"/>
              </w:rPr>
            </w:pPr>
            <w:r w:rsidRPr="00B93EE1">
              <w:rPr>
                <w:sz w:val="16"/>
                <w:szCs w:val="16"/>
              </w:rPr>
              <w:t xml:space="preserve">Replies to questionnaire on import licensing procedures </w:t>
            </w:r>
          </w:p>
        </w:tc>
        <w:tc>
          <w:tcPr>
            <w:tcW w:w="1584" w:type="dxa"/>
            <w:shd w:val="clear" w:color="auto" w:fill="C9DED4"/>
            <w:hideMark/>
          </w:tcPr>
          <w:p w14:paraId="2F5E8386" w14:textId="77777777" w:rsidR="00120717" w:rsidRPr="00B93EE1" w:rsidRDefault="00120717" w:rsidP="00075C8B">
            <w:pPr>
              <w:jc w:val="left"/>
              <w:rPr>
                <w:sz w:val="16"/>
                <w:szCs w:val="16"/>
              </w:rPr>
            </w:pPr>
            <w:r w:rsidRPr="00B93EE1">
              <w:rPr>
                <w:sz w:val="16"/>
                <w:szCs w:val="16"/>
              </w:rPr>
              <w:t>Annual</w:t>
            </w:r>
          </w:p>
        </w:tc>
        <w:tc>
          <w:tcPr>
            <w:tcW w:w="2901" w:type="dxa"/>
            <w:shd w:val="clear" w:color="auto" w:fill="C9DED4"/>
          </w:tcPr>
          <w:p w14:paraId="57E88B36" w14:textId="77777777" w:rsidR="00120717" w:rsidRPr="00B93EE1" w:rsidRDefault="00120717" w:rsidP="00075C8B">
            <w:pPr>
              <w:jc w:val="left"/>
              <w:rPr>
                <w:sz w:val="16"/>
                <w:szCs w:val="16"/>
              </w:rPr>
            </w:pPr>
            <w:r w:rsidRPr="00B93EE1">
              <w:rPr>
                <w:sz w:val="16"/>
                <w:szCs w:val="16"/>
              </w:rPr>
              <w:t>G/LIC/N/3/NZL/8, 17/11/2021</w:t>
            </w:r>
          </w:p>
        </w:tc>
      </w:tr>
      <w:tr w:rsidR="00120717" w:rsidRPr="00B93EE1" w14:paraId="794E8E9B"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9016" w:type="dxa"/>
            <w:gridSpan w:val="4"/>
            <w:shd w:val="clear" w:color="auto" w:fill="auto"/>
            <w:hideMark/>
          </w:tcPr>
          <w:p w14:paraId="7A1B02FD" w14:textId="77777777" w:rsidR="00120717" w:rsidRPr="00B93EE1" w:rsidRDefault="00120717" w:rsidP="00075C8B">
            <w:pPr>
              <w:jc w:val="left"/>
              <w:rPr>
                <w:b/>
                <w:bCs/>
                <w:sz w:val="16"/>
                <w:szCs w:val="16"/>
              </w:rPr>
            </w:pPr>
            <w:r w:rsidRPr="00B93EE1">
              <w:rPr>
                <w:b/>
                <w:bCs/>
                <w:sz w:val="16"/>
                <w:szCs w:val="16"/>
              </w:rPr>
              <w:t>Agreement on the Application of Sanitary and Phytosanitary Measures</w:t>
            </w:r>
          </w:p>
        </w:tc>
      </w:tr>
      <w:tr w:rsidR="00120717" w:rsidRPr="00B93EE1" w14:paraId="2D0C7DE8" w14:textId="77777777" w:rsidTr="00075C8B">
        <w:trPr>
          <w:cantSplit/>
        </w:trPr>
        <w:tc>
          <w:tcPr>
            <w:tcW w:w="2263" w:type="dxa"/>
            <w:shd w:val="clear" w:color="auto" w:fill="C9DED4"/>
            <w:hideMark/>
          </w:tcPr>
          <w:p w14:paraId="55C1C353" w14:textId="77777777" w:rsidR="00120717" w:rsidRPr="00B93EE1" w:rsidRDefault="00120717" w:rsidP="00075C8B">
            <w:pPr>
              <w:jc w:val="left"/>
              <w:rPr>
                <w:sz w:val="16"/>
                <w:szCs w:val="16"/>
              </w:rPr>
            </w:pPr>
            <w:r w:rsidRPr="00B93EE1">
              <w:rPr>
                <w:sz w:val="16"/>
                <w:szCs w:val="16"/>
              </w:rPr>
              <w:t>Article 7 and Annex B</w:t>
            </w:r>
          </w:p>
        </w:tc>
        <w:tc>
          <w:tcPr>
            <w:tcW w:w="2268" w:type="dxa"/>
            <w:shd w:val="clear" w:color="auto" w:fill="C9DED4"/>
            <w:hideMark/>
          </w:tcPr>
          <w:p w14:paraId="056F1A1A" w14:textId="77777777" w:rsidR="00120717" w:rsidRPr="00B93EE1" w:rsidRDefault="00120717" w:rsidP="00075C8B">
            <w:pPr>
              <w:jc w:val="left"/>
              <w:rPr>
                <w:sz w:val="16"/>
                <w:szCs w:val="16"/>
              </w:rPr>
            </w:pPr>
            <w:r w:rsidRPr="00B93EE1">
              <w:rPr>
                <w:sz w:val="16"/>
                <w:szCs w:val="16"/>
              </w:rPr>
              <w:t>Sanitary/phytosanitary regulations</w:t>
            </w:r>
          </w:p>
        </w:tc>
        <w:tc>
          <w:tcPr>
            <w:tcW w:w="1584" w:type="dxa"/>
            <w:shd w:val="clear" w:color="auto" w:fill="C9DED4"/>
            <w:hideMark/>
          </w:tcPr>
          <w:p w14:paraId="12490DD9" w14:textId="77777777" w:rsidR="00120717" w:rsidRPr="00B93EE1" w:rsidRDefault="00120717" w:rsidP="00075C8B">
            <w:pPr>
              <w:jc w:val="left"/>
              <w:rPr>
                <w:sz w:val="16"/>
                <w:szCs w:val="16"/>
              </w:rPr>
            </w:pPr>
            <w:r w:rsidRPr="00B93EE1">
              <w:rPr>
                <w:i/>
                <w:sz w:val="16"/>
                <w:szCs w:val="16"/>
              </w:rPr>
              <w:t>Ad hoc</w:t>
            </w:r>
          </w:p>
        </w:tc>
        <w:tc>
          <w:tcPr>
            <w:tcW w:w="2901" w:type="dxa"/>
            <w:shd w:val="clear" w:color="auto" w:fill="C9DED4"/>
            <w:hideMark/>
          </w:tcPr>
          <w:p w14:paraId="17A4EC5E" w14:textId="77777777" w:rsidR="00120717" w:rsidRPr="00B93EE1" w:rsidRDefault="00120717" w:rsidP="00075C8B">
            <w:pPr>
              <w:jc w:val="left"/>
              <w:rPr>
                <w:sz w:val="16"/>
                <w:szCs w:val="16"/>
              </w:rPr>
            </w:pPr>
            <w:r w:rsidRPr="00B93EE1">
              <w:rPr>
                <w:sz w:val="16"/>
                <w:szCs w:val="16"/>
              </w:rPr>
              <w:t>G/SPS/N/NZL/512 (07/01/2015) to G/SPS/N/NZL/677 (20/12/2021)</w:t>
            </w:r>
          </w:p>
        </w:tc>
      </w:tr>
      <w:tr w:rsidR="00120717" w:rsidRPr="00B93EE1" w14:paraId="675BFCC2"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9016" w:type="dxa"/>
            <w:gridSpan w:val="4"/>
            <w:shd w:val="clear" w:color="auto" w:fill="auto"/>
            <w:hideMark/>
          </w:tcPr>
          <w:p w14:paraId="53470A1E" w14:textId="77777777" w:rsidR="00120717" w:rsidRPr="00B93EE1" w:rsidRDefault="00120717" w:rsidP="00075C8B">
            <w:pPr>
              <w:jc w:val="left"/>
              <w:rPr>
                <w:b/>
                <w:bCs/>
                <w:sz w:val="16"/>
                <w:szCs w:val="16"/>
              </w:rPr>
            </w:pPr>
            <w:r w:rsidRPr="00B93EE1">
              <w:rPr>
                <w:b/>
                <w:bCs/>
                <w:sz w:val="16"/>
                <w:szCs w:val="16"/>
              </w:rPr>
              <w:t>Agreement on Technical Barriers to Trade</w:t>
            </w:r>
          </w:p>
        </w:tc>
      </w:tr>
      <w:tr w:rsidR="00120717" w:rsidRPr="00B93EE1" w14:paraId="25E4F074" w14:textId="77777777" w:rsidTr="00075C8B">
        <w:trPr>
          <w:cantSplit/>
        </w:trPr>
        <w:tc>
          <w:tcPr>
            <w:tcW w:w="2263" w:type="dxa"/>
            <w:shd w:val="clear" w:color="auto" w:fill="C9DED4"/>
            <w:hideMark/>
          </w:tcPr>
          <w:p w14:paraId="4EFC92D7" w14:textId="77777777" w:rsidR="00120717" w:rsidRPr="00B93EE1" w:rsidRDefault="00120717" w:rsidP="00075C8B">
            <w:pPr>
              <w:jc w:val="left"/>
              <w:rPr>
                <w:sz w:val="16"/>
                <w:szCs w:val="16"/>
              </w:rPr>
            </w:pPr>
            <w:r w:rsidRPr="00B93EE1">
              <w:rPr>
                <w:sz w:val="16"/>
                <w:szCs w:val="16"/>
              </w:rPr>
              <w:t>Article 2.9.2</w:t>
            </w:r>
          </w:p>
        </w:tc>
        <w:tc>
          <w:tcPr>
            <w:tcW w:w="2268" w:type="dxa"/>
            <w:shd w:val="clear" w:color="auto" w:fill="C9DED4"/>
            <w:hideMark/>
          </w:tcPr>
          <w:p w14:paraId="4A9A1F51" w14:textId="77777777" w:rsidR="00120717" w:rsidRPr="00B93EE1" w:rsidRDefault="00120717" w:rsidP="00075C8B">
            <w:pPr>
              <w:jc w:val="left"/>
              <w:rPr>
                <w:sz w:val="16"/>
                <w:szCs w:val="16"/>
              </w:rPr>
            </w:pPr>
            <w:r w:rsidRPr="00B93EE1">
              <w:rPr>
                <w:sz w:val="16"/>
                <w:szCs w:val="16"/>
              </w:rPr>
              <w:t>Technical regulations</w:t>
            </w:r>
          </w:p>
        </w:tc>
        <w:tc>
          <w:tcPr>
            <w:tcW w:w="1584" w:type="dxa"/>
            <w:shd w:val="clear" w:color="auto" w:fill="C9DED4"/>
            <w:hideMark/>
          </w:tcPr>
          <w:p w14:paraId="15B03EC5" w14:textId="77777777" w:rsidR="00120717" w:rsidRPr="00B93EE1" w:rsidRDefault="00120717" w:rsidP="00075C8B">
            <w:pPr>
              <w:jc w:val="left"/>
              <w:rPr>
                <w:sz w:val="16"/>
                <w:szCs w:val="16"/>
              </w:rPr>
            </w:pPr>
            <w:r w:rsidRPr="00B93EE1">
              <w:rPr>
                <w:i/>
                <w:sz w:val="16"/>
                <w:szCs w:val="16"/>
              </w:rPr>
              <w:t>Ad hoc</w:t>
            </w:r>
          </w:p>
        </w:tc>
        <w:tc>
          <w:tcPr>
            <w:tcW w:w="2901" w:type="dxa"/>
            <w:shd w:val="clear" w:color="auto" w:fill="C9DED4"/>
            <w:hideMark/>
          </w:tcPr>
          <w:p w14:paraId="2564C4F7" w14:textId="77777777" w:rsidR="00120717" w:rsidRPr="00B93EE1" w:rsidRDefault="00120717" w:rsidP="00075C8B">
            <w:pPr>
              <w:jc w:val="left"/>
              <w:rPr>
                <w:sz w:val="16"/>
                <w:szCs w:val="16"/>
              </w:rPr>
            </w:pPr>
            <w:r w:rsidRPr="00B93EE1">
              <w:rPr>
                <w:sz w:val="16"/>
                <w:szCs w:val="16"/>
              </w:rPr>
              <w:t>G/TBT/N/NZL/71 (15/04/2015) to G/TBT/N/NZL/109 (27/12/2021)</w:t>
            </w:r>
          </w:p>
        </w:tc>
      </w:tr>
      <w:tr w:rsidR="00120717" w:rsidRPr="00B93EE1" w14:paraId="747E9B3B"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tcPr>
          <w:p w14:paraId="5AE958DF" w14:textId="77777777" w:rsidR="00120717" w:rsidRPr="00B93EE1" w:rsidRDefault="00120717" w:rsidP="00075C8B">
            <w:pPr>
              <w:jc w:val="left"/>
              <w:rPr>
                <w:sz w:val="16"/>
                <w:szCs w:val="16"/>
              </w:rPr>
            </w:pPr>
            <w:r w:rsidRPr="00B93EE1">
              <w:rPr>
                <w:sz w:val="16"/>
                <w:szCs w:val="16"/>
              </w:rPr>
              <w:t>Article 2.10.1</w:t>
            </w:r>
          </w:p>
        </w:tc>
        <w:tc>
          <w:tcPr>
            <w:tcW w:w="2268" w:type="dxa"/>
          </w:tcPr>
          <w:p w14:paraId="45034ED5" w14:textId="77777777" w:rsidR="00120717" w:rsidRPr="00B93EE1" w:rsidRDefault="00120717" w:rsidP="00075C8B">
            <w:pPr>
              <w:jc w:val="left"/>
              <w:rPr>
                <w:sz w:val="16"/>
                <w:szCs w:val="16"/>
              </w:rPr>
            </w:pPr>
            <w:r w:rsidRPr="00B93EE1">
              <w:rPr>
                <w:sz w:val="16"/>
                <w:szCs w:val="16"/>
              </w:rPr>
              <w:t>Technical regulations (urgent)</w:t>
            </w:r>
          </w:p>
        </w:tc>
        <w:tc>
          <w:tcPr>
            <w:tcW w:w="1584" w:type="dxa"/>
          </w:tcPr>
          <w:p w14:paraId="2AF429D5" w14:textId="77777777" w:rsidR="00120717" w:rsidRPr="00B93EE1" w:rsidRDefault="00120717" w:rsidP="00075C8B">
            <w:pPr>
              <w:jc w:val="left"/>
              <w:rPr>
                <w:i/>
                <w:iCs/>
                <w:sz w:val="16"/>
                <w:szCs w:val="16"/>
              </w:rPr>
            </w:pPr>
            <w:r w:rsidRPr="00B93EE1">
              <w:rPr>
                <w:i/>
                <w:sz w:val="16"/>
                <w:szCs w:val="16"/>
              </w:rPr>
              <w:t>Ad hoc</w:t>
            </w:r>
          </w:p>
        </w:tc>
        <w:tc>
          <w:tcPr>
            <w:tcW w:w="2901" w:type="dxa"/>
          </w:tcPr>
          <w:p w14:paraId="73F58BCB" w14:textId="77777777" w:rsidR="00120717" w:rsidRPr="00B93EE1" w:rsidRDefault="00120717" w:rsidP="00075C8B">
            <w:pPr>
              <w:jc w:val="left"/>
              <w:rPr>
                <w:sz w:val="16"/>
                <w:szCs w:val="16"/>
              </w:rPr>
            </w:pPr>
            <w:r w:rsidRPr="00B93EE1">
              <w:rPr>
                <w:sz w:val="16"/>
                <w:szCs w:val="16"/>
              </w:rPr>
              <w:t>G/TBT/N/NZL/96, 21/01/2020</w:t>
            </w:r>
          </w:p>
          <w:p w14:paraId="2E00EC86" w14:textId="77777777" w:rsidR="00120717" w:rsidRPr="00B93EE1" w:rsidRDefault="00120717" w:rsidP="00075C8B">
            <w:pPr>
              <w:jc w:val="left"/>
              <w:rPr>
                <w:sz w:val="16"/>
                <w:szCs w:val="16"/>
              </w:rPr>
            </w:pPr>
            <w:r w:rsidRPr="00B93EE1">
              <w:rPr>
                <w:sz w:val="16"/>
                <w:szCs w:val="16"/>
              </w:rPr>
              <w:t>G/TBT/N/NZL/87, 16/04/2019</w:t>
            </w:r>
          </w:p>
        </w:tc>
      </w:tr>
      <w:tr w:rsidR="00120717" w:rsidRPr="00B93EE1" w14:paraId="4EC1EED1" w14:textId="77777777" w:rsidTr="00075C8B">
        <w:trPr>
          <w:cantSplit/>
        </w:trPr>
        <w:tc>
          <w:tcPr>
            <w:tcW w:w="2263" w:type="dxa"/>
            <w:shd w:val="clear" w:color="auto" w:fill="C9DED4"/>
          </w:tcPr>
          <w:p w14:paraId="38161C5F" w14:textId="77777777" w:rsidR="00120717" w:rsidRPr="00B93EE1" w:rsidRDefault="00120717" w:rsidP="00075C8B">
            <w:pPr>
              <w:jc w:val="left"/>
              <w:rPr>
                <w:sz w:val="16"/>
                <w:szCs w:val="16"/>
              </w:rPr>
            </w:pPr>
            <w:r w:rsidRPr="00B93EE1">
              <w:rPr>
                <w:sz w:val="16"/>
                <w:szCs w:val="16"/>
              </w:rPr>
              <w:t>Articles 2.10 and 5.7</w:t>
            </w:r>
          </w:p>
        </w:tc>
        <w:tc>
          <w:tcPr>
            <w:tcW w:w="2268" w:type="dxa"/>
            <w:shd w:val="clear" w:color="auto" w:fill="C9DED4"/>
            <w:vAlign w:val="center"/>
          </w:tcPr>
          <w:p w14:paraId="434B3EC1" w14:textId="77777777" w:rsidR="00120717" w:rsidRPr="00B93EE1" w:rsidRDefault="00120717" w:rsidP="00075C8B">
            <w:pPr>
              <w:jc w:val="left"/>
              <w:rPr>
                <w:sz w:val="16"/>
                <w:szCs w:val="16"/>
              </w:rPr>
            </w:pPr>
            <w:r w:rsidRPr="00B93EE1">
              <w:rPr>
                <w:sz w:val="16"/>
                <w:szCs w:val="16"/>
              </w:rPr>
              <w:t>Technical regulations and conformity assessment procedures (urgent)</w:t>
            </w:r>
          </w:p>
        </w:tc>
        <w:tc>
          <w:tcPr>
            <w:tcW w:w="1584" w:type="dxa"/>
            <w:shd w:val="clear" w:color="auto" w:fill="C9DED4"/>
          </w:tcPr>
          <w:p w14:paraId="38B34E93" w14:textId="77777777" w:rsidR="00120717" w:rsidRPr="00B93EE1" w:rsidRDefault="00120717" w:rsidP="00075C8B">
            <w:pPr>
              <w:jc w:val="left"/>
              <w:rPr>
                <w:i/>
                <w:iCs/>
                <w:sz w:val="16"/>
                <w:szCs w:val="16"/>
              </w:rPr>
            </w:pPr>
            <w:r w:rsidRPr="00B93EE1">
              <w:rPr>
                <w:i/>
                <w:sz w:val="16"/>
                <w:szCs w:val="16"/>
              </w:rPr>
              <w:t>Ad hoc</w:t>
            </w:r>
          </w:p>
        </w:tc>
        <w:tc>
          <w:tcPr>
            <w:tcW w:w="2901" w:type="dxa"/>
            <w:shd w:val="clear" w:color="auto" w:fill="C9DED4"/>
          </w:tcPr>
          <w:p w14:paraId="51DA3CC9" w14:textId="77777777" w:rsidR="00120717" w:rsidRPr="00B93EE1" w:rsidRDefault="00120717" w:rsidP="00075C8B">
            <w:pPr>
              <w:jc w:val="left"/>
              <w:rPr>
                <w:sz w:val="16"/>
                <w:szCs w:val="16"/>
              </w:rPr>
            </w:pPr>
            <w:r w:rsidRPr="00B93EE1">
              <w:rPr>
                <w:sz w:val="16"/>
                <w:szCs w:val="16"/>
              </w:rPr>
              <w:t>G/TBT/N/NZL/105, 03/05/2021</w:t>
            </w:r>
          </w:p>
          <w:p w14:paraId="3C5ACDA0" w14:textId="77777777" w:rsidR="00120717" w:rsidRPr="00B93EE1" w:rsidRDefault="00120717" w:rsidP="00075C8B">
            <w:pPr>
              <w:jc w:val="left"/>
              <w:rPr>
                <w:sz w:val="16"/>
                <w:szCs w:val="16"/>
              </w:rPr>
            </w:pPr>
            <w:r w:rsidRPr="00B93EE1">
              <w:rPr>
                <w:sz w:val="16"/>
                <w:szCs w:val="16"/>
              </w:rPr>
              <w:t>G/TBT/N/NZL/101, 15/06/2020</w:t>
            </w:r>
          </w:p>
          <w:p w14:paraId="028F4E77" w14:textId="77777777" w:rsidR="00120717" w:rsidRPr="00B93EE1" w:rsidRDefault="00120717" w:rsidP="00075C8B">
            <w:pPr>
              <w:jc w:val="left"/>
              <w:rPr>
                <w:sz w:val="16"/>
                <w:szCs w:val="16"/>
              </w:rPr>
            </w:pPr>
            <w:r w:rsidRPr="00B93EE1">
              <w:rPr>
                <w:sz w:val="16"/>
                <w:szCs w:val="16"/>
              </w:rPr>
              <w:t>G/TBT/N/NZL/99, 01/04/2020</w:t>
            </w:r>
          </w:p>
        </w:tc>
      </w:tr>
      <w:tr w:rsidR="00120717" w:rsidRPr="00B93EE1" w14:paraId="1CA60F7C"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9016" w:type="dxa"/>
            <w:gridSpan w:val="4"/>
            <w:shd w:val="clear" w:color="auto" w:fill="auto"/>
            <w:hideMark/>
          </w:tcPr>
          <w:p w14:paraId="00F39BA1" w14:textId="77777777" w:rsidR="00120717" w:rsidRPr="00B93EE1" w:rsidRDefault="00120717" w:rsidP="00075C8B">
            <w:pPr>
              <w:keepNext/>
              <w:keepLines/>
              <w:jc w:val="left"/>
              <w:rPr>
                <w:b/>
                <w:bCs/>
                <w:sz w:val="16"/>
                <w:szCs w:val="16"/>
              </w:rPr>
            </w:pPr>
            <w:r w:rsidRPr="00B93EE1">
              <w:rPr>
                <w:b/>
                <w:bCs/>
                <w:sz w:val="16"/>
                <w:szCs w:val="16"/>
              </w:rPr>
              <w:t>Decision on Notification Procedures for Quantitative Restrictions (G/L/59/Rev.1)</w:t>
            </w:r>
          </w:p>
        </w:tc>
      </w:tr>
      <w:tr w:rsidR="00120717" w:rsidRPr="00B93EE1" w14:paraId="6E9A9AB2" w14:textId="77777777" w:rsidTr="00075C8B">
        <w:trPr>
          <w:cantSplit/>
        </w:trPr>
        <w:tc>
          <w:tcPr>
            <w:tcW w:w="2263" w:type="dxa"/>
            <w:shd w:val="clear" w:color="auto" w:fill="C9DED4"/>
            <w:hideMark/>
          </w:tcPr>
          <w:p w14:paraId="29ACD108" w14:textId="77777777" w:rsidR="00120717" w:rsidRPr="00B93EE1" w:rsidRDefault="00120717" w:rsidP="00075C8B">
            <w:pPr>
              <w:jc w:val="left"/>
              <w:rPr>
                <w:sz w:val="16"/>
                <w:szCs w:val="16"/>
              </w:rPr>
            </w:pPr>
            <w:r w:rsidRPr="00B93EE1">
              <w:rPr>
                <w:sz w:val="16"/>
                <w:szCs w:val="16"/>
              </w:rPr>
              <w:t>G/L/59/Rev.1</w:t>
            </w:r>
          </w:p>
        </w:tc>
        <w:tc>
          <w:tcPr>
            <w:tcW w:w="2268" w:type="dxa"/>
            <w:shd w:val="clear" w:color="auto" w:fill="C9DED4"/>
            <w:hideMark/>
          </w:tcPr>
          <w:p w14:paraId="65DBDBBC" w14:textId="77777777" w:rsidR="00120717" w:rsidRPr="00B93EE1" w:rsidRDefault="00120717" w:rsidP="00075C8B">
            <w:pPr>
              <w:jc w:val="left"/>
              <w:rPr>
                <w:sz w:val="16"/>
                <w:szCs w:val="16"/>
              </w:rPr>
            </w:pPr>
            <w:r w:rsidRPr="00B93EE1">
              <w:rPr>
                <w:sz w:val="16"/>
                <w:szCs w:val="16"/>
              </w:rPr>
              <w:t>List of quantitative restrictions in force</w:t>
            </w:r>
          </w:p>
        </w:tc>
        <w:tc>
          <w:tcPr>
            <w:tcW w:w="1584" w:type="dxa"/>
            <w:shd w:val="clear" w:color="auto" w:fill="C9DED4"/>
            <w:hideMark/>
          </w:tcPr>
          <w:p w14:paraId="3E89A9DB" w14:textId="77777777" w:rsidR="00120717" w:rsidRPr="00B93EE1" w:rsidRDefault="00120717" w:rsidP="00075C8B">
            <w:pPr>
              <w:jc w:val="left"/>
              <w:rPr>
                <w:sz w:val="16"/>
                <w:szCs w:val="16"/>
              </w:rPr>
            </w:pPr>
            <w:r w:rsidRPr="00B93EE1">
              <w:rPr>
                <w:sz w:val="16"/>
                <w:szCs w:val="16"/>
              </w:rPr>
              <w:t xml:space="preserve">Biennial; </w:t>
            </w:r>
            <w:r w:rsidRPr="00B93EE1">
              <w:rPr>
                <w:i/>
                <w:sz w:val="16"/>
                <w:szCs w:val="16"/>
              </w:rPr>
              <w:t>Ad hoc</w:t>
            </w:r>
            <w:r w:rsidRPr="00B93EE1">
              <w:rPr>
                <w:i/>
                <w:iCs/>
                <w:sz w:val="16"/>
                <w:szCs w:val="16"/>
              </w:rPr>
              <w:t xml:space="preserve"> </w:t>
            </w:r>
            <w:r w:rsidRPr="00B93EE1">
              <w:rPr>
                <w:sz w:val="16"/>
                <w:szCs w:val="16"/>
              </w:rPr>
              <w:t>(changes)</w:t>
            </w:r>
          </w:p>
        </w:tc>
        <w:tc>
          <w:tcPr>
            <w:tcW w:w="2901" w:type="dxa"/>
            <w:shd w:val="clear" w:color="auto" w:fill="C9DED4"/>
          </w:tcPr>
          <w:p w14:paraId="4245FD97" w14:textId="77777777" w:rsidR="00120717" w:rsidRPr="00B55C45" w:rsidRDefault="00120717" w:rsidP="00075C8B">
            <w:pPr>
              <w:jc w:val="left"/>
              <w:rPr>
                <w:sz w:val="16"/>
                <w:szCs w:val="16"/>
                <w:lang w:val="fr-CH"/>
              </w:rPr>
            </w:pPr>
            <w:r w:rsidRPr="00B55C45">
              <w:rPr>
                <w:sz w:val="16"/>
                <w:szCs w:val="16"/>
                <w:lang w:val="fr-CH"/>
              </w:rPr>
              <w:t>G/MA/QR/N/</w:t>
            </w:r>
            <w:proofErr w:type="spellStart"/>
            <w:r w:rsidRPr="00B55C45">
              <w:rPr>
                <w:sz w:val="16"/>
                <w:szCs w:val="16"/>
                <w:lang w:val="fr-CH"/>
              </w:rPr>
              <w:t>NZL</w:t>
            </w:r>
            <w:proofErr w:type="spellEnd"/>
            <w:r w:rsidRPr="00B55C45">
              <w:rPr>
                <w:sz w:val="16"/>
                <w:szCs w:val="16"/>
                <w:lang w:val="fr-CH"/>
              </w:rPr>
              <w:t>/5, 25/03/2021</w:t>
            </w:r>
          </w:p>
          <w:p w14:paraId="121E6B31" w14:textId="77777777" w:rsidR="00120717" w:rsidRPr="00B55C45" w:rsidRDefault="00120717" w:rsidP="00075C8B">
            <w:pPr>
              <w:jc w:val="left"/>
              <w:rPr>
                <w:sz w:val="16"/>
                <w:szCs w:val="16"/>
                <w:lang w:val="fr-CH"/>
              </w:rPr>
            </w:pPr>
            <w:r w:rsidRPr="00B55C45">
              <w:rPr>
                <w:sz w:val="16"/>
                <w:szCs w:val="16"/>
                <w:lang w:val="fr-CH"/>
              </w:rPr>
              <w:t>G/MA/QR/N/</w:t>
            </w:r>
            <w:proofErr w:type="spellStart"/>
            <w:r w:rsidRPr="00B55C45">
              <w:rPr>
                <w:sz w:val="16"/>
                <w:szCs w:val="16"/>
                <w:lang w:val="fr-CH"/>
              </w:rPr>
              <w:t>NZL</w:t>
            </w:r>
            <w:proofErr w:type="spellEnd"/>
            <w:r w:rsidRPr="00B55C45">
              <w:rPr>
                <w:sz w:val="16"/>
                <w:szCs w:val="16"/>
                <w:lang w:val="fr-CH"/>
              </w:rPr>
              <w:t>/4, 31/10/2019</w:t>
            </w:r>
          </w:p>
          <w:p w14:paraId="3402E868" w14:textId="77777777" w:rsidR="00120717" w:rsidRPr="00B93EE1" w:rsidRDefault="00120717" w:rsidP="00075C8B">
            <w:pPr>
              <w:jc w:val="left"/>
              <w:rPr>
                <w:sz w:val="16"/>
                <w:szCs w:val="16"/>
              </w:rPr>
            </w:pPr>
            <w:r w:rsidRPr="00B93EE1">
              <w:rPr>
                <w:sz w:val="16"/>
                <w:szCs w:val="16"/>
              </w:rPr>
              <w:t>G/MA/QR/N/NZL/3, 18/05/2018</w:t>
            </w:r>
          </w:p>
        </w:tc>
      </w:tr>
      <w:tr w:rsidR="00120717" w:rsidRPr="00B93EE1" w14:paraId="3B5471EB"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9016" w:type="dxa"/>
            <w:gridSpan w:val="4"/>
            <w:shd w:val="clear" w:color="auto" w:fill="FFFFFF" w:themeFill="background1"/>
          </w:tcPr>
          <w:p w14:paraId="3C2D925B" w14:textId="77777777" w:rsidR="00120717" w:rsidRPr="00B93EE1" w:rsidRDefault="00120717" w:rsidP="00075C8B">
            <w:pPr>
              <w:jc w:val="left"/>
              <w:rPr>
                <w:sz w:val="16"/>
                <w:szCs w:val="16"/>
              </w:rPr>
            </w:pPr>
            <w:r w:rsidRPr="00B93EE1">
              <w:rPr>
                <w:b/>
                <w:sz w:val="16"/>
                <w:szCs w:val="16"/>
              </w:rPr>
              <w:t>Agreement on Trade-Related Aspects of Intellectual Property Rights</w:t>
            </w:r>
          </w:p>
        </w:tc>
      </w:tr>
      <w:tr w:rsidR="00120717" w:rsidRPr="00B93EE1" w14:paraId="44289222" w14:textId="77777777" w:rsidTr="00075C8B">
        <w:trPr>
          <w:cantSplit/>
        </w:trPr>
        <w:tc>
          <w:tcPr>
            <w:tcW w:w="2263" w:type="dxa"/>
            <w:shd w:val="clear" w:color="auto" w:fill="C9DED4"/>
          </w:tcPr>
          <w:p w14:paraId="31A31B70" w14:textId="77777777" w:rsidR="00120717" w:rsidRPr="00B93EE1" w:rsidRDefault="00120717" w:rsidP="00075C8B">
            <w:pPr>
              <w:jc w:val="left"/>
              <w:rPr>
                <w:sz w:val="16"/>
                <w:szCs w:val="16"/>
              </w:rPr>
            </w:pPr>
            <w:r w:rsidRPr="00B93EE1">
              <w:rPr>
                <w:sz w:val="16"/>
                <w:szCs w:val="16"/>
              </w:rPr>
              <w:t>Article 63.2</w:t>
            </w:r>
          </w:p>
        </w:tc>
        <w:tc>
          <w:tcPr>
            <w:tcW w:w="2268" w:type="dxa"/>
            <w:shd w:val="clear" w:color="auto" w:fill="C9DED4"/>
          </w:tcPr>
          <w:p w14:paraId="59607413" w14:textId="77777777" w:rsidR="00120717" w:rsidRPr="00B93EE1" w:rsidRDefault="00120717" w:rsidP="00075C8B">
            <w:pPr>
              <w:jc w:val="left"/>
              <w:rPr>
                <w:sz w:val="16"/>
                <w:szCs w:val="16"/>
              </w:rPr>
            </w:pPr>
            <w:r w:rsidRPr="00B93EE1">
              <w:rPr>
                <w:sz w:val="16"/>
                <w:szCs w:val="16"/>
              </w:rPr>
              <w:t>Laws and regulations</w:t>
            </w:r>
          </w:p>
        </w:tc>
        <w:tc>
          <w:tcPr>
            <w:tcW w:w="1584" w:type="dxa"/>
            <w:shd w:val="clear" w:color="auto" w:fill="C9DED4"/>
          </w:tcPr>
          <w:p w14:paraId="6451D551" w14:textId="77777777" w:rsidR="00120717" w:rsidRPr="00B93EE1" w:rsidRDefault="00120717" w:rsidP="00075C8B">
            <w:pPr>
              <w:jc w:val="left"/>
              <w:rPr>
                <w:sz w:val="16"/>
                <w:szCs w:val="16"/>
              </w:rPr>
            </w:pPr>
            <w:r w:rsidRPr="00B93EE1">
              <w:rPr>
                <w:sz w:val="16"/>
                <w:szCs w:val="16"/>
              </w:rPr>
              <w:t>Once, then changes</w:t>
            </w:r>
          </w:p>
        </w:tc>
        <w:tc>
          <w:tcPr>
            <w:tcW w:w="2901" w:type="dxa"/>
            <w:shd w:val="clear" w:color="auto" w:fill="C9DED4"/>
          </w:tcPr>
          <w:p w14:paraId="32716B27" w14:textId="77777777" w:rsidR="00120717" w:rsidRPr="00B93EE1" w:rsidRDefault="00120717" w:rsidP="00075C8B">
            <w:pPr>
              <w:jc w:val="left"/>
              <w:rPr>
                <w:sz w:val="16"/>
                <w:szCs w:val="16"/>
              </w:rPr>
            </w:pPr>
            <w:r w:rsidRPr="00B93EE1">
              <w:rPr>
                <w:sz w:val="16"/>
                <w:szCs w:val="16"/>
              </w:rPr>
              <w:t>IP/N/1/NZL/5 - IP/N/1/NZL/P/5 (23/02/2015) to IP/N/1/NZL/19 - IP/N/1/NZL/C/10 - IP/N/1/NZL/P/12 - IP/N/1/NZL/T/9 (09/04/2021)</w:t>
            </w:r>
          </w:p>
        </w:tc>
      </w:tr>
      <w:tr w:rsidR="00120717" w:rsidRPr="00B93EE1" w14:paraId="7D5B15CD"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9016" w:type="dxa"/>
            <w:gridSpan w:val="4"/>
            <w:shd w:val="clear" w:color="auto" w:fill="FFFFFF" w:themeFill="background1"/>
          </w:tcPr>
          <w:p w14:paraId="637AE975" w14:textId="77777777" w:rsidR="00120717" w:rsidRPr="00B93EE1" w:rsidRDefault="00120717" w:rsidP="00075C8B">
            <w:pPr>
              <w:jc w:val="left"/>
              <w:rPr>
                <w:sz w:val="16"/>
                <w:szCs w:val="16"/>
              </w:rPr>
            </w:pPr>
            <w:r w:rsidRPr="00B93EE1">
              <w:rPr>
                <w:b/>
                <w:bCs/>
                <w:sz w:val="16"/>
                <w:szCs w:val="16"/>
              </w:rPr>
              <w:t>General Agreement on Trade in Services</w:t>
            </w:r>
          </w:p>
        </w:tc>
      </w:tr>
      <w:tr w:rsidR="00120717" w:rsidRPr="00B93EE1" w14:paraId="323B229F" w14:textId="77777777" w:rsidTr="00075C8B">
        <w:trPr>
          <w:cantSplit/>
        </w:trPr>
        <w:tc>
          <w:tcPr>
            <w:tcW w:w="2263" w:type="dxa"/>
            <w:shd w:val="clear" w:color="auto" w:fill="C9DED4"/>
          </w:tcPr>
          <w:p w14:paraId="2A6053AF" w14:textId="77777777" w:rsidR="00120717" w:rsidRPr="00B93EE1" w:rsidRDefault="00120717" w:rsidP="00075C8B">
            <w:pPr>
              <w:jc w:val="left"/>
              <w:rPr>
                <w:sz w:val="16"/>
                <w:szCs w:val="16"/>
              </w:rPr>
            </w:pPr>
            <w:r w:rsidRPr="00B93EE1">
              <w:rPr>
                <w:sz w:val="16"/>
                <w:szCs w:val="16"/>
              </w:rPr>
              <w:t>Article III:3</w:t>
            </w:r>
          </w:p>
        </w:tc>
        <w:tc>
          <w:tcPr>
            <w:tcW w:w="2268" w:type="dxa"/>
            <w:shd w:val="clear" w:color="auto" w:fill="C9DED4"/>
          </w:tcPr>
          <w:p w14:paraId="4C771DF1" w14:textId="77777777" w:rsidR="00120717" w:rsidRPr="00B93EE1" w:rsidRDefault="00120717" w:rsidP="00075C8B">
            <w:pPr>
              <w:jc w:val="left"/>
              <w:rPr>
                <w:sz w:val="16"/>
                <w:szCs w:val="16"/>
              </w:rPr>
            </w:pPr>
            <w:r w:rsidRPr="00B93EE1">
              <w:rPr>
                <w:sz w:val="16"/>
                <w:szCs w:val="16"/>
              </w:rPr>
              <w:t>Change in regulation affecting trade in scheduled sectors</w:t>
            </w:r>
          </w:p>
        </w:tc>
        <w:tc>
          <w:tcPr>
            <w:tcW w:w="1584" w:type="dxa"/>
            <w:shd w:val="clear" w:color="auto" w:fill="C9DED4"/>
          </w:tcPr>
          <w:p w14:paraId="10C47754" w14:textId="77777777" w:rsidR="00120717" w:rsidRPr="00B93EE1" w:rsidRDefault="00120717" w:rsidP="00075C8B">
            <w:pPr>
              <w:jc w:val="left"/>
              <w:rPr>
                <w:sz w:val="16"/>
                <w:szCs w:val="16"/>
              </w:rPr>
            </w:pPr>
            <w:r w:rsidRPr="00B93EE1">
              <w:rPr>
                <w:i/>
                <w:sz w:val="16"/>
                <w:szCs w:val="16"/>
              </w:rPr>
              <w:t>Ad hoc</w:t>
            </w:r>
          </w:p>
        </w:tc>
        <w:tc>
          <w:tcPr>
            <w:tcW w:w="2901" w:type="dxa"/>
            <w:shd w:val="clear" w:color="auto" w:fill="C9DED4"/>
          </w:tcPr>
          <w:p w14:paraId="5C227DA6" w14:textId="77777777" w:rsidR="00120717" w:rsidRPr="00B93EE1" w:rsidRDefault="00120717" w:rsidP="00075C8B">
            <w:pPr>
              <w:jc w:val="left"/>
              <w:rPr>
                <w:sz w:val="16"/>
                <w:szCs w:val="16"/>
              </w:rPr>
            </w:pPr>
            <w:r w:rsidRPr="00B93EE1">
              <w:rPr>
                <w:sz w:val="16"/>
                <w:szCs w:val="16"/>
              </w:rPr>
              <w:t>S/C/N/931 to S/C/N/945, 11/03/2019</w:t>
            </w:r>
          </w:p>
        </w:tc>
      </w:tr>
      <w:tr w:rsidR="00120717" w:rsidRPr="00B93EE1" w14:paraId="1944D5EB"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tcPr>
          <w:p w14:paraId="21ABF505" w14:textId="77777777" w:rsidR="00120717" w:rsidRPr="00B93EE1" w:rsidRDefault="00120717" w:rsidP="00075C8B">
            <w:pPr>
              <w:jc w:val="left"/>
              <w:rPr>
                <w:sz w:val="16"/>
                <w:szCs w:val="16"/>
              </w:rPr>
            </w:pPr>
            <w:r w:rsidRPr="00B93EE1">
              <w:rPr>
                <w:sz w:val="16"/>
                <w:szCs w:val="16"/>
              </w:rPr>
              <w:t xml:space="preserve">Article III:4 </w:t>
            </w:r>
          </w:p>
        </w:tc>
        <w:tc>
          <w:tcPr>
            <w:tcW w:w="2268" w:type="dxa"/>
          </w:tcPr>
          <w:p w14:paraId="5CE390B0" w14:textId="77777777" w:rsidR="00120717" w:rsidRPr="00B93EE1" w:rsidRDefault="00120717" w:rsidP="00075C8B">
            <w:pPr>
              <w:jc w:val="left"/>
              <w:rPr>
                <w:sz w:val="16"/>
                <w:szCs w:val="16"/>
              </w:rPr>
            </w:pPr>
            <w:r w:rsidRPr="00B93EE1">
              <w:rPr>
                <w:sz w:val="16"/>
                <w:szCs w:val="16"/>
              </w:rPr>
              <w:t>Contact and enquiry points</w:t>
            </w:r>
          </w:p>
        </w:tc>
        <w:tc>
          <w:tcPr>
            <w:tcW w:w="1584" w:type="dxa"/>
          </w:tcPr>
          <w:p w14:paraId="2132A1E8" w14:textId="77777777" w:rsidR="00120717" w:rsidRPr="00B93EE1" w:rsidRDefault="00120717" w:rsidP="00075C8B">
            <w:pPr>
              <w:jc w:val="left"/>
              <w:rPr>
                <w:sz w:val="16"/>
                <w:szCs w:val="16"/>
              </w:rPr>
            </w:pPr>
            <w:r w:rsidRPr="00B93EE1">
              <w:rPr>
                <w:sz w:val="16"/>
                <w:szCs w:val="16"/>
              </w:rPr>
              <w:t>Once, then changes</w:t>
            </w:r>
          </w:p>
        </w:tc>
        <w:tc>
          <w:tcPr>
            <w:tcW w:w="2901" w:type="dxa"/>
          </w:tcPr>
          <w:p w14:paraId="2E79FF53" w14:textId="77777777" w:rsidR="00120717" w:rsidRPr="00B93EE1" w:rsidRDefault="00120717" w:rsidP="00075C8B">
            <w:pPr>
              <w:jc w:val="left"/>
              <w:rPr>
                <w:sz w:val="16"/>
                <w:szCs w:val="16"/>
              </w:rPr>
            </w:pPr>
            <w:r w:rsidRPr="00B93EE1">
              <w:rPr>
                <w:sz w:val="16"/>
                <w:szCs w:val="16"/>
              </w:rPr>
              <w:t>S/</w:t>
            </w:r>
            <w:proofErr w:type="spellStart"/>
            <w:r w:rsidRPr="00B93EE1">
              <w:rPr>
                <w:sz w:val="16"/>
                <w:szCs w:val="16"/>
              </w:rPr>
              <w:t>ENQ</w:t>
            </w:r>
            <w:proofErr w:type="spellEnd"/>
            <w:r w:rsidRPr="00B93EE1">
              <w:rPr>
                <w:sz w:val="16"/>
                <w:szCs w:val="16"/>
              </w:rPr>
              <w:t>/78/Rev.17, 07/06/2018</w:t>
            </w:r>
          </w:p>
        </w:tc>
      </w:tr>
      <w:tr w:rsidR="00120717" w:rsidRPr="00B93EE1" w14:paraId="598AA13B" w14:textId="77777777" w:rsidTr="00075C8B">
        <w:trPr>
          <w:cantSplit/>
        </w:trPr>
        <w:tc>
          <w:tcPr>
            <w:tcW w:w="2263" w:type="dxa"/>
            <w:shd w:val="clear" w:color="auto" w:fill="C9DED4"/>
          </w:tcPr>
          <w:p w14:paraId="00CF45C8" w14:textId="77777777" w:rsidR="00120717" w:rsidRPr="00B93EE1" w:rsidRDefault="00120717" w:rsidP="00075C8B">
            <w:pPr>
              <w:jc w:val="left"/>
              <w:rPr>
                <w:sz w:val="16"/>
                <w:szCs w:val="16"/>
              </w:rPr>
            </w:pPr>
            <w:r w:rsidRPr="00B93EE1">
              <w:rPr>
                <w:sz w:val="16"/>
                <w:szCs w:val="16"/>
              </w:rPr>
              <w:t>Article VII:4</w:t>
            </w:r>
          </w:p>
        </w:tc>
        <w:tc>
          <w:tcPr>
            <w:tcW w:w="2268" w:type="dxa"/>
            <w:shd w:val="clear" w:color="auto" w:fill="C9DED4"/>
          </w:tcPr>
          <w:p w14:paraId="2AB4BFFB" w14:textId="77777777" w:rsidR="00120717" w:rsidRPr="00B93EE1" w:rsidRDefault="00120717" w:rsidP="00075C8B">
            <w:pPr>
              <w:jc w:val="left"/>
              <w:rPr>
                <w:sz w:val="16"/>
                <w:szCs w:val="16"/>
              </w:rPr>
            </w:pPr>
            <w:r w:rsidRPr="00B93EE1">
              <w:rPr>
                <w:sz w:val="16"/>
                <w:szCs w:val="16"/>
              </w:rPr>
              <w:t>Existing or new recognition measures and their modifications</w:t>
            </w:r>
          </w:p>
        </w:tc>
        <w:tc>
          <w:tcPr>
            <w:tcW w:w="1584" w:type="dxa"/>
            <w:shd w:val="clear" w:color="auto" w:fill="C9DED4"/>
          </w:tcPr>
          <w:p w14:paraId="7335CE1B" w14:textId="77777777" w:rsidR="00120717" w:rsidRPr="00B93EE1" w:rsidRDefault="00120717" w:rsidP="00075C8B">
            <w:pPr>
              <w:jc w:val="left"/>
              <w:rPr>
                <w:sz w:val="16"/>
                <w:szCs w:val="16"/>
              </w:rPr>
            </w:pPr>
            <w:r w:rsidRPr="00B93EE1">
              <w:rPr>
                <w:sz w:val="16"/>
                <w:szCs w:val="16"/>
              </w:rPr>
              <w:t>Once</w:t>
            </w:r>
          </w:p>
        </w:tc>
        <w:tc>
          <w:tcPr>
            <w:tcW w:w="2901" w:type="dxa"/>
            <w:shd w:val="clear" w:color="auto" w:fill="C9DED4"/>
          </w:tcPr>
          <w:p w14:paraId="7230E9EA" w14:textId="77777777" w:rsidR="00120717" w:rsidRPr="00B93EE1" w:rsidRDefault="00120717" w:rsidP="00075C8B">
            <w:pPr>
              <w:jc w:val="left"/>
              <w:rPr>
                <w:sz w:val="16"/>
                <w:szCs w:val="16"/>
              </w:rPr>
            </w:pPr>
            <w:r w:rsidRPr="00B93EE1">
              <w:rPr>
                <w:sz w:val="16"/>
                <w:szCs w:val="16"/>
              </w:rPr>
              <w:t>S/C/N/961, 15/10/2019</w:t>
            </w:r>
          </w:p>
        </w:tc>
      </w:tr>
      <w:tr w:rsidR="00120717" w:rsidRPr="00B93EE1" w14:paraId="6F8C89C1"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9016" w:type="dxa"/>
            <w:gridSpan w:val="4"/>
            <w:shd w:val="clear" w:color="auto" w:fill="auto"/>
          </w:tcPr>
          <w:p w14:paraId="36582B93" w14:textId="77777777" w:rsidR="00120717" w:rsidRPr="00B93EE1" w:rsidRDefault="00120717" w:rsidP="00075C8B">
            <w:pPr>
              <w:jc w:val="left"/>
              <w:rPr>
                <w:sz w:val="16"/>
                <w:szCs w:val="16"/>
              </w:rPr>
            </w:pPr>
            <w:r w:rsidRPr="00B93EE1">
              <w:rPr>
                <w:b/>
                <w:bCs/>
                <w:sz w:val="16"/>
                <w:szCs w:val="16"/>
              </w:rPr>
              <w:t>Agreement on Trade Facilitation (WT/L/911, replaced by WT/L/931)</w:t>
            </w:r>
          </w:p>
        </w:tc>
      </w:tr>
      <w:tr w:rsidR="00120717" w:rsidRPr="00B93EE1" w14:paraId="150E219E" w14:textId="77777777" w:rsidTr="00075C8B">
        <w:trPr>
          <w:cantSplit/>
        </w:trPr>
        <w:tc>
          <w:tcPr>
            <w:tcW w:w="2263" w:type="dxa"/>
            <w:shd w:val="clear" w:color="auto" w:fill="C9DED4"/>
          </w:tcPr>
          <w:p w14:paraId="7D8DABC4" w14:textId="77777777" w:rsidR="00120717" w:rsidRPr="00B93EE1" w:rsidRDefault="00120717" w:rsidP="00075C8B">
            <w:pPr>
              <w:jc w:val="left"/>
              <w:rPr>
                <w:sz w:val="16"/>
                <w:szCs w:val="16"/>
              </w:rPr>
            </w:pPr>
            <w:r w:rsidRPr="00B93EE1">
              <w:rPr>
                <w:sz w:val="16"/>
                <w:szCs w:val="16"/>
              </w:rPr>
              <w:t>Article 1, para. 4</w:t>
            </w:r>
          </w:p>
        </w:tc>
        <w:tc>
          <w:tcPr>
            <w:tcW w:w="2268" w:type="dxa"/>
            <w:shd w:val="clear" w:color="auto" w:fill="C9DED4"/>
          </w:tcPr>
          <w:p w14:paraId="3F038BBE" w14:textId="77777777" w:rsidR="00120717" w:rsidRPr="00B93EE1" w:rsidRDefault="00120717" w:rsidP="00075C8B">
            <w:pPr>
              <w:jc w:val="left"/>
              <w:rPr>
                <w:sz w:val="16"/>
                <w:szCs w:val="16"/>
              </w:rPr>
            </w:pPr>
            <w:r w:rsidRPr="00B93EE1">
              <w:rPr>
                <w:sz w:val="16"/>
                <w:szCs w:val="16"/>
              </w:rPr>
              <w:t>Procedures for importation, exportation, and transit</w:t>
            </w:r>
          </w:p>
        </w:tc>
        <w:tc>
          <w:tcPr>
            <w:tcW w:w="1584" w:type="dxa"/>
            <w:shd w:val="clear" w:color="auto" w:fill="C9DED4"/>
          </w:tcPr>
          <w:p w14:paraId="0614D683" w14:textId="77777777" w:rsidR="00120717" w:rsidRPr="00B93EE1" w:rsidRDefault="00120717" w:rsidP="00075C8B">
            <w:pPr>
              <w:jc w:val="left"/>
              <w:rPr>
                <w:sz w:val="16"/>
                <w:szCs w:val="16"/>
              </w:rPr>
            </w:pPr>
            <w:r w:rsidRPr="00B93EE1">
              <w:rPr>
                <w:sz w:val="16"/>
                <w:szCs w:val="16"/>
              </w:rPr>
              <w:t>Once, then changes</w:t>
            </w:r>
          </w:p>
        </w:tc>
        <w:tc>
          <w:tcPr>
            <w:tcW w:w="2901" w:type="dxa"/>
            <w:vMerge w:val="restart"/>
            <w:shd w:val="clear" w:color="auto" w:fill="C9DED4"/>
          </w:tcPr>
          <w:p w14:paraId="687614F0" w14:textId="77777777" w:rsidR="00120717" w:rsidRPr="00B93EE1" w:rsidRDefault="00120717" w:rsidP="00075C8B">
            <w:pPr>
              <w:jc w:val="left"/>
              <w:rPr>
                <w:sz w:val="16"/>
                <w:szCs w:val="16"/>
              </w:rPr>
            </w:pPr>
            <w:r w:rsidRPr="00B93EE1">
              <w:rPr>
                <w:sz w:val="16"/>
                <w:szCs w:val="16"/>
              </w:rPr>
              <w:t>G/</w:t>
            </w:r>
            <w:proofErr w:type="spellStart"/>
            <w:r w:rsidRPr="00B93EE1">
              <w:rPr>
                <w:sz w:val="16"/>
                <w:szCs w:val="16"/>
              </w:rPr>
              <w:t>TFA</w:t>
            </w:r>
            <w:proofErr w:type="spellEnd"/>
            <w:r w:rsidRPr="00B93EE1">
              <w:rPr>
                <w:sz w:val="16"/>
                <w:szCs w:val="16"/>
              </w:rPr>
              <w:t>/N/NZL/1, 27/06/2017</w:t>
            </w:r>
          </w:p>
        </w:tc>
      </w:tr>
      <w:tr w:rsidR="00120717" w:rsidRPr="00B93EE1" w14:paraId="47B478C4"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tcPr>
          <w:p w14:paraId="5A2C697D" w14:textId="77777777" w:rsidR="00120717" w:rsidRPr="00B93EE1" w:rsidRDefault="00120717" w:rsidP="00075C8B">
            <w:pPr>
              <w:jc w:val="left"/>
              <w:rPr>
                <w:sz w:val="16"/>
                <w:szCs w:val="16"/>
              </w:rPr>
            </w:pPr>
            <w:r w:rsidRPr="00B93EE1">
              <w:rPr>
                <w:sz w:val="16"/>
                <w:szCs w:val="16"/>
              </w:rPr>
              <w:t>Article 10, para. 4.3</w:t>
            </w:r>
          </w:p>
        </w:tc>
        <w:tc>
          <w:tcPr>
            <w:tcW w:w="2268" w:type="dxa"/>
          </w:tcPr>
          <w:p w14:paraId="74D7B800" w14:textId="77777777" w:rsidR="00120717" w:rsidRPr="00B93EE1" w:rsidRDefault="00120717" w:rsidP="00075C8B">
            <w:pPr>
              <w:jc w:val="left"/>
              <w:rPr>
                <w:sz w:val="16"/>
                <w:szCs w:val="16"/>
              </w:rPr>
            </w:pPr>
            <w:r w:rsidRPr="00B93EE1">
              <w:rPr>
                <w:sz w:val="16"/>
                <w:szCs w:val="16"/>
              </w:rPr>
              <w:t>Operation of the single window</w:t>
            </w:r>
          </w:p>
        </w:tc>
        <w:tc>
          <w:tcPr>
            <w:tcW w:w="1584" w:type="dxa"/>
          </w:tcPr>
          <w:p w14:paraId="12BABECE" w14:textId="77777777" w:rsidR="00120717" w:rsidRPr="00B93EE1" w:rsidRDefault="00120717" w:rsidP="00075C8B">
            <w:pPr>
              <w:jc w:val="left"/>
              <w:rPr>
                <w:sz w:val="16"/>
                <w:szCs w:val="16"/>
              </w:rPr>
            </w:pPr>
            <w:r w:rsidRPr="00B93EE1">
              <w:rPr>
                <w:sz w:val="16"/>
                <w:szCs w:val="16"/>
              </w:rPr>
              <w:t>Once, then changes</w:t>
            </w:r>
          </w:p>
        </w:tc>
        <w:tc>
          <w:tcPr>
            <w:tcW w:w="2901" w:type="dxa"/>
            <w:vMerge/>
          </w:tcPr>
          <w:p w14:paraId="2136A068" w14:textId="77777777" w:rsidR="00120717" w:rsidRPr="00B93EE1" w:rsidRDefault="00120717" w:rsidP="00075C8B">
            <w:pPr>
              <w:jc w:val="left"/>
              <w:rPr>
                <w:sz w:val="16"/>
                <w:szCs w:val="16"/>
              </w:rPr>
            </w:pPr>
          </w:p>
        </w:tc>
      </w:tr>
      <w:tr w:rsidR="00120717" w:rsidRPr="00B93EE1" w14:paraId="1439F8BE" w14:textId="77777777" w:rsidTr="00075C8B">
        <w:trPr>
          <w:cantSplit/>
        </w:trPr>
        <w:tc>
          <w:tcPr>
            <w:tcW w:w="2263" w:type="dxa"/>
            <w:shd w:val="clear" w:color="auto" w:fill="C9DED4"/>
          </w:tcPr>
          <w:p w14:paraId="7189DFE0" w14:textId="77777777" w:rsidR="00120717" w:rsidRPr="00B93EE1" w:rsidRDefault="00120717" w:rsidP="00075C8B">
            <w:pPr>
              <w:jc w:val="left"/>
              <w:rPr>
                <w:sz w:val="16"/>
                <w:szCs w:val="16"/>
              </w:rPr>
            </w:pPr>
            <w:r w:rsidRPr="00B93EE1">
              <w:rPr>
                <w:sz w:val="16"/>
                <w:szCs w:val="16"/>
              </w:rPr>
              <w:t>Article 10, para. 6.2</w:t>
            </w:r>
          </w:p>
        </w:tc>
        <w:tc>
          <w:tcPr>
            <w:tcW w:w="2268" w:type="dxa"/>
            <w:shd w:val="clear" w:color="auto" w:fill="C9DED4"/>
          </w:tcPr>
          <w:p w14:paraId="515E8B10" w14:textId="77777777" w:rsidR="00120717" w:rsidRPr="00B93EE1" w:rsidRDefault="00120717" w:rsidP="00075C8B">
            <w:pPr>
              <w:jc w:val="left"/>
              <w:rPr>
                <w:sz w:val="16"/>
                <w:szCs w:val="16"/>
              </w:rPr>
            </w:pPr>
            <w:r w:rsidRPr="00B93EE1">
              <w:rPr>
                <w:sz w:val="16"/>
                <w:szCs w:val="16"/>
              </w:rPr>
              <w:t xml:space="preserve">Use of customs brokers </w:t>
            </w:r>
          </w:p>
        </w:tc>
        <w:tc>
          <w:tcPr>
            <w:tcW w:w="1584" w:type="dxa"/>
            <w:shd w:val="clear" w:color="auto" w:fill="C9DED4"/>
          </w:tcPr>
          <w:p w14:paraId="3309B3DD" w14:textId="77777777" w:rsidR="00120717" w:rsidRPr="00B93EE1" w:rsidRDefault="00120717" w:rsidP="00075C8B">
            <w:pPr>
              <w:jc w:val="left"/>
              <w:rPr>
                <w:sz w:val="16"/>
                <w:szCs w:val="16"/>
              </w:rPr>
            </w:pPr>
            <w:r w:rsidRPr="00B93EE1">
              <w:rPr>
                <w:sz w:val="16"/>
                <w:szCs w:val="16"/>
              </w:rPr>
              <w:t>Once, then changes</w:t>
            </w:r>
          </w:p>
        </w:tc>
        <w:tc>
          <w:tcPr>
            <w:tcW w:w="2901" w:type="dxa"/>
            <w:vMerge/>
            <w:shd w:val="clear" w:color="auto" w:fill="C9DED4"/>
          </w:tcPr>
          <w:p w14:paraId="1645F0F7" w14:textId="77777777" w:rsidR="00120717" w:rsidRPr="00B93EE1" w:rsidRDefault="00120717" w:rsidP="00075C8B">
            <w:pPr>
              <w:jc w:val="left"/>
              <w:rPr>
                <w:sz w:val="16"/>
                <w:szCs w:val="16"/>
              </w:rPr>
            </w:pPr>
          </w:p>
        </w:tc>
      </w:tr>
      <w:tr w:rsidR="00120717" w:rsidRPr="00B93EE1" w14:paraId="6541152D"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tcPr>
          <w:p w14:paraId="0F084FAB" w14:textId="77777777" w:rsidR="00120717" w:rsidRPr="00B93EE1" w:rsidRDefault="00120717" w:rsidP="00075C8B">
            <w:pPr>
              <w:jc w:val="left"/>
              <w:rPr>
                <w:sz w:val="16"/>
                <w:szCs w:val="16"/>
              </w:rPr>
            </w:pPr>
            <w:r w:rsidRPr="00B93EE1">
              <w:rPr>
                <w:sz w:val="16"/>
                <w:szCs w:val="16"/>
              </w:rPr>
              <w:t>Article 12, para. 2.2</w:t>
            </w:r>
          </w:p>
        </w:tc>
        <w:tc>
          <w:tcPr>
            <w:tcW w:w="2268" w:type="dxa"/>
          </w:tcPr>
          <w:p w14:paraId="4CE500E7" w14:textId="77777777" w:rsidR="00120717" w:rsidRPr="00B93EE1" w:rsidRDefault="00120717" w:rsidP="00075C8B">
            <w:pPr>
              <w:jc w:val="left"/>
              <w:rPr>
                <w:sz w:val="16"/>
                <w:szCs w:val="16"/>
              </w:rPr>
            </w:pPr>
            <w:r w:rsidRPr="00B93EE1">
              <w:rPr>
                <w:sz w:val="16"/>
                <w:szCs w:val="16"/>
              </w:rPr>
              <w:t>Contact point for the exchange of information</w:t>
            </w:r>
          </w:p>
        </w:tc>
        <w:tc>
          <w:tcPr>
            <w:tcW w:w="1584" w:type="dxa"/>
          </w:tcPr>
          <w:p w14:paraId="08607716" w14:textId="77777777" w:rsidR="00120717" w:rsidRPr="00B93EE1" w:rsidRDefault="00120717" w:rsidP="00075C8B">
            <w:pPr>
              <w:jc w:val="left"/>
              <w:rPr>
                <w:sz w:val="16"/>
                <w:szCs w:val="16"/>
              </w:rPr>
            </w:pPr>
            <w:r w:rsidRPr="00B93EE1">
              <w:rPr>
                <w:sz w:val="16"/>
                <w:szCs w:val="16"/>
              </w:rPr>
              <w:t>Once, then changes</w:t>
            </w:r>
          </w:p>
        </w:tc>
        <w:tc>
          <w:tcPr>
            <w:tcW w:w="2901" w:type="dxa"/>
            <w:vMerge/>
          </w:tcPr>
          <w:p w14:paraId="77C5404F" w14:textId="77777777" w:rsidR="00120717" w:rsidRPr="00B93EE1" w:rsidRDefault="00120717" w:rsidP="00075C8B">
            <w:pPr>
              <w:jc w:val="left"/>
              <w:rPr>
                <w:sz w:val="16"/>
                <w:szCs w:val="16"/>
              </w:rPr>
            </w:pPr>
          </w:p>
        </w:tc>
      </w:tr>
      <w:tr w:rsidR="00120717" w:rsidRPr="00B93EE1" w14:paraId="1E41CA04" w14:textId="77777777" w:rsidTr="00075C8B">
        <w:trPr>
          <w:cantSplit/>
        </w:trPr>
        <w:tc>
          <w:tcPr>
            <w:tcW w:w="2263" w:type="dxa"/>
            <w:shd w:val="clear" w:color="auto" w:fill="C9DED4"/>
          </w:tcPr>
          <w:p w14:paraId="0CD65091" w14:textId="77777777" w:rsidR="00120717" w:rsidRPr="00B93EE1" w:rsidRDefault="00120717" w:rsidP="00075C8B">
            <w:pPr>
              <w:jc w:val="left"/>
              <w:rPr>
                <w:sz w:val="16"/>
                <w:szCs w:val="16"/>
              </w:rPr>
            </w:pPr>
            <w:r w:rsidRPr="00B93EE1">
              <w:rPr>
                <w:sz w:val="16"/>
                <w:szCs w:val="16"/>
              </w:rPr>
              <w:t xml:space="preserve">Article 22.1 </w:t>
            </w:r>
          </w:p>
        </w:tc>
        <w:tc>
          <w:tcPr>
            <w:tcW w:w="2268" w:type="dxa"/>
            <w:shd w:val="clear" w:color="auto" w:fill="C9DED4"/>
          </w:tcPr>
          <w:p w14:paraId="14DD8FC3" w14:textId="77777777" w:rsidR="00120717" w:rsidRPr="00B93EE1" w:rsidRDefault="00120717" w:rsidP="00075C8B">
            <w:pPr>
              <w:jc w:val="left"/>
              <w:rPr>
                <w:sz w:val="16"/>
                <w:szCs w:val="16"/>
              </w:rPr>
            </w:pPr>
            <w:r w:rsidRPr="00B93EE1">
              <w:rPr>
                <w:sz w:val="16"/>
                <w:szCs w:val="16"/>
              </w:rPr>
              <w:t>Information on assistance and support for capacity-building disbursed in previous and coming year</w:t>
            </w:r>
          </w:p>
        </w:tc>
        <w:tc>
          <w:tcPr>
            <w:tcW w:w="1584" w:type="dxa"/>
            <w:shd w:val="clear" w:color="auto" w:fill="C9DED4"/>
          </w:tcPr>
          <w:p w14:paraId="12E0F174" w14:textId="77777777" w:rsidR="00120717" w:rsidRPr="00B93EE1" w:rsidRDefault="00120717" w:rsidP="00075C8B">
            <w:pPr>
              <w:jc w:val="left"/>
              <w:rPr>
                <w:sz w:val="16"/>
                <w:szCs w:val="16"/>
              </w:rPr>
            </w:pPr>
            <w:r w:rsidRPr="00B93EE1">
              <w:rPr>
                <w:sz w:val="16"/>
                <w:szCs w:val="16"/>
              </w:rPr>
              <w:t>Annual</w:t>
            </w:r>
          </w:p>
        </w:tc>
        <w:tc>
          <w:tcPr>
            <w:tcW w:w="2901" w:type="dxa"/>
            <w:shd w:val="clear" w:color="auto" w:fill="C9DED4"/>
          </w:tcPr>
          <w:p w14:paraId="5A9B98CD" w14:textId="77777777" w:rsidR="00120717" w:rsidRPr="00B93EE1" w:rsidRDefault="00120717" w:rsidP="00075C8B">
            <w:pPr>
              <w:jc w:val="left"/>
              <w:rPr>
                <w:sz w:val="16"/>
                <w:szCs w:val="16"/>
              </w:rPr>
            </w:pPr>
            <w:r w:rsidRPr="00B93EE1">
              <w:rPr>
                <w:sz w:val="16"/>
                <w:szCs w:val="16"/>
              </w:rPr>
              <w:t>G/</w:t>
            </w:r>
            <w:proofErr w:type="spellStart"/>
            <w:r w:rsidRPr="00B93EE1">
              <w:rPr>
                <w:sz w:val="16"/>
                <w:szCs w:val="16"/>
              </w:rPr>
              <w:t>TFA</w:t>
            </w:r>
            <w:proofErr w:type="spellEnd"/>
            <w:r w:rsidRPr="00B93EE1">
              <w:rPr>
                <w:sz w:val="16"/>
                <w:szCs w:val="16"/>
              </w:rPr>
              <w:t>/N/NZL/2, 11/08/2017</w:t>
            </w:r>
          </w:p>
        </w:tc>
      </w:tr>
      <w:tr w:rsidR="00120717" w:rsidRPr="00B93EE1" w14:paraId="619DF571" w14:textId="77777777" w:rsidTr="00075C8B">
        <w:trPr>
          <w:cnfStyle w:val="000000010000" w:firstRow="0" w:lastRow="0" w:firstColumn="0" w:lastColumn="0" w:oddVBand="0" w:evenVBand="0" w:oddHBand="0" w:evenHBand="1" w:firstRowFirstColumn="0" w:firstRowLastColumn="0" w:lastRowFirstColumn="0" w:lastRowLastColumn="0"/>
          <w:cantSplit/>
        </w:trPr>
        <w:tc>
          <w:tcPr>
            <w:tcW w:w="2263" w:type="dxa"/>
          </w:tcPr>
          <w:p w14:paraId="5CEFB140" w14:textId="77777777" w:rsidR="00120717" w:rsidRPr="00B93EE1" w:rsidRDefault="00120717" w:rsidP="00075C8B">
            <w:pPr>
              <w:jc w:val="left"/>
              <w:rPr>
                <w:sz w:val="16"/>
                <w:szCs w:val="16"/>
              </w:rPr>
            </w:pPr>
            <w:r w:rsidRPr="00B93EE1">
              <w:rPr>
                <w:sz w:val="16"/>
                <w:szCs w:val="16"/>
              </w:rPr>
              <w:t>Article 22.2</w:t>
            </w:r>
          </w:p>
        </w:tc>
        <w:tc>
          <w:tcPr>
            <w:tcW w:w="2268" w:type="dxa"/>
          </w:tcPr>
          <w:p w14:paraId="726FCE1F" w14:textId="77777777" w:rsidR="00120717" w:rsidRPr="00B93EE1" w:rsidRDefault="00120717" w:rsidP="00075C8B">
            <w:pPr>
              <w:jc w:val="left"/>
              <w:rPr>
                <w:sz w:val="16"/>
                <w:szCs w:val="16"/>
              </w:rPr>
            </w:pPr>
            <w:r w:rsidRPr="00B93EE1">
              <w:rPr>
                <w:sz w:val="16"/>
                <w:szCs w:val="16"/>
              </w:rPr>
              <w:t>Contact points and information on the process and mechanism for requesting assistance</w:t>
            </w:r>
          </w:p>
        </w:tc>
        <w:tc>
          <w:tcPr>
            <w:tcW w:w="1584" w:type="dxa"/>
          </w:tcPr>
          <w:p w14:paraId="46436E5A" w14:textId="77777777" w:rsidR="00120717" w:rsidRPr="00B93EE1" w:rsidRDefault="00120717" w:rsidP="00075C8B">
            <w:pPr>
              <w:jc w:val="left"/>
              <w:rPr>
                <w:sz w:val="16"/>
                <w:szCs w:val="16"/>
              </w:rPr>
            </w:pPr>
            <w:r w:rsidRPr="00B93EE1">
              <w:rPr>
                <w:sz w:val="16"/>
                <w:szCs w:val="16"/>
              </w:rPr>
              <w:t>Once, then changes</w:t>
            </w:r>
          </w:p>
        </w:tc>
        <w:tc>
          <w:tcPr>
            <w:tcW w:w="2901" w:type="dxa"/>
          </w:tcPr>
          <w:p w14:paraId="23ED4C89" w14:textId="77777777" w:rsidR="00120717" w:rsidRPr="00B93EE1" w:rsidRDefault="00120717" w:rsidP="00075C8B">
            <w:pPr>
              <w:jc w:val="left"/>
              <w:rPr>
                <w:sz w:val="16"/>
                <w:szCs w:val="16"/>
              </w:rPr>
            </w:pPr>
            <w:r w:rsidRPr="00B93EE1">
              <w:rPr>
                <w:sz w:val="16"/>
                <w:szCs w:val="16"/>
              </w:rPr>
              <w:t>G/</w:t>
            </w:r>
            <w:proofErr w:type="spellStart"/>
            <w:r w:rsidRPr="00B93EE1">
              <w:rPr>
                <w:sz w:val="16"/>
                <w:szCs w:val="16"/>
              </w:rPr>
              <w:t>TFA</w:t>
            </w:r>
            <w:proofErr w:type="spellEnd"/>
            <w:r w:rsidRPr="00B93EE1">
              <w:rPr>
                <w:sz w:val="16"/>
                <w:szCs w:val="16"/>
              </w:rPr>
              <w:t>/N/NZL/2, 11/08/2017</w:t>
            </w:r>
          </w:p>
        </w:tc>
      </w:tr>
    </w:tbl>
    <w:p w14:paraId="03DDC972" w14:textId="77777777" w:rsidR="00120717" w:rsidRPr="00B93EE1" w:rsidRDefault="00120717" w:rsidP="006B1D61">
      <w:pPr>
        <w:pStyle w:val="NoteText"/>
        <w:spacing w:before="120"/>
        <w:rPr>
          <w:lang w:eastAsia="en-GB"/>
        </w:rPr>
      </w:pPr>
      <w:r w:rsidRPr="00B93EE1">
        <w:rPr>
          <w:lang w:eastAsia="en-GB"/>
        </w:rPr>
        <w:t>Source:</w:t>
      </w:r>
      <w:r w:rsidRPr="00B93EE1">
        <w:rPr>
          <w:lang w:eastAsia="en-GB"/>
        </w:rPr>
        <w:tab/>
        <w:t>Compiled by WTO Secretariat.</w:t>
      </w:r>
      <w:r w:rsidRPr="00B93EE1">
        <w:br w:type="page"/>
      </w:r>
    </w:p>
    <w:p w14:paraId="6E85C246" w14:textId="19A0F909" w:rsidR="00120717" w:rsidRPr="00B93EE1" w:rsidRDefault="00DE713E" w:rsidP="00DE713E">
      <w:pPr>
        <w:pStyle w:val="Caption"/>
      </w:pPr>
      <w:bookmarkStart w:id="263" w:name="_Toc26194421"/>
      <w:bookmarkStart w:id="264" w:name="_Toc97743452"/>
      <w:r>
        <w:lastRenderedPageBreak/>
        <w:t>Table A2.</w:t>
      </w:r>
      <w:r w:rsidR="0012793B">
        <w:fldChar w:fldCharType="begin"/>
      </w:r>
      <w:r w:rsidR="0012793B">
        <w:instrText xml:space="preserve"> SEQ Table_A2. \* ARABIC </w:instrText>
      </w:r>
      <w:r w:rsidR="0012793B">
        <w:fldChar w:fldCharType="separate"/>
      </w:r>
      <w:r>
        <w:rPr>
          <w:noProof/>
        </w:rPr>
        <w:t>2</w:t>
      </w:r>
      <w:r w:rsidR="0012793B">
        <w:rPr>
          <w:noProof/>
        </w:rPr>
        <w:fldChar w:fldCharType="end"/>
      </w:r>
      <w:r w:rsidR="00120717" w:rsidRPr="00B93EE1">
        <w:t xml:space="preserve"> FTAs </w:t>
      </w:r>
      <w:r w:rsidR="006D57C5">
        <w:t>signed</w:t>
      </w:r>
      <w:r w:rsidR="00120717" w:rsidRPr="00B93EE1">
        <w:t>, as at 31 December 20</w:t>
      </w:r>
      <w:bookmarkEnd w:id="263"/>
      <w:r w:rsidR="00120717" w:rsidRPr="00B93EE1">
        <w:t>21</w:t>
      </w:r>
      <w:bookmarkEnd w:id="264"/>
    </w:p>
    <w:tbl>
      <w:tblPr>
        <w:tblStyle w:val="WTOTable1"/>
        <w:tblW w:w="0" w:type="auto"/>
        <w:tblLook w:val="04A0" w:firstRow="1" w:lastRow="0" w:firstColumn="1" w:lastColumn="0" w:noHBand="0" w:noVBand="1"/>
      </w:tblPr>
      <w:tblGrid>
        <w:gridCol w:w="420"/>
        <w:gridCol w:w="2694"/>
        <w:gridCol w:w="1085"/>
        <w:gridCol w:w="970"/>
        <w:gridCol w:w="1879"/>
        <w:gridCol w:w="1968"/>
      </w:tblGrid>
      <w:tr w:rsidR="00120717" w:rsidRPr="00B93EE1" w14:paraId="6FA266D3" w14:textId="77777777" w:rsidTr="00075C8B">
        <w:trPr>
          <w:cnfStyle w:val="100000000000" w:firstRow="1" w:lastRow="0" w:firstColumn="0" w:lastColumn="0" w:oddVBand="0" w:evenVBand="0" w:oddHBand="0" w:evenHBand="0" w:firstRowFirstColumn="0" w:firstRowLastColumn="0" w:lastRowFirstColumn="0" w:lastRowLastColumn="0"/>
          <w:cantSplit/>
          <w:trHeight w:val="1268"/>
        </w:trPr>
        <w:tc>
          <w:tcPr>
            <w:tcW w:w="420" w:type="dxa"/>
            <w:vAlign w:val="center"/>
          </w:tcPr>
          <w:p w14:paraId="1C7AE98C" w14:textId="77777777" w:rsidR="00120717" w:rsidRPr="00B93EE1" w:rsidRDefault="00120717" w:rsidP="00075C8B">
            <w:pPr>
              <w:jc w:val="center"/>
              <w:rPr>
                <w:sz w:val="15"/>
                <w:szCs w:val="15"/>
              </w:rPr>
            </w:pPr>
            <w:r w:rsidRPr="00B93EE1">
              <w:rPr>
                <w:sz w:val="15"/>
                <w:szCs w:val="15"/>
              </w:rPr>
              <w:t>#</w:t>
            </w:r>
          </w:p>
        </w:tc>
        <w:tc>
          <w:tcPr>
            <w:tcW w:w="2694" w:type="dxa"/>
            <w:vAlign w:val="center"/>
          </w:tcPr>
          <w:p w14:paraId="325E6BEA" w14:textId="77777777" w:rsidR="00120717" w:rsidRPr="00B93EE1" w:rsidRDefault="00120717" w:rsidP="00075C8B">
            <w:pPr>
              <w:jc w:val="center"/>
              <w:rPr>
                <w:sz w:val="15"/>
                <w:szCs w:val="15"/>
              </w:rPr>
            </w:pPr>
            <w:r w:rsidRPr="00B93EE1">
              <w:rPr>
                <w:sz w:val="15"/>
                <w:szCs w:val="15"/>
              </w:rPr>
              <w:t>Name</w:t>
            </w:r>
          </w:p>
        </w:tc>
        <w:tc>
          <w:tcPr>
            <w:tcW w:w="1085" w:type="dxa"/>
            <w:vAlign w:val="center"/>
          </w:tcPr>
          <w:p w14:paraId="6B5EB17E" w14:textId="77777777" w:rsidR="00120717" w:rsidRPr="00B93EE1" w:rsidRDefault="00120717" w:rsidP="00075C8B">
            <w:pPr>
              <w:jc w:val="center"/>
              <w:rPr>
                <w:sz w:val="15"/>
                <w:szCs w:val="15"/>
              </w:rPr>
            </w:pPr>
            <w:r w:rsidRPr="00B93EE1">
              <w:rPr>
                <w:sz w:val="15"/>
                <w:szCs w:val="15"/>
              </w:rPr>
              <w:t>Date of entry into force</w:t>
            </w:r>
          </w:p>
        </w:tc>
        <w:tc>
          <w:tcPr>
            <w:tcW w:w="970" w:type="dxa"/>
            <w:vAlign w:val="center"/>
          </w:tcPr>
          <w:p w14:paraId="2ACC2589" w14:textId="77777777" w:rsidR="00120717" w:rsidRPr="00B93EE1" w:rsidRDefault="00120717" w:rsidP="00075C8B">
            <w:pPr>
              <w:jc w:val="center"/>
              <w:rPr>
                <w:sz w:val="15"/>
                <w:szCs w:val="15"/>
              </w:rPr>
            </w:pPr>
            <w:r w:rsidRPr="00B93EE1">
              <w:rPr>
                <w:sz w:val="15"/>
                <w:szCs w:val="15"/>
              </w:rPr>
              <w:t>Covers goods and services</w:t>
            </w:r>
          </w:p>
        </w:tc>
        <w:tc>
          <w:tcPr>
            <w:tcW w:w="1879" w:type="dxa"/>
            <w:vAlign w:val="center"/>
          </w:tcPr>
          <w:p w14:paraId="74C8CEDC" w14:textId="77777777" w:rsidR="00120717" w:rsidRPr="00B93EE1" w:rsidRDefault="00120717" w:rsidP="00075C8B">
            <w:pPr>
              <w:jc w:val="center"/>
              <w:rPr>
                <w:sz w:val="15"/>
                <w:szCs w:val="15"/>
              </w:rPr>
            </w:pPr>
            <w:r w:rsidRPr="00B93EE1">
              <w:rPr>
                <w:sz w:val="15"/>
                <w:szCs w:val="15"/>
              </w:rPr>
              <w:t>Legal provisions under WTO notification</w:t>
            </w:r>
          </w:p>
        </w:tc>
        <w:tc>
          <w:tcPr>
            <w:tcW w:w="1968" w:type="dxa"/>
            <w:vAlign w:val="center"/>
          </w:tcPr>
          <w:p w14:paraId="56B4C2CF" w14:textId="77777777" w:rsidR="00120717" w:rsidRPr="00B93EE1" w:rsidRDefault="00120717" w:rsidP="00075C8B">
            <w:pPr>
              <w:jc w:val="center"/>
              <w:rPr>
                <w:sz w:val="15"/>
                <w:szCs w:val="15"/>
              </w:rPr>
            </w:pPr>
            <w:r w:rsidRPr="00B93EE1">
              <w:rPr>
                <w:sz w:val="15"/>
                <w:szCs w:val="15"/>
              </w:rPr>
              <w:t>WTO document and corresponding series</w:t>
            </w:r>
          </w:p>
        </w:tc>
      </w:tr>
      <w:tr w:rsidR="00120717" w:rsidRPr="00B93EE1" w14:paraId="3ECC60E4" w14:textId="77777777" w:rsidTr="00075C8B">
        <w:tc>
          <w:tcPr>
            <w:tcW w:w="420" w:type="dxa"/>
          </w:tcPr>
          <w:p w14:paraId="444F8E82" w14:textId="77777777" w:rsidR="00120717" w:rsidRPr="00B93EE1" w:rsidRDefault="00120717" w:rsidP="00075C8B">
            <w:pPr>
              <w:jc w:val="left"/>
              <w:rPr>
                <w:sz w:val="15"/>
                <w:szCs w:val="15"/>
              </w:rPr>
            </w:pPr>
            <w:r w:rsidRPr="00B93EE1">
              <w:rPr>
                <w:sz w:val="15"/>
                <w:szCs w:val="15"/>
              </w:rPr>
              <w:t>1</w:t>
            </w:r>
          </w:p>
        </w:tc>
        <w:tc>
          <w:tcPr>
            <w:tcW w:w="2694" w:type="dxa"/>
          </w:tcPr>
          <w:p w14:paraId="3B1AF3C2" w14:textId="77777777" w:rsidR="00120717" w:rsidRPr="00B93EE1" w:rsidRDefault="00120717" w:rsidP="00075C8B">
            <w:pPr>
              <w:jc w:val="left"/>
              <w:rPr>
                <w:sz w:val="15"/>
                <w:szCs w:val="15"/>
              </w:rPr>
            </w:pPr>
            <w:r w:rsidRPr="00B93EE1">
              <w:rPr>
                <w:sz w:val="15"/>
                <w:szCs w:val="15"/>
              </w:rPr>
              <w:t>Regional Comprehensive Economic Partnership (RCEP)</w:t>
            </w:r>
          </w:p>
        </w:tc>
        <w:tc>
          <w:tcPr>
            <w:tcW w:w="1085" w:type="dxa"/>
          </w:tcPr>
          <w:p w14:paraId="14062DD9" w14:textId="77777777" w:rsidR="00120717" w:rsidRPr="00B93EE1" w:rsidRDefault="00120717" w:rsidP="00075C8B">
            <w:pPr>
              <w:jc w:val="center"/>
              <w:rPr>
                <w:sz w:val="15"/>
                <w:szCs w:val="15"/>
              </w:rPr>
            </w:pPr>
            <w:r w:rsidRPr="00B93EE1">
              <w:rPr>
                <w:sz w:val="15"/>
                <w:szCs w:val="15"/>
              </w:rPr>
              <w:t>01/01/22</w:t>
            </w:r>
          </w:p>
        </w:tc>
        <w:tc>
          <w:tcPr>
            <w:tcW w:w="970" w:type="dxa"/>
          </w:tcPr>
          <w:p w14:paraId="4C19A58A" w14:textId="77777777" w:rsidR="00120717" w:rsidRPr="00B93EE1" w:rsidRDefault="00120717" w:rsidP="00075C8B">
            <w:pPr>
              <w:jc w:val="center"/>
              <w:rPr>
                <w:sz w:val="15"/>
                <w:szCs w:val="15"/>
              </w:rPr>
            </w:pPr>
            <w:r w:rsidRPr="00B93EE1">
              <w:rPr>
                <w:sz w:val="15"/>
                <w:szCs w:val="15"/>
              </w:rPr>
              <w:t>Yes</w:t>
            </w:r>
          </w:p>
        </w:tc>
        <w:tc>
          <w:tcPr>
            <w:tcW w:w="1879" w:type="dxa"/>
          </w:tcPr>
          <w:p w14:paraId="0EF07275" w14:textId="77777777" w:rsidR="00120717" w:rsidRPr="00B93EE1" w:rsidRDefault="00120717" w:rsidP="00075C8B">
            <w:pPr>
              <w:jc w:val="left"/>
              <w:rPr>
                <w:sz w:val="15"/>
                <w:szCs w:val="15"/>
              </w:rPr>
            </w:pPr>
            <w:r w:rsidRPr="00B93EE1">
              <w:rPr>
                <w:sz w:val="15"/>
                <w:szCs w:val="15"/>
              </w:rPr>
              <w:t>..</w:t>
            </w:r>
          </w:p>
        </w:tc>
        <w:tc>
          <w:tcPr>
            <w:tcW w:w="1968" w:type="dxa"/>
          </w:tcPr>
          <w:p w14:paraId="3963A562" w14:textId="77777777" w:rsidR="00120717" w:rsidRPr="00B93EE1" w:rsidRDefault="00120717" w:rsidP="00075C8B">
            <w:pPr>
              <w:jc w:val="left"/>
              <w:rPr>
                <w:sz w:val="15"/>
                <w:szCs w:val="15"/>
              </w:rPr>
            </w:pPr>
            <w:r w:rsidRPr="00B93EE1">
              <w:rPr>
                <w:sz w:val="15"/>
                <w:szCs w:val="15"/>
              </w:rPr>
              <w:t>..</w:t>
            </w:r>
          </w:p>
        </w:tc>
      </w:tr>
      <w:tr w:rsidR="00120717" w:rsidRPr="00B93EE1" w14:paraId="7020A0C4" w14:textId="77777777" w:rsidTr="00075C8B">
        <w:trPr>
          <w:cnfStyle w:val="000000010000" w:firstRow="0" w:lastRow="0" w:firstColumn="0" w:lastColumn="0" w:oddVBand="0" w:evenVBand="0" w:oddHBand="0" w:evenHBand="1" w:firstRowFirstColumn="0" w:firstRowLastColumn="0" w:lastRowFirstColumn="0" w:lastRowLastColumn="0"/>
        </w:trPr>
        <w:tc>
          <w:tcPr>
            <w:tcW w:w="420" w:type="dxa"/>
          </w:tcPr>
          <w:p w14:paraId="41ADDED3" w14:textId="77777777" w:rsidR="00120717" w:rsidRPr="00B93EE1" w:rsidRDefault="00120717" w:rsidP="00075C8B">
            <w:pPr>
              <w:jc w:val="left"/>
              <w:rPr>
                <w:sz w:val="15"/>
                <w:szCs w:val="15"/>
              </w:rPr>
            </w:pPr>
            <w:r w:rsidRPr="00B93EE1">
              <w:rPr>
                <w:sz w:val="15"/>
                <w:szCs w:val="15"/>
              </w:rPr>
              <w:t>2</w:t>
            </w:r>
          </w:p>
        </w:tc>
        <w:tc>
          <w:tcPr>
            <w:tcW w:w="2694" w:type="dxa"/>
          </w:tcPr>
          <w:p w14:paraId="464A0FE1" w14:textId="77777777" w:rsidR="00120717" w:rsidRPr="00B93EE1" w:rsidRDefault="00120717" w:rsidP="00075C8B">
            <w:pPr>
              <w:jc w:val="left"/>
              <w:rPr>
                <w:sz w:val="15"/>
                <w:szCs w:val="15"/>
              </w:rPr>
            </w:pPr>
            <w:r w:rsidRPr="00B93EE1">
              <w:rPr>
                <w:rFonts w:cs="Calibri"/>
                <w:bCs/>
                <w:color w:val="000000"/>
                <w:sz w:val="15"/>
                <w:szCs w:val="15"/>
              </w:rPr>
              <w:t xml:space="preserve">Pacific Agreement on Closer Economic Relations </w:t>
            </w:r>
            <w:r w:rsidRPr="00B93EE1">
              <w:rPr>
                <w:rFonts w:cs="Calibri"/>
                <w:bCs/>
                <w:color w:val="000000"/>
                <w:sz w:val="15"/>
                <w:szCs w:val="15"/>
              </w:rPr>
              <w:br/>
              <w:t>(PACER Plus)</w:t>
            </w:r>
          </w:p>
        </w:tc>
        <w:tc>
          <w:tcPr>
            <w:tcW w:w="1085" w:type="dxa"/>
          </w:tcPr>
          <w:p w14:paraId="225012AA" w14:textId="77777777" w:rsidR="00120717" w:rsidRPr="00B93EE1" w:rsidRDefault="00120717" w:rsidP="00075C8B">
            <w:pPr>
              <w:jc w:val="center"/>
              <w:rPr>
                <w:sz w:val="15"/>
                <w:szCs w:val="15"/>
              </w:rPr>
            </w:pPr>
            <w:r w:rsidRPr="00B93EE1">
              <w:rPr>
                <w:rFonts w:cs="Calibri"/>
                <w:color w:val="000000"/>
                <w:sz w:val="15"/>
                <w:szCs w:val="15"/>
              </w:rPr>
              <w:t>12/12/20</w:t>
            </w:r>
          </w:p>
        </w:tc>
        <w:tc>
          <w:tcPr>
            <w:tcW w:w="970" w:type="dxa"/>
          </w:tcPr>
          <w:p w14:paraId="74E8DB1F" w14:textId="77777777" w:rsidR="00120717" w:rsidRPr="00B93EE1" w:rsidRDefault="00120717" w:rsidP="00075C8B">
            <w:pPr>
              <w:jc w:val="center"/>
              <w:rPr>
                <w:sz w:val="15"/>
                <w:szCs w:val="15"/>
              </w:rPr>
            </w:pPr>
            <w:r w:rsidRPr="00B93EE1">
              <w:rPr>
                <w:sz w:val="15"/>
                <w:szCs w:val="15"/>
              </w:rPr>
              <w:t>Yes</w:t>
            </w:r>
          </w:p>
        </w:tc>
        <w:tc>
          <w:tcPr>
            <w:tcW w:w="1879" w:type="dxa"/>
          </w:tcPr>
          <w:p w14:paraId="242B2C86"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2757D8B0" w14:textId="77777777" w:rsidR="00120717" w:rsidRPr="00B93EE1" w:rsidRDefault="00120717" w:rsidP="00075C8B">
            <w:pPr>
              <w:jc w:val="left"/>
              <w:rPr>
                <w:sz w:val="15"/>
                <w:szCs w:val="15"/>
              </w:rPr>
            </w:pPr>
            <w:r w:rsidRPr="00B93EE1">
              <w:rPr>
                <w:sz w:val="15"/>
                <w:szCs w:val="15"/>
              </w:rPr>
              <w:t>..</w:t>
            </w:r>
          </w:p>
        </w:tc>
      </w:tr>
      <w:tr w:rsidR="00120717" w:rsidRPr="00B93EE1" w14:paraId="368DBEBA" w14:textId="77777777" w:rsidTr="00075C8B">
        <w:tc>
          <w:tcPr>
            <w:tcW w:w="420" w:type="dxa"/>
          </w:tcPr>
          <w:p w14:paraId="2EC46E53" w14:textId="77777777" w:rsidR="00120717" w:rsidRPr="00B93EE1" w:rsidRDefault="00120717" w:rsidP="00075C8B">
            <w:pPr>
              <w:jc w:val="left"/>
              <w:rPr>
                <w:sz w:val="15"/>
                <w:szCs w:val="15"/>
              </w:rPr>
            </w:pPr>
            <w:r w:rsidRPr="00B93EE1">
              <w:rPr>
                <w:sz w:val="15"/>
                <w:szCs w:val="15"/>
              </w:rPr>
              <w:t>3</w:t>
            </w:r>
          </w:p>
        </w:tc>
        <w:tc>
          <w:tcPr>
            <w:tcW w:w="2694" w:type="dxa"/>
          </w:tcPr>
          <w:p w14:paraId="40C92804" w14:textId="77777777" w:rsidR="00120717" w:rsidRPr="00B93EE1" w:rsidRDefault="00120717" w:rsidP="00075C8B">
            <w:pPr>
              <w:jc w:val="left"/>
              <w:rPr>
                <w:sz w:val="15"/>
                <w:szCs w:val="15"/>
              </w:rPr>
            </w:pPr>
            <w:r w:rsidRPr="00B93EE1">
              <w:rPr>
                <w:sz w:val="15"/>
                <w:szCs w:val="15"/>
              </w:rPr>
              <w:t>Comprehensive and Progressive Agreement for Trans-Pacific Partnership (</w:t>
            </w:r>
            <w:proofErr w:type="spellStart"/>
            <w:r w:rsidRPr="00B93EE1">
              <w:rPr>
                <w:sz w:val="15"/>
                <w:szCs w:val="15"/>
              </w:rPr>
              <w:t>CPTPP</w:t>
            </w:r>
            <w:proofErr w:type="spellEnd"/>
            <w:r w:rsidRPr="00B93EE1">
              <w:rPr>
                <w:sz w:val="15"/>
                <w:szCs w:val="15"/>
              </w:rPr>
              <w:t>)</w:t>
            </w:r>
          </w:p>
        </w:tc>
        <w:tc>
          <w:tcPr>
            <w:tcW w:w="1085" w:type="dxa"/>
          </w:tcPr>
          <w:p w14:paraId="0010EE55" w14:textId="77777777" w:rsidR="00120717" w:rsidRPr="00B93EE1" w:rsidRDefault="00120717" w:rsidP="00075C8B">
            <w:pPr>
              <w:jc w:val="center"/>
              <w:rPr>
                <w:sz w:val="15"/>
                <w:szCs w:val="15"/>
              </w:rPr>
            </w:pPr>
            <w:r w:rsidRPr="00B93EE1">
              <w:rPr>
                <w:sz w:val="15"/>
                <w:szCs w:val="15"/>
              </w:rPr>
              <w:t>30/12/18</w:t>
            </w:r>
          </w:p>
        </w:tc>
        <w:tc>
          <w:tcPr>
            <w:tcW w:w="970" w:type="dxa"/>
          </w:tcPr>
          <w:p w14:paraId="2493F44B" w14:textId="77777777" w:rsidR="00120717" w:rsidRPr="00B93EE1" w:rsidRDefault="00120717" w:rsidP="00075C8B">
            <w:pPr>
              <w:jc w:val="center"/>
              <w:rPr>
                <w:sz w:val="15"/>
                <w:szCs w:val="15"/>
              </w:rPr>
            </w:pPr>
            <w:r w:rsidRPr="00B93EE1">
              <w:rPr>
                <w:sz w:val="15"/>
                <w:szCs w:val="15"/>
              </w:rPr>
              <w:t>Yes</w:t>
            </w:r>
          </w:p>
        </w:tc>
        <w:tc>
          <w:tcPr>
            <w:tcW w:w="1879" w:type="dxa"/>
          </w:tcPr>
          <w:p w14:paraId="5B0FAAAD"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031396A1" w14:textId="77777777" w:rsidR="00120717" w:rsidRPr="00B93EE1" w:rsidRDefault="00120717" w:rsidP="00075C8B">
            <w:pPr>
              <w:jc w:val="left"/>
              <w:rPr>
                <w:sz w:val="15"/>
                <w:szCs w:val="15"/>
              </w:rPr>
            </w:pPr>
            <w:r w:rsidRPr="00B93EE1">
              <w:rPr>
                <w:sz w:val="15"/>
                <w:szCs w:val="15"/>
              </w:rPr>
              <w:t>Factual presentation distributed,</w:t>
            </w:r>
          </w:p>
          <w:p w14:paraId="2186418F" w14:textId="77777777" w:rsidR="00120717" w:rsidRPr="00B93EE1" w:rsidRDefault="00120717" w:rsidP="00075C8B">
            <w:pPr>
              <w:jc w:val="left"/>
              <w:rPr>
                <w:sz w:val="15"/>
                <w:szCs w:val="15"/>
              </w:rPr>
            </w:pPr>
            <w:r w:rsidRPr="00B93EE1">
              <w:rPr>
                <w:sz w:val="15"/>
                <w:szCs w:val="15"/>
              </w:rPr>
              <w:t>WT/REG395</w:t>
            </w:r>
          </w:p>
        </w:tc>
      </w:tr>
      <w:tr w:rsidR="00120717" w:rsidRPr="00B93EE1" w14:paraId="16DF7FDC" w14:textId="77777777" w:rsidTr="00075C8B">
        <w:trPr>
          <w:cnfStyle w:val="000000010000" w:firstRow="0" w:lastRow="0" w:firstColumn="0" w:lastColumn="0" w:oddVBand="0" w:evenVBand="0" w:oddHBand="0" w:evenHBand="1" w:firstRowFirstColumn="0" w:firstRowLastColumn="0" w:lastRowFirstColumn="0" w:lastRowLastColumn="0"/>
        </w:trPr>
        <w:tc>
          <w:tcPr>
            <w:tcW w:w="420" w:type="dxa"/>
          </w:tcPr>
          <w:p w14:paraId="76DAC3C1" w14:textId="77777777" w:rsidR="00120717" w:rsidRPr="00B93EE1" w:rsidRDefault="00120717" w:rsidP="00075C8B">
            <w:pPr>
              <w:jc w:val="left"/>
              <w:rPr>
                <w:sz w:val="15"/>
                <w:szCs w:val="15"/>
              </w:rPr>
            </w:pPr>
            <w:r w:rsidRPr="00B93EE1">
              <w:rPr>
                <w:sz w:val="15"/>
                <w:szCs w:val="15"/>
              </w:rPr>
              <w:t>4</w:t>
            </w:r>
          </w:p>
        </w:tc>
        <w:tc>
          <w:tcPr>
            <w:tcW w:w="2694" w:type="dxa"/>
          </w:tcPr>
          <w:p w14:paraId="4194A951" w14:textId="77777777" w:rsidR="00120717" w:rsidRPr="00B93EE1" w:rsidRDefault="00120717" w:rsidP="00075C8B">
            <w:pPr>
              <w:jc w:val="left"/>
              <w:rPr>
                <w:sz w:val="15"/>
                <w:szCs w:val="15"/>
              </w:rPr>
            </w:pPr>
            <w:r w:rsidRPr="00B93EE1">
              <w:rPr>
                <w:sz w:val="15"/>
                <w:szCs w:val="15"/>
              </w:rPr>
              <w:t>New Zealand – Korea, Rep. of</w:t>
            </w:r>
          </w:p>
        </w:tc>
        <w:tc>
          <w:tcPr>
            <w:tcW w:w="1085" w:type="dxa"/>
          </w:tcPr>
          <w:p w14:paraId="7F3058F8" w14:textId="77777777" w:rsidR="00120717" w:rsidRPr="00B93EE1" w:rsidRDefault="00120717" w:rsidP="00075C8B">
            <w:pPr>
              <w:jc w:val="center"/>
              <w:rPr>
                <w:sz w:val="15"/>
                <w:szCs w:val="15"/>
              </w:rPr>
            </w:pPr>
            <w:r w:rsidRPr="00B93EE1">
              <w:rPr>
                <w:sz w:val="15"/>
                <w:szCs w:val="15"/>
              </w:rPr>
              <w:t>20/12/15</w:t>
            </w:r>
          </w:p>
        </w:tc>
        <w:tc>
          <w:tcPr>
            <w:tcW w:w="970" w:type="dxa"/>
          </w:tcPr>
          <w:p w14:paraId="7CD22C68" w14:textId="77777777" w:rsidR="00120717" w:rsidRPr="00B93EE1" w:rsidRDefault="00120717" w:rsidP="00075C8B">
            <w:pPr>
              <w:jc w:val="center"/>
              <w:rPr>
                <w:sz w:val="15"/>
                <w:szCs w:val="15"/>
              </w:rPr>
            </w:pPr>
            <w:r w:rsidRPr="00B93EE1">
              <w:rPr>
                <w:sz w:val="15"/>
                <w:szCs w:val="15"/>
              </w:rPr>
              <w:t>Yes</w:t>
            </w:r>
          </w:p>
        </w:tc>
        <w:tc>
          <w:tcPr>
            <w:tcW w:w="1879" w:type="dxa"/>
          </w:tcPr>
          <w:p w14:paraId="25FE9DF9"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33FF2D9A" w14:textId="77777777" w:rsidR="00120717" w:rsidRPr="00B93EE1" w:rsidRDefault="00120717" w:rsidP="00075C8B">
            <w:pPr>
              <w:jc w:val="left"/>
              <w:rPr>
                <w:sz w:val="15"/>
                <w:szCs w:val="15"/>
              </w:rPr>
            </w:pPr>
            <w:r w:rsidRPr="00B93EE1">
              <w:rPr>
                <w:sz w:val="15"/>
                <w:szCs w:val="15"/>
              </w:rPr>
              <w:t>Factual presentation distributed,</w:t>
            </w:r>
          </w:p>
          <w:p w14:paraId="5F85461C" w14:textId="77777777" w:rsidR="00120717" w:rsidRPr="00B93EE1" w:rsidRDefault="00120717" w:rsidP="00075C8B">
            <w:pPr>
              <w:jc w:val="left"/>
              <w:rPr>
                <w:sz w:val="15"/>
                <w:szCs w:val="15"/>
              </w:rPr>
            </w:pPr>
            <w:r w:rsidRPr="00B93EE1">
              <w:rPr>
                <w:sz w:val="15"/>
                <w:szCs w:val="15"/>
              </w:rPr>
              <w:t>WT/REG367</w:t>
            </w:r>
          </w:p>
        </w:tc>
      </w:tr>
      <w:tr w:rsidR="00120717" w:rsidRPr="00B93EE1" w14:paraId="2123BB48" w14:textId="77777777" w:rsidTr="00075C8B">
        <w:tc>
          <w:tcPr>
            <w:tcW w:w="420" w:type="dxa"/>
          </w:tcPr>
          <w:p w14:paraId="1738CCAD" w14:textId="77777777" w:rsidR="00120717" w:rsidRPr="00B93EE1" w:rsidRDefault="00120717" w:rsidP="00075C8B">
            <w:pPr>
              <w:jc w:val="left"/>
              <w:rPr>
                <w:sz w:val="15"/>
                <w:szCs w:val="15"/>
              </w:rPr>
            </w:pPr>
            <w:r w:rsidRPr="00B93EE1">
              <w:rPr>
                <w:sz w:val="15"/>
                <w:szCs w:val="15"/>
              </w:rPr>
              <w:t>5</w:t>
            </w:r>
          </w:p>
        </w:tc>
        <w:tc>
          <w:tcPr>
            <w:tcW w:w="2694" w:type="dxa"/>
          </w:tcPr>
          <w:p w14:paraId="7910D3B3" w14:textId="77777777" w:rsidR="00120717" w:rsidRPr="00B93EE1" w:rsidRDefault="00120717" w:rsidP="00075C8B">
            <w:pPr>
              <w:jc w:val="left"/>
              <w:rPr>
                <w:sz w:val="15"/>
                <w:szCs w:val="15"/>
              </w:rPr>
            </w:pPr>
            <w:r w:rsidRPr="00B93EE1">
              <w:rPr>
                <w:sz w:val="15"/>
                <w:szCs w:val="15"/>
              </w:rPr>
              <w:t>New Zealand – Chinese Taipei</w:t>
            </w:r>
          </w:p>
        </w:tc>
        <w:tc>
          <w:tcPr>
            <w:tcW w:w="1085" w:type="dxa"/>
          </w:tcPr>
          <w:p w14:paraId="1596657A" w14:textId="77777777" w:rsidR="00120717" w:rsidRPr="00B93EE1" w:rsidRDefault="00120717" w:rsidP="00075C8B">
            <w:pPr>
              <w:jc w:val="center"/>
              <w:rPr>
                <w:sz w:val="15"/>
                <w:szCs w:val="15"/>
              </w:rPr>
            </w:pPr>
            <w:r w:rsidRPr="00B93EE1">
              <w:rPr>
                <w:sz w:val="15"/>
                <w:szCs w:val="15"/>
              </w:rPr>
              <w:t>01/12/13</w:t>
            </w:r>
          </w:p>
        </w:tc>
        <w:tc>
          <w:tcPr>
            <w:tcW w:w="970" w:type="dxa"/>
          </w:tcPr>
          <w:p w14:paraId="45BFBF14" w14:textId="77777777" w:rsidR="00120717" w:rsidRPr="00B93EE1" w:rsidRDefault="00120717" w:rsidP="00075C8B">
            <w:pPr>
              <w:jc w:val="center"/>
              <w:rPr>
                <w:sz w:val="15"/>
                <w:szCs w:val="15"/>
              </w:rPr>
            </w:pPr>
            <w:r w:rsidRPr="00B93EE1">
              <w:rPr>
                <w:sz w:val="15"/>
                <w:szCs w:val="15"/>
              </w:rPr>
              <w:t>Yes</w:t>
            </w:r>
          </w:p>
        </w:tc>
        <w:tc>
          <w:tcPr>
            <w:tcW w:w="1879" w:type="dxa"/>
          </w:tcPr>
          <w:p w14:paraId="68124039"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1F36C25F" w14:textId="77777777" w:rsidR="00120717" w:rsidRPr="00B93EE1" w:rsidRDefault="00120717" w:rsidP="00075C8B">
            <w:pPr>
              <w:jc w:val="left"/>
              <w:rPr>
                <w:sz w:val="15"/>
                <w:szCs w:val="15"/>
              </w:rPr>
            </w:pPr>
            <w:r w:rsidRPr="00B93EE1">
              <w:rPr>
                <w:sz w:val="15"/>
                <w:szCs w:val="15"/>
              </w:rPr>
              <w:t>Factual presentation distributed,</w:t>
            </w:r>
          </w:p>
          <w:p w14:paraId="12CB6D10" w14:textId="77777777" w:rsidR="00120717" w:rsidRPr="00B93EE1" w:rsidRDefault="00120717" w:rsidP="00075C8B">
            <w:pPr>
              <w:jc w:val="left"/>
              <w:rPr>
                <w:sz w:val="15"/>
                <w:szCs w:val="15"/>
              </w:rPr>
            </w:pPr>
            <w:r w:rsidRPr="00B93EE1">
              <w:rPr>
                <w:sz w:val="15"/>
                <w:szCs w:val="15"/>
              </w:rPr>
              <w:t>WT/REG348</w:t>
            </w:r>
          </w:p>
        </w:tc>
      </w:tr>
      <w:tr w:rsidR="00120717" w:rsidRPr="00B93EE1" w14:paraId="09984F9D" w14:textId="77777777" w:rsidTr="00075C8B">
        <w:trPr>
          <w:cnfStyle w:val="000000010000" w:firstRow="0" w:lastRow="0" w:firstColumn="0" w:lastColumn="0" w:oddVBand="0" w:evenVBand="0" w:oddHBand="0" w:evenHBand="1" w:firstRowFirstColumn="0" w:firstRowLastColumn="0" w:lastRowFirstColumn="0" w:lastRowLastColumn="0"/>
        </w:trPr>
        <w:tc>
          <w:tcPr>
            <w:tcW w:w="420" w:type="dxa"/>
          </w:tcPr>
          <w:p w14:paraId="72D48308" w14:textId="77777777" w:rsidR="00120717" w:rsidRPr="00B93EE1" w:rsidRDefault="00120717" w:rsidP="00075C8B">
            <w:pPr>
              <w:jc w:val="left"/>
              <w:rPr>
                <w:sz w:val="15"/>
                <w:szCs w:val="15"/>
              </w:rPr>
            </w:pPr>
            <w:r w:rsidRPr="00B93EE1">
              <w:rPr>
                <w:sz w:val="15"/>
                <w:szCs w:val="15"/>
              </w:rPr>
              <w:t>6</w:t>
            </w:r>
          </w:p>
        </w:tc>
        <w:tc>
          <w:tcPr>
            <w:tcW w:w="2694" w:type="dxa"/>
          </w:tcPr>
          <w:p w14:paraId="5DB3CDDA" w14:textId="77777777" w:rsidR="00120717" w:rsidRPr="00B93EE1" w:rsidRDefault="00120717" w:rsidP="00075C8B">
            <w:pPr>
              <w:jc w:val="left"/>
              <w:rPr>
                <w:sz w:val="15"/>
                <w:szCs w:val="15"/>
              </w:rPr>
            </w:pPr>
            <w:r w:rsidRPr="00B93EE1">
              <w:rPr>
                <w:sz w:val="15"/>
                <w:szCs w:val="15"/>
              </w:rPr>
              <w:t>New Zealand – Hong Kong, China</w:t>
            </w:r>
          </w:p>
        </w:tc>
        <w:tc>
          <w:tcPr>
            <w:tcW w:w="1085" w:type="dxa"/>
          </w:tcPr>
          <w:p w14:paraId="55ED1F74" w14:textId="77777777" w:rsidR="00120717" w:rsidRPr="00B93EE1" w:rsidRDefault="00120717" w:rsidP="00075C8B">
            <w:pPr>
              <w:jc w:val="center"/>
              <w:rPr>
                <w:sz w:val="15"/>
                <w:szCs w:val="15"/>
              </w:rPr>
            </w:pPr>
            <w:r w:rsidRPr="00B93EE1">
              <w:rPr>
                <w:sz w:val="15"/>
                <w:szCs w:val="15"/>
              </w:rPr>
              <w:t>01/01/11</w:t>
            </w:r>
          </w:p>
        </w:tc>
        <w:tc>
          <w:tcPr>
            <w:tcW w:w="970" w:type="dxa"/>
          </w:tcPr>
          <w:p w14:paraId="04DC7744" w14:textId="77777777" w:rsidR="00120717" w:rsidRPr="00B93EE1" w:rsidRDefault="00120717" w:rsidP="00075C8B">
            <w:pPr>
              <w:jc w:val="center"/>
              <w:rPr>
                <w:sz w:val="15"/>
                <w:szCs w:val="15"/>
              </w:rPr>
            </w:pPr>
            <w:r w:rsidRPr="00B93EE1">
              <w:rPr>
                <w:sz w:val="15"/>
                <w:szCs w:val="15"/>
              </w:rPr>
              <w:t>Yes</w:t>
            </w:r>
          </w:p>
        </w:tc>
        <w:tc>
          <w:tcPr>
            <w:tcW w:w="1879" w:type="dxa"/>
          </w:tcPr>
          <w:p w14:paraId="18D8222E"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36A3F436" w14:textId="77777777" w:rsidR="00120717" w:rsidRPr="00B93EE1" w:rsidRDefault="00120717" w:rsidP="00075C8B">
            <w:pPr>
              <w:jc w:val="left"/>
              <w:rPr>
                <w:sz w:val="15"/>
                <w:szCs w:val="15"/>
              </w:rPr>
            </w:pPr>
            <w:r w:rsidRPr="00B93EE1">
              <w:rPr>
                <w:sz w:val="15"/>
                <w:szCs w:val="15"/>
              </w:rPr>
              <w:t>Factual presentation distributed,</w:t>
            </w:r>
          </w:p>
          <w:p w14:paraId="4ADC899E" w14:textId="77777777" w:rsidR="00120717" w:rsidRPr="00B93EE1" w:rsidRDefault="00120717" w:rsidP="00075C8B">
            <w:pPr>
              <w:jc w:val="left"/>
              <w:rPr>
                <w:sz w:val="15"/>
                <w:szCs w:val="15"/>
              </w:rPr>
            </w:pPr>
            <w:r w:rsidRPr="00B93EE1">
              <w:rPr>
                <w:sz w:val="15"/>
                <w:szCs w:val="15"/>
              </w:rPr>
              <w:t>WT/REG291</w:t>
            </w:r>
          </w:p>
        </w:tc>
      </w:tr>
      <w:tr w:rsidR="00120717" w:rsidRPr="00B93EE1" w14:paraId="23AF93B1" w14:textId="77777777" w:rsidTr="00075C8B">
        <w:tc>
          <w:tcPr>
            <w:tcW w:w="420" w:type="dxa"/>
          </w:tcPr>
          <w:p w14:paraId="3332EC03" w14:textId="77777777" w:rsidR="00120717" w:rsidRPr="00B93EE1" w:rsidRDefault="00120717" w:rsidP="00075C8B">
            <w:pPr>
              <w:jc w:val="left"/>
              <w:rPr>
                <w:sz w:val="15"/>
                <w:szCs w:val="15"/>
              </w:rPr>
            </w:pPr>
            <w:r w:rsidRPr="00B93EE1">
              <w:rPr>
                <w:sz w:val="15"/>
                <w:szCs w:val="15"/>
              </w:rPr>
              <w:t>7</w:t>
            </w:r>
          </w:p>
        </w:tc>
        <w:tc>
          <w:tcPr>
            <w:tcW w:w="2694" w:type="dxa"/>
          </w:tcPr>
          <w:p w14:paraId="43950ED9" w14:textId="77777777" w:rsidR="00120717" w:rsidRPr="00B93EE1" w:rsidRDefault="00120717" w:rsidP="00075C8B">
            <w:pPr>
              <w:jc w:val="left"/>
              <w:rPr>
                <w:sz w:val="15"/>
                <w:szCs w:val="15"/>
              </w:rPr>
            </w:pPr>
            <w:r w:rsidRPr="00B93EE1">
              <w:rPr>
                <w:sz w:val="15"/>
                <w:szCs w:val="15"/>
              </w:rPr>
              <w:t>New Zealand – Malaysia</w:t>
            </w:r>
          </w:p>
        </w:tc>
        <w:tc>
          <w:tcPr>
            <w:tcW w:w="1085" w:type="dxa"/>
          </w:tcPr>
          <w:p w14:paraId="486779EA" w14:textId="77777777" w:rsidR="00120717" w:rsidRPr="00B93EE1" w:rsidRDefault="00120717" w:rsidP="00075C8B">
            <w:pPr>
              <w:jc w:val="center"/>
              <w:rPr>
                <w:sz w:val="15"/>
                <w:szCs w:val="15"/>
              </w:rPr>
            </w:pPr>
            <w:r w:rsidRPr="00B93EE1">
              <w:rPr>
                <w:sz w:val="15"/>
                <w:szCs w:val="15"/>
              </w:rPr>
              <w:t>01/08/10</w:t>
            </w:r>
          </w:p>
        </w:tc>
        <w:tc>
          <w:tcPr>
            <w:tcW w:w="970" w:type="dxa"/>
          </w:tcPr>
          <w:p w14:paraId="44BCF31A" w14:textId="77777777" w:rsidR="00120717" w:rsidRPr="00B93EE1" w:rsidRDefault="00120717" w:rsidP="00075C8B">
            <w:pPr>
              <w:jc w:val="center"/>
              <w:rPr>
                <w:sz w:val="15"/>
                <w:szCs w:val="15"/>
              </w:rPr>
            </w:pPr>
            <w:r w:rsidRPr="00B93EE1">
              <w:rPr>
                <w:sz w:val="15"/>
                <w:szCs w:val="15"/>
              </w:rPr>
              <w:t>Yes</w:t>
            </w:r>
          </w:p>
        </w:tc>
        <w:tc>
          <w:tcPr>
            <w:tcW w:w="1879" w:type="dxa"/>
          </w:tcPr>
          <w:p w14:paraId="1FC71845"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33FAD127" w14:textId="77777777" w:rsidR="00120717" w:rsidRPr="00B93EE1" w:rsidRDefault="00120717" w:rsidP="00075C8B">
            <w:pPr>
              <w:jc w:val="left"/>
              <w:rPr>
                <w:sz w:val="15"/>
                <w:szCs w:val="15"/>
              </w:rPr>
            </w:pPr>
            <w:r w:rsidRPr="00B93EE1">
              <w:rPr>
                <w:sz w:val="15"/>
                <w:szCs w:val="15"/>
              </w:rPr>
              <w:t>Factual presentation distributed,</w:t>
            </w:r>
          </w:p>
          <w:p w14:paraId="3836A6F3" w14:textId="77777777" w:rsidR="00120717" w:rsidRPr="00B93EE1" w:rsidRDefault="00120717" w:rsidP="00075C8B">
            <w:pPr>
              <w:jc w:val="left"/>
              <w:rPr>
                <w:sz w:val="15"/>
                <w:szCs w:val="15"/>
              </w:rPr>
            </w:pPr>
            <w:r w:rsidRPr="00B93EE1">
              <w:rPr>
                <w:sz w:val="15"/>
                <w:szCs w:val="15"/>
              </w:rPr>
              <w:t>WT/REG306</w:t>
            </w:r>
          </w:p>
        </w:tc>
      </w:tr>
      <w:tr w:rsidR="00120717" w:rsidRPr="00B93EE1" w14:paraId="7AB79B40" w14:textId="77777777" w:rsidTr="00075C8B">
        <w:trPr>
          <w:cnfStyle w:val="000000010000" w:firstRow="0" w:lastRow="0" w:firstColumn="0" w:lastColumn="0" w:oddVBand="0" w:evenVBand="0" w:oddHBand="0" w:evenHBand="1" w:firstRowFirstColumn="0" w:firstRowLastColumn="0" w:lastRowFirstColumn="0" w:lastRowLastColumn="0"/>
        </w:trPr>
        <w:tc>
          <w:tcPr>
            <w:tcW w:w="420" w:type="dxa"/>
          </w:tcPr>
          <w:p w14:paraId="21C1B7DB" w14:textId="77777777" w:rsidR="00120717" w:rsidRPr="00B93EE1" w:rsidRDefault="00120717" w:rsidP="00075C8B">
            <w:pPr>
              <w:jc w:val="left"/>
              <w:rPr>
                <w:sz w:val="15"/>
                <w:szCs w:val="15"/>
              </w:rPr>
            </w:pPr>
            <w:r w:rsidRPr="00B93EE1">
              <w:rPr>
                <w:sz w:val="15"/>
                <w:szCs w:val="15"/>
              </w:rPr>
              <w:t>8</w:t>
            </w:r>
          </w:p>
        </w:tc>
        <w:tc>
          <w:tcPr>
            <w:tcW w:w="2694" w:type="dxa"/>
          </w:tcPr>
          <w:p w14:paraId="1FB71C22" w14:textId="77777777" w:rsidR="00120717" w:rsidRPr="00B93EE1" w:rsidRDefault="00120717" w:rsidP="00075C8B">
            <w:pPr>
              <w:jc w:val="left"/>
              <w:rPr>
                <w:sz w:val="15"/>
                <w:szCs w:val="15"/>
              </w:rPr>
            </w:pPr>
            <w:r w:rsidRPr="00B93EE1">
              <w:rPr>
                <w:sz w:val="15"/>
                <w:szCs w:val="15"/>
              </w:rPr>
              <w:t>ASEAN – Australia – New Zealand</w:t>
            </w:r>
          </w:p>
        </w:tc>
        <w:tc>
          <w:tcPr>
            <w:tcW w:w="1085" w:type="dxa"/>
          </w:tcPr>
          <w:p w14:paraId="4EBF1A72" w14:textId="77777777" w:rsidR="00120717" w:rsidRPr="00B93EE1" w:rsidRDefault="00120717" w:rsidP="00075C8B">
            <w:pPr>
              <w:jc w:val="center"/>
              <w:rPr>
                <w:sz w:val="15"/>
                <w:szCs w:val="15"/>
              </w:rPr>
            </w:pPr>
            <w:r w:rsidRPr="00B93EE1">
              <w:rPr>
                <w:sz w:val="15"/>
                <w:szCs w:val="15"/>
              </w:rPr>
              <w:t>01/01/10</w:t>
            </w:r>
          </w:p>
        </w:tc>
        <w:tc>
          <w:tcPr>
            <w:tcW w:w="970" w:type="dxa"/>
          </w:tcPr>
          <w:p w14:paraId="146655F1" w14:textId="77777777" w:rsidR="00120717" w:rsidRPr="00B93EE1" w:rsidRDefault="00120717" w:rsidP="00075C8B">
            <w:pPr>
              <w:jc w:val="center"/>
              <w:rPr>
                <w:sz w:val="15"/>
                <w:szCs w:val="15"/>
              </w:rPr>
            </w:pPr>
            <w:r w:rsidRPr="00B93EE1">
              <w:rPr>
                <w:sz w:val="15"/>
                <w:szCs w:val="15"/>
              </w:rPr>
              <w:t>Yes</w:t>
            </w:r>
          </w:p>
        </w:tc>
        <w:tc>
          <w:tcPr>
            <w:tcW w:w="1879" w:type="dxa"/>
          </w:tcPr>
          <w:p w14:paraId="34FBBFD0"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38FA706B" w14:textId="77777777" w:rsidR="00120717" w:rsidRPr="00B93EE1" w:rsidRDefault="00120717" w:rsidP="00075C8B">
            <w:pPr>
              <w:jc w:val="left"/>
              <w:rPr>
                <w:sz w:val="15"/>
                <w:szCs w:val="15"/>
              </w:rPr>
            </w:pPr>
            <w:r w:rsidRPr="00B93EE1">
              <w:rPr>
                <w:sz w:val="15"/>
                <w:szCs w:val="15"/>
              </w:rPr>
              <w:t>Factual presentation distributed, WT/REG284</w:t>
            </w:r>
          </w:p>
        </w:tc>
      </w:tr>
      <w:tr w:rsidR="00120717" w:rsidRPr="00B93EE1" w14:paraId="2C5230BF" w14:textId="77777777" w:rsidTr="00075C8B">
        <w:tc>
          <w:tcPr>
            <w:tcW w:w="420" w:type="dxa"/>
          </w:tcPr>
          <w:p w14:paraId="70CBD30B" w14:textId="77777777" w:rsidR="00120717" w:rsidRPr="00B93EE1" w:rsidRDefault="00120717" w:rsidP="00075C8B">
            <w:pPr>
              <w:jc w:val="left"/>
              <w:rPr>
                <w:sz w:val="15"/>
                <w:szCs w:val="15"/>
              </w:rPr>
            </w:pPr>
            <w:r w:rsidRPr="00B93EE1">
              <w:rPr>
                <w:sz w:val="15"/>
                <w:szCs w:val="15"/>
              </w:rPr>
              <w:t>9</w:t>
            </w:r>
          </w:p>
        </w:tc>
        <w:tc>
          <w:tcPr>
            <w:tcW w:w="2694" w:type="dxa"/>
          </w:tcPr>
          <w:p w14:paraId="566C434F" w14:textId="77777777" w:rsidR="00120717" w:rsidRPr="00B93EE1" w:rsidRDefault="00120717" w:rsidP="00075C8B">
            <w:pPr>
              <w:jc w:val="left"/>
              <w:rPr>
                <w:sz w:val="15"/>
                <w:szCs w:val="15"/>
              </w:rPr>
            </w:pPr>
            <w:r w:rsidRPr="00B93EE1">
              <w:rPr>
                <w:sz w:val="15"/>
                <w:szCs w:val="15"/>
              </w:rPr>
              <w:t>New Zealand – China</w:t>
            </w:r>
          </w:p>
        </w:tc>
        <w:tc>
          <w:tcPr>
            <w:tcW w:w="1085" w:type="dxa"/>
          </w:tcPr>
          <w:p w14:paraId="125F0059" w14:textId="77777777" w:rsidR="00120717" w:rsidRPr="00B93EE1" w:rsidRDefault="00120717" w:rsidP="00075C8B">
            <w:pPr>
              <w:jc w:val="center"/>
              <w:rPr>
                <w:sz w:val="15"/>
                <w:szCs w:val="15"/>
              </w:rPr>
            </w:pPr>
            <w:r w:rsidRPr="00B93EE1">
              <w:rPr>
                <w:sz w:val="15"/>
                <w:szCs w:val="15"/>
              </w:rPr>
              <w:t>01/10/08</w:t>
            </w:r>
          </w:p>
        </w:tc>
        <w:tc>
          <w:tcPr>
            <w:tcW w:w="970" w:type="dxa"/>
          </w:tcPr>
          <w:p w14:paraId="619D1738" w14:textId="77777777" w:rsidR="00120717" w:rsidRPr="00B93EE1" w:rsidRDefault="00120717" w:rsidP="00075C8B">
            <w:pPr>
              <w:jc w:val="center"/>
              <w:rPr>
                <w:sz w:val="15"/>
                <w:szCs w:val="15"/>
              </w:rPr>
            </w:pPr>
            <w:r w:rsidRPr="00B93EE1">
              <w:rPr>
                <w:sz w:val="15"/>
                <w:szCs w:val="15"/>
              </w:rPr>
              <w:t>Yes</w:t>
            </w:r>
          </w:p>
        </w:tc>
        <w:tc>
          <w:tcPr>
            <w:tcW w:w="1879" w:type="dxa"/>
          </w:tcPr>
          <w:p w14:paraId="6290A4B8"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620C1DD4" w14:textId="77777777" w:rsidR="00120717" w:rsidRPr="00B93EE1" w:rsidRDefault="00120717" w:rsidP="00075C8B">
            <w:pPr>
              <w:jc w:val="left"/>
              <w:rPr>
                <w:sz w:val="15"/>
                <w:szCs w:val="15"/>
              </w:rPr>
            </w:pPr>
            <w:r w:rsidRPr="00B93EE1">
              <w:rPr>
                <w:sz w:val="15"/>
                <w:szCs w:val="15"/>
              </w:rPr>
              <w:t>Factual presentation distributed,</w:t>
            </w:r>
          </w:p>
          <w:p w14:paraId="05E138F1" w14:textId="77777777" w:rsidR="00120717" w:rsidRPr="00B93EE1" w:rsidRDefault="00120717" w:rsidP="00075C8B">
            <w:pPr>
              <w:jc w:val="left"/>
              <w:rPr>
                <w:sz w:val="15"/>
                <w:szCs w:val="15"/>
              </w:rPr>
            </w:pPr>
            <w:r w:rsidRPr="00B93EE1">
              <w:rPr>
                <w:sz w:val="15"/>
                <w:szCs w:val="15"/>
              </w:rPr>
              <w:t>WT/REG266</w:t>
            </w:r>
          </w:p>
        </w:tc>
      </w:tr>
      <w:tr w:rsidR="00120717" w:rsidRPr="00B93EE1" w14:paraId="0A23EF02" w14:textId="77777777" w:rsidTr="00075C8B">
        <w:trPr>
          <w:cnfStyle w:val="000000010000" w:firstRow="0" w:lastRow="0" w:firstColumn="0" w:lastColumn="0" w:oddVBand="0" w:evenVBand="0" w:oddHBand="0" w:evenHBand="1" w:firstRowFirstColumn="0" w:firstRowLastColumn="0" w:lastRowFirstColumn="0" w:lastRowLastColumn="0"/>
        </w:trPr>
        <w:tc>
          <w:tcPr>
            <w:tcW w:w="420" w:type="dxa"/>
          </w:tcPr>
          <w:p w14:paraId="6824D5E4" w14:textId="77777777" w:rsidR="00120717" w:rsidRPr="00B93EE1" w:rsidRDefault="00120717" w:rsidP="00075C8B">
            <w:pPr>
              <w:jc w:val="left"/>
              <w:rPr>
                <w:sz w:val="15"/>
                <w:szCs w:val="15"/>
              </w:rPr>
            </w:pPr>
            <w:r w:rsidRPr="00B93EE1">
              <w:rPr>
                <w:sz w:val="15"/>
                <w:szCs w:val="15"/>
              </w:rPr>
              <w:t>10</w:t>
            </w:r>
          </w:p>
        </w:tc>
        <w:tc>
          <w:tcPr>
            <w:tcW w:w="2694" w:type="dxa"/>
          </w:tcPr>
          <w:p w14:paraId="682E891B" w14:textId="77777777" w:rsidR="00120717" w:rsidRPr="00B93EE1" w:rsidRDefault="00120717" w:rsidP="00075C8B">
            <w:pPr>
              <w:jc w:val="left"/>
              <w:rPr>
                <w:sz w:val="15"/>
                <w:szCs w:val="15"/>
              </w:rPr>
            </w:pPr>
            <w:r w:rsidRPr="00B93EE1">
              <w:rPr>
                <w:sz w:val="15"/>
                <w:szCs w:val="15"/>
              </w:rPr>
              <w:t>Trans-Pacific Strategic Economic Partnership</w:t>
            </w:r>
          </w:p>
        </w:tc>
        <w:tc>
          <w:tcPr>
            <w:tcW w:w="1085" w:type="dxa"/>
          </w:tcPr>
          <w:p w14:paraId="5C4EC59F" w14:textId="77777777" w:rsidR="00120717" w:rsidRPr="00B93EE1" w:rsidRDefault="00120717" w:rsidP="00075C8B">
            <w:pPr>
              <w:jc w:val="center"/>
              <w:rPr>
                <w:sz w:val="15"/>
                <w:szCs w:val="15"/>
              </w:rPr>
            </w:pPr>
            <w:r w:rsidRPr="00B93EE1">
              <w:rPr>
                <w:sz w:val="15"/>
                <w:szCs w:val="15"/>
              </w:rPr>
              <w:t>28/05/06</w:t>
            </w:r>
          </w:p>
        </w:tc>
        <w:tc>
          <w:tcPr>
            <w:tcW w:w="970" w:type="dxa"/>
          </w:tcPr>
          <w:p w14:paraId="5500456B" w14:textId="77777777" w:rsidR="00120717" w:rsidRPr="00B93EE1" w:rsidRDefault="00120717" w:rsidP="00075C8B">
            <w:pPr>
              <w:jc w:val="center"/>
              <w:rPr>
                <w:sz w:val="15"/>
                <w:szCs w:val="15"/>
              </w:rPr>
            </w:pPr>
            <w:r w:rsidRPr="00B93EE1">
              <w:rPr>
                <w:sz w:val="15"/>
                <w:szCs w:val="15"/>
              </w:rPr>
              <w:t>Yes</w:t>
            </w:r>
          </w:p>
        </w:tc>
        <w:tc>
          <w:tcPr>
            <w:tcW w:w="1879" w:type="dxa"/>
          </w:tcPr>
          <w:p w14:paraId="0673FFDA"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2B2B09D7" w14:textId="77777777" w:rsidR="00120717" w:rsidRPr="00B93EE1" w:rsidRDefault="00120717" w:rsidP="00075C8B">
            <w:pPr>
              <w:jc w:val="left"/>
              <w:rPr>
                <w:sz w:val="15"/>
                <w:szCs w:val="15"/>
              </w:rPr>
            </w:pPr>
            <w:r w:rsidRPr="00B93EE1">
              <w:rPr>
                <w:sz w:val="15"/>
                <w:szCs w:val="15"/>
              </w:rPr>
              <w:t>Factual presentation distributed,</w:t>
            </w:r>
          </w:p>
          <w:p w14:paraId="2D254710" w14:textId="77777777" w:rsidR="00120717" w:rsidRPr="00B93EE1" w:rsidRDefault="00120717" w:rsidP="00075C8B">
            <w:pPr>
              <w:jc w:val="left"/>
              <w:rPr>
                <w:sz w:val="15"/>
                <w:szCs w:val="15"/>
              </w:rPr>
            </w:pPr>
            <w:r w:rsidRPr="00B93EE1">
              <w:rPr>
                <w:sz w:val="15"/>
                <w:szCs w:val="15"/>
              </w:rPr>
              <w:t>WT/REG229</w:t>
            </w:r>
          </w:p>
        </w:tc>
      </w:tr>
      <w:tr w:rsidR="00120717" w:rsidRPr="00B93EE1" w14:paraId="06DA2F8F" w14:textId="77777777" w:rsidTr="00075C8B">
        <w:tc>
          <w:tcPr>
            <w:tcW w:w="420" w:type="dxa"/>
          </w:tcPr>
          <w:p w14:paraId="1F94CA10" w14:textId="77777777" w:rsidR="00120717" w:rsidRPr="00B93EE1" w:rsidRDefault="00120717" w:rsidP="00075C8B">
            <w:pPr>
              <w:jc w:val="left"/>
              <w:rPr>
                <w:sz w:val="15"/>
                <w:szCs w:val="15"/>
              </w:rPr>
            </w:pPr>
            <w:r w:rsidRPr="00B93EE1">
              <w:rPr>
                <w:sz w:val="15"/>
                <w:szCs w:val="15"/>
              </w:rPr>
              <w:t>11</w:t>
            </w:r>
          </w:p>
        </w:tc>
        <w:tc>
          <w:tcPr>
            <w:tcW w:w="2694" w:type="dxa"/>
          </w:tcPr>
          <w:p w14:paraId="2A189358" w14:textId="77777777" w:rsidR="00120717" w:rsidRPr="00B93EE1" w:rsidRDefault="00120717" w:rsidP="00075C8B">
            <w:pPr>
              <w:jc w:val="left"/>
              <w:rPr>
                <w:sz w:val="15"/>
                <w:szCs w:val="15"/>
              </w:rPr>
            </w:pPr>
            <w:r w:rsidRPr="00B93EE1">
              <w:rPr>
                <w:sz w:val="15"/>
                <w:szCs w:val="15"/>
              </w:rPr>
              <w:t>New Zealand – Thailand</w:t>
            </w:r>
          </w:p>
        </w:tc>
        <w:tc>
          <w:tcPr>
            <w:tcW w:w="1085" w:type="dxa"/>
          </w:tcPr>
          <w:p w14:paraId="0BD94E0B" w14:textId="77777777" w:rsidR="00120717" w:rsidRPr="00B93EE1" w:rsidRDefault="00120717" w:rsidP="00075C8B">
            <w:pPr>
              <w:jc w:val="center"/>
              <w:rPr>
                <w:sz w:val="15"/>
                <w:szCs w:val="15"/>
              </w:rPr>
            </w:pPr>
            <w:r w:rsidRPr="00B93EE1">
              <w:rPr>
                <w:sz w:val="15"/>
                <w:szCs w:val="15"/>
              </w:rPr>
              <w:t>01/07/05</w:t>
            </w:r>
          </w:p>
        </w:tc>
        <w:tc>
          <w:tcPr>
            <w:tcW w:w="970" w:type="dxa"/>
          </w:tcPr>
          <w:p w14:paraId="2A93C2E1" w14:textId="77777777" w:rsidR="00120717" w:rsidRPr="00B93EE1" w:rsidRDefault="00120717" w:rsidP="00075C8B">
            <w:pPr>
              <w:jc w:val="center"/>
              <w:rPr>
                <w:sz w:val="15"/>
                <w:szCs w:val="15"/>
              </w:rPr>
            </w:pPr>
            <w:r w:rsidRPr="00B93EE1">
              <w:rPr>
                <w:sz w:val="15"/>
                <w:szCs w:val="15"/>
              </w:rPr>
              <w:t>Yes</w:t>
            </w:r>
          </w:p>
        </w:tc>
        <w:tc>
          <w:tcPr>
            <w:tcW w:w="1879" w:type="dxa"/>
          </w:tcPr>
          <w:p w14:paraId="01A80523"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25D9C990" w14:textId="77777777" w:rsidR="00120717" w:rsidRPr="00B93EE1" w:rsidRDefault="00120717" w:rsidP="00075C8B">
            <w:pPr>
              <w:jc w:val="left"/>
              <w:rPr>
                <w:sz w:val="15"/>
                <w:szCs w:val="15"/>
              </w:rPr>
            </w:pPr>
            <w:r w:rsidRPr="00B93EE1">
              <w:rPr>
                <w:sz w:val="15"/>
                <w:szCs w:val="15"/>
              </w:rPr>
              <w:t>Factual presentation distributed (only goods),</w:t>
            </w:r>
          </w:p>
          <w:p w14:paraId="2F16557C" w14:textId="77777777" w:rsidR="00120717" w:rsidRPr="00B93EE1" w:rsidRDefault="00120717" w:rsidP="00075C8B">
            <w:pPr>
              <w:jc w:val="left"/>
              <w:rPr>
                <w:sz w:val="15"/>
                <w:szCs w:val="15"/>
              </w:rPr>
            </w:pPr>
            <w:r w:rsidRPr="00B93EE1">
              <w:rPr>
                <w:sz w:val="15"/>
                <w:szCs w:val="15"/>
              </w:rPr>
              <w:t>WT/REG207</w:t>
            </w:r>
          </w:p>
        </w:tc>
      </w:tr>
      <w:tr w:rsidR="00120717" w:rsidRPr="00B93EE1" w14:paraId="53643B64" w14:textId="77777777" w:rsidTr="00075C8B">
        <w:trPr>
          <w:cnfStyle w:val="000000010000" w:firstRow="0" w:lastRow="0" w:firstColumn="0" w:lastColumn="0" w:oddVBand="0" w:evenVBand="0" w:oddHBand="0" w:evenHBand="1" w:firstRowFirstColumn="0" w:firstRowLastColumn="0" w:lastRowFirstColumn="0" w:lastRowLastColumn="0"/>
        </w:trPr>
        <w:tc>
          <w:tcPr>
            <w:tcW w:w="420" w:type="dxa"/>
          </w:tcPr>
          <w:p w14:paraId="7B5F30F0" w14:textId="77777777" w:rsidR="00120717" w:rsidRPr="00B93EE1" w:rsidRDefault="00120717" w:rsidP="00075C8B">
            <w:pPr>
              <w:jc w:val="left"/>
              <w:rPr>
                <w:sz w:val="15"/>
                <w:szCs w:val="15"/>
              </w:rPr>
            </w:pPr>
            <w:r w:rsidRPr="00B93EE1">
              <w:rPr>
                <w:sz w:val="15"/>
                <w:szCs w:val="15"/>
              </w:rPr>
              <w:t>12</w:t>
            </w:r>
          </w:p>
        </w:tc>
        <w:tc>
          <w:tcPr>
            <w:tcW w:w="2694" w:type="dxa"/>
          </w:tcPr>
          <w:p w14:paraId="0DE56149" w14:textId="77777777" w:rsidR="00120717" w:rsidRPr="00B93EE1" w:rsidRDefault="00120717" w:rsidP="00075C8B">
            <w:pPr>
              <w:jc w:val="left"/>
              <w:rPr>
                <w:sz w:val="15"/>
                <w:szCs w:val="15"/>
              </w:rPr>
            </w:pPr>
            <w:r w:rsidRPr="00B93EE1">
              <w:rPr>
                <w:sz w:val="15"/>
                <w:szCs w:val="15"/>
              </w:rPr>
              <w:t>New Zealand – Singapore</w:t>
            </w:r>
          </w:p>
        </w:tc>
        <w:tc>
          <w:tcPr>
            <w:tcW w:w="1085" w:type="dxa"/>
          </w:tcPr>
          <w:p w14:paraId="33D1F394" w14:textId="77777777" w:rsidR="00120717" w:rsidRPr="00B93EE1" w:rsidRDefault="00120717" w:rsidP="00075C8B">
            <w:pPr>
              <w:jc w:val="center"/>
              <w:rPr>
                <w:sz w:val="15"/>
                <w:szCs w:val="15"/>
              </w:rPr>
            </w:pPr>
            <w:r w:rsidRPr="00B93EE1">
              <w:rPr>
                <w:sz w:val="15"/>
                <w:szCs w:val="15"/>
              </w:rPr>
              <w:t>01/01/01</w:t>
            </w:r>
          </w:p>
        </w:tc>
        <w:tc>
          <w:tcPr>
            <w:tcW w:w="970" w:type="dxa"/>
          </w:tcPr>
          <w:p w14:paraId="187A483D" w14:textId="77777777" w:rsidR="00120717" w:rsidRPr="00B93EE1" w:rsidRDefault="00120717" w:rsidP="00075C8B">
            <w:pPr>
              <w:jc w:val="center"/>
              <w:rPr>
                <w:sz w:val="15"/>
                <w:szCs w:val="15"/>
              </w:rPr>
            </w:pPr>
            <w:r w:rsidRPr="00B93EE1">
              <w:rPr>
                <w:sz w:val="15"/>
                <w:szCs w:val="15"/>
              </w:rPr>
              <w:t>Yes</w:t>
            </w:r>
          </w:p>
        </w:tc>
        <w:tc>
          <w:tcPr>
            <w:tcW w:w="1879" w:type="dxa"/>
          </w:tcPr>
          <w:p w14:paraId="26320CFA"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69288ADD" w14:textId="77777777" w:rsidR="00120717" w:rsidRPr="00B93EE1" w:rsidRDefault="00120717" w:rsidP="00075C8B">
            <w:pPr>
              <w:jc w:val="left"/>
              <w:rPr>
                <w:sz w:val="15"/>
                <w:szCs w:val="15"/>
              </w:rPr>
            </w:pPr>
            <w:r w:rsidRPr="00B93EE1">
              <w:rPr>
                <w:sz w:val="15"/>
                <w:szCs w:val="15"/>
              </w:rPr>
              <w:t>Factual abstracts distributed (goods and services), WT/REG127</w:t>
            </w:r>
          </w:p>
        </w:tc>
      </w:tr>
      <w:tr w:rsidR="00120717" w:rsidRPr="00B93EE1" w14:paraId="62AC85C7" w14:textId="77777777" w:rsidTr="00075C8B">
        <w:tc>
          <w:tcPr>
            <w:tcW w:w="420" w:type="dxa"/>
          </w:tcPr>
          <w:p w14:paraId="474755E0" w14:textId="77777777" w:rsidR="00120717" w:rsidRPr="00B93EE1" w:rsidRDefault="00120717" w:rsidP="00075C8B">
            <w:pPr>
              <w:jc w:val="left"/>
              <w:rPr>
                <w:sz w:val="15"/>
                <w:szCs w:val="15"/>
              </w:rPr>
            </w:pPr>
            <w:r w:rsidRPr="00B93EE1">
              <w:rPr>
                <w:sz w:val="15"/>
                <w:szCs w:val="15"/>
              </w:rPr>
              <w:t>13</w:t>
            </w:r>
          </w:p>
        </w:tc>
        <w:tc>
          <w:tcPr>
            <w:tcW w:w="2694" w:type="dxa"/>
          </w:tcPr>
          <w:p w14:paraId="16B65775" w14:textId="77777777" w:rsidR="00120717" w:rsidRPr="00B93EE1" w:rsidRDefault="00120717" w:rsidP="00075C8B">
            <w:pPr>
              <w:jc w:val="left"/>
              <w:rPr>
                <w:sz w:val="15"/>
                <w:szCs w:val="15"/>
              </w:rPr>
            </w:pPr>
            <w:r w:rsidRPr="00B93EE1">
              <w:rPr>
                <w:sz w:val="15"/>
                <w:szCs w:val="15"/>
              </w:rPr>
              <w:t>Australia – New Zealand Closer Economic Relations Trade Agreement (ANZCERTA)</w:t>
            </w:r>
          </w:p>
        </w:tc>
        <w:tc>
          <w:tcPr>
            <w:tcW w:w="1085" w:type="dxa"/>
          </w:tcPr>
          <w:p w14:paraId="6C45D840" w14:textId="77777777" w:rsidR="00120717" w:rsidRPr="00B93EE1" w:rsidRDefault="00120717" w:rsidP="00075C8B">
            <w:pPr>
              <w:jc w:val="center"/>
              <w:rPr>
                <w:sz w:val="15"/>
                <w:szCs w:val="15"/>
              </w:rPr>
            </w:pPr>
            <w:r w:rsidRPr="00B93EE1">
              <w:rPr>
                <w:sz w:val="15"/>
                <w:szCs w:val="15"/>
              </w:rPr>
              <w:t>01/01/83</w:t>
            </w:r>
          </w:p>
        </w:tc>
        <w:tc>
          <w:tcPr>
            <w:tcW w:w="970" w:type="dxa"/>
          </w:tcPr>
          <w:p w14:paraId="4E860AA8" w14:textId="77777777" w:rsidR="00120717" w:rsidRPr="00B93EE1" w:rsidRDefault="00120717" w:rsidP="00075C8B">
            <w:pPr>
              <w:jc w:val="center"/>
              <w:rPr>
                <w:sz w:val="15"/>
                <w:szCs w:val="15"/>
              </w:rPr>
            </w:pPr>
            <w:r w:rsidRPr="00B93EE1">
              <w:rPr>
                <w:sz w:val="15"/>
                <w:szCs w:val="15"/>
              </w:rPr>
              <w:t>Yes</w:t>
            </w:r>
          </w:p>
        </w:tc>
        <w:tc>
          <w:tcPr>
            <w:tcW w:w="1879" w:type="dxa"/>
          </w:tcPr>
          <w:p w14:paraId="0753AF2B" w14:textId="77777777" w:rsidR="00120717" w:rsidRPr="00B93EE1" w:rsidRDefault="00120717" w:rsidP="00075C8B">
            <w:pPr>
              <w:jc w:val="left"/>
              <w:rPr>
                <w:sz w:val="15"/>
                <w:szCs w:val="15"/>
              </w:rPr>
            </w:pPr>
            <w:r w:rsidRPr="00B93EE1">
              <w:rPr>
                <w:sz w:val="15"/>
                <w:szCs w:val="15"/>
              </w:rPr>
              <w:t>GATT Art. XXIV and GATS Art. V</w:t>
            </w:r>
          </w:p>
        </w:tc>
        <w:tc>
          <w:tcPr>
            <w:tcW w:w="1968" w:type="dxa"/>
          </w:tcPr>
          <w:p w14:paraId="3073B9D2" w14:textId="77777777" w:rsidR="00120717" w:rsidRPr="00B93EE1" w:rsidRDefault="00120717" w:rsidP="00075C8B">
            <w:pPr>
              <w:jc w:val="left"/>
              <w:rPr>
                <w:sz w:val="15"/>
                <w:szCs w:val="15"/>
              </w:rPr>
            </w:pPr>
            <w:r w:rsidRPr="00B93EE1">
              <w:rPr>
                <w:sz w:val="15"/>
                <w:szCs w:val="15"/>
              </w:rPr>
              <w:t>Report adopted (goods); factual abstract distributed (services), WT/REG40 and WT/REG111</w:t>
            </w:r>
          </w:p>
        </w:tc>
      </w:tr>
    </w:tbl>
    <w:p w14:paraId="0F9510FE" w14:textId="77777777" w:rsidR="00120717" w:rsidRPr="00B93EE1" w:rsidRDefault="00120717" w:rsidP="006B1D61">
      <w:pPr>
        <w:pStyle w:val="NoteText"/>
        <w:spacing w:before="120"/>
      </w:pPr>
      <w:r w:rsidRPr="00B93EE1">
        <w:t>..</w:t>
      </w:r>
      <w:r w:rsidRPr="00B93EE1">
        <w:tab/>
        <w:t>Not available.</w:t>
      </w:r>
    </w:p>
    <w:p w14:paraId="64B990C0" w14:textId="77777777" w:rsidR="00120717" w:rsidRPr="00B93EE1" w:rsidRDefault="00120717" w:rsidP="006B1D61">
      <w:pPr>
        <w:pStyle w:val="NoteText"/>
        <w:spacing w:before="120"/>
      </w:pPr>
      <w:r w:rsidRPr="00B93EE1">
        <w:t>Source:</w:t>
      </w:r>
      <w:r w:rsidRPr="00B93EE1">
        <w:tab/>
        <w:t>WTO Secretariat.</w:t>
      </w:r>
    </w:p>
    <w:p w14:paraId="3DF30398" w14:textId="77777777" w:rsidR="00120717" w:rsidRPr="00B93EE1" w:rsidRDefault="00120717" w:rsidP="006F22A5">
      <w:pPr>
        <w:sectPr w:rsidR="00120717" w:rsidRPr="00B93EE1" w:rsidSect="003D7746">
          <w:footnotePr>
            <w:numRestart w:val="eachSect"/>
          </w:footnotePr>
          <w:pgSz w:w="11906" w:h="16838" w:code="9"/>
          <w:pgMar w:top="1701" w:right="1440" w:bottom="1440" w:left="1440" w:header="720" w:footer="720" w:gutter="0"/>
          <w:cols w:space="720"/>
          <w:docGrid w:linePitch="360"/>
        </w:sectPr>
      </w:pPr>
    </w:p>
    <w:p w14:paraId="3E38EE48" w14:textId="4F7E8CFC" w:rsidR="003029D5" w:rsidRPr="00B93EE1" w:rsidRDefault="00DE713E" w:rsidP="00DE713E">
      <w:pPr>
        <w:pStyle w:val="Caption"/>
      </w:pPr>
      <w:bookmarkStart w:id="265" w:name="_Toc97743453"/>
      <w:r>
        <w:lastRenderedPageBreak/>
        <w:t>Table A3.</w:t>
      </w:r>
      <w:r w:rsidR="0012793B">
        <w:fldChar w:fldCharType="begin"/>
      </w:r>
      <w:r w:rsidR="0012793B">
        <w:instrText xml:space="preserve"> SEQ Table_A3. \* ARABIC </w:instrText>
      </w:r>
      <w:r w:rsidR="0012793B">
        <w:fldChar w:fldCharType="separate"/>
      </w:r>
      <w:r>
        <w:rPr>
          <w:noProof/>
        </w:rPr>
        <w:t>1</w:t>
      </w:r>
      <w:r w:rsidR="0012793B">
        <w:rPr>
          <w:noProof/>
        </w:rPr>
        <w:fldChar w:fldCharType="end"/>
      </w:r>
      <w:r w:rsidR="003029D5" w:rsidRPr="00B93EE1">
        <w:t xml:space="preserve"> MFN applied tariff summary, 2021</w:t>
      </w:r>
      <w:bookmarkEnd w:id="265"/>
    </w:p>
    <w:tbl>
      <w:tblPr>
        <w:tblStyle w:val="WTOTable1"/>
        <w:tblW w:w="5000" w:type="pct"/>
        <w:tblLook w:val="04A0" w:firstRow="1" w:lastRow="0" w:firstColumn="1" w:lastColumn="0" w:noHBand="0" w:noVBand="1"/>
      </w:tblPr>
      <w:tblGrid>
        <w:gridCol w:w="6634"/>
        <w:gridCol w:w="1683"/>
        <w:gridCol w:w="1468"/>
        <w:gridCol w:w="1348"/>
        <w:gridCol w:w="1808"/>
        <w:gridCol w:w="1619"/>
      </w:tblGrid>
      <w:tr w:rsidR="003029D5" w:rsidRPr="00B93EE1" w14:paraId="0D7DF7EF" w14:textId="77777777" w:rsidTr="0083264E">
        <w:trPr>
          <w:cnfStyle w:val="100000000000" w:firstRow="1" w:lastRow="0" w:firstColumn="0" w:lastColumn="0" w:oddVBand="0" w:evenVBand="0" w:oddHBand="0" w:evenHBand="0" w:firstRowFirstColumn="0" w:firstRowLastColumn="0" w:lastRowFirstColumn="0" w:lastRowLastColumn="0"/>
          <w:tblHeader/>
        </w:trPr>
        <w:tc>
          <w:tcPr>
            <w:tcW w:w="2278" w:type="pct"/>
            <w:noWrap/>
            <w:hideMark/>
          </w:tcPr>
          <w:p w14:paraId="291A1FC4" w14:textId="77777777" w:rsidR="003029D5" w:rsidRPr="00B93EE1" w:rsidRDefault="003029D5" w:rsidP="0083264E">
            <w:pPr>
              <w:rPr>
                <w:rFonts w:cs="Calibri"/>
                <w:color w:val="FFFFFF" w:themeColor="background1"/>
                <w:sz w:val="15"/>
                <w:szCs w:val="15"/>
              </w:rPr>
            </w:pPr>
            <w:bookmarkStart w:id="266" w:name="RANGE!A2"/>
            <w:r w:rsidRPr="00B93EE1">
              <w:rPr>
                <w:rFonts w:cs="Calibri"/>
                <w:color w:val="FFFFFF" w:themeColor="background1"/>
                <w:sz w:val="15"/>
                <w:szCs w:val="15"/>
              </w:rPr>
              <w:t> </w:t>
            </w:r>
            <w:bookmarkEnd w:id="266"/>
          </w:p>
        </w:tc>
        <w:tc>
          <w:tcPr>
            <w:tcW w:w="578" w:type="pct"/>
            <w:vAlign w:val="center"/>
            <w:hideMark/>
          </w:tcPr>
          <w:p w14:paraId="6A417359" w14:textId="77777777" w:rsidR="003029D5" w:rsidRPr="00B93EE1" w:rsidRDefault="003029D5" w:rsidP="0083264E">
            <w:pPr>
              <w:jc w:val="center"/>
              <w:rPr>
                <w:rFonts w:cs="Calibri"/>
                <w:color w:val="FFFFFF" w:themeColor="background1"/>
                <w:sz w:val="15"/>
                <w:szCs w:val="15"/>
              </w:rPr>
            </w:pPr>
            <w:r w:rsidRPr="00B93EE1">
              <w:rPr>
                <w:rFonts w:cs="Calibri"/>
                <w:color w:val="FFFFFF" w:themeColor="background1"/>
                <w:sz w:val="15"/>
                <w:szCs w:val="15"/>
              </w:rPr>
              <w:t>Number of lines</w:t>
            </w:r>
          </w:p>
        </w:tc>
        <w:tc>
          <w:tcPr>
            <w:tcW w:w="504" w:type="pct"/>
            <w:vAlign w:val="center"/>
            <w:hideMark/>
          </w:tcPr>
          <w:p w14:paraId="6BF312AB" w14:textId="77777777" w:rsidR="003029D5" w:rsidRPr="00B93EE1" w:rsidRDefault="003029D5" w:rsidP="0083264E">
            <w:pPr>
              <w:jc w:val="center"/>
              <w:rPr>
                <w:rFonts w:cs="Calibri"/>
                <w:color w:val="FFFFFF" w:themeColor="background1"/>
                <w:sz w:val="15"/>
                <w:szCs w:val="15"/>
              </w:rPr>
            </w:pPr>
            <w:r w:rsidRPr="00B93EE1">
              <w:rPr>
                <w:rFonts w:cs="Calibri"/>
                <w:color w:val="FFFFFF" w:themeColor="background1"/>
                <w:sz w:val="15"/>
                <w:szCs w:val="15"/>
              </w:rPr>
              <w:t>Average (%)</w:t>
            </w:r>
          </w:p>
        </w:tc>
        <w:tc>
          <w:tcPr>
            <w:tcW w:w="463" w:type="pct"/>
            <w:vAlign w:val="center"/>
            <w:hideMark/>
          </w:tcPr>
          <w:p w14:paraId="67201531" w14:textId="77777777" w:rsidR="003029D5" w:rsidRPr="00B93EE1" w:rsidRDefault="003029D5" w:rsidP="0083264E">
            <w:pPr>
              <w:jc w:val="center"/>
              <w:rPr>
                <w:rFonts w:cs="Calibri"/>
                <w:color w:val="FFFFFF" w:themeColor="background1"/>
                <w:sz w:val="15"/>
                <w:szCs w:val="15"/>
              </w:rPr>
            </w:pPr>
            <w:r w:rsidRPr="00B93EE1">
              <w:rPr>
                <w:rFonts w:cs="Calibri"/>
                <w:color w:val="FFFFFF" w:themeColor="background1"/>
                <w:sz w:val="15"/>
                <w:szCs w:val="15"/>
              </w:rPr>
              <w:t>Range (%)</w:t>
            </w:r>
          </w:p>
        </w:tc>
        <w:tc>
          <w:tcPr>
            <w:tcW w:w="621" w:type="pct"/>
            <w:vAlign w:val="center"/>
            <w:hideMark/>
          </w:tcPr>
          <w:p w14:paraId="54D9E85E" w14:textId="77777777" w:rsidR="003029D5" w:rsidRPr="00B93EE1" w:rsidRDefault="003029D5" w:rsidP="0083264E">
            <w:pPr>
              <w:jc w:val="center"/>
              <w:rPr>
                <w:rFonts w:cs="Calibri"/>
                <w:color w:val="FFFFFF" w:themeColor="background1"/>
                <w:sz w:val="15"/>
                <w:szCs w:val="15"/>
              </w:rPr>
            </w:pPr>
            <w:r w:rsidRPr="00B93EE1">
              <w:rPr>
                <w:rFonts w:cs="Calibri"/>
                <w:color w:val="FFFFFF" w:themeColor="background1"/>
                <w:sz w:val="15"/>
                <w:szCs w:val="15"/>
              </w:rPr>
              <w:t>Coefficient of variation (%)</w:t>
            </w:r>
          </w:p>
        </w:tc>
        <w:tc>
          <w:tcPr>
            <w:tcW w:w="556" w:type="pct"/>
            <w:vAlign w:val="center"/>
            <w:hideMark/>
          </w:tcPr>
          <w:p w14:paraId="46B449BF" w14:textId="77777777" w:rsidR="003029D5" w:rsidRPr="00B93EE1" w:rsidRDefault="003029D5" w:rsidP="0083264E">
            <w:pPr>
              <w:jc w:val="center"/>
              <w:rPr>
                <w:rFonts w:cs="Calibri"/>
                <w:color w:val="FFFFFF" w:themeColor="background1"/>
                <w:sz w:val="15"/>
                <w:szCs w:val="15"/>
              </w:rPr>
            </w:pPr>
            <w:r w:rsidRPr="00B93EE1">
              <w:rPr>
                <w:rFonts w:cs="Calibri"/>
                <w:color w:val="FFFFFF" w:themeColor="background1"/>
                <w:sz w:val="15"/>
                <w:szCs w:val="15"/>
              </w:rPr>
              <w:t>Duty free (%)</w:t>
            </w:r>
          </w:p>
        </w:tc>
      </w:tr>
      <w:tr w:rsidR="003029D5" w:rsidRPr="00B93EE1" w14:paraId="1C9AF05E" w14:textId="77777777" w:rsidTr="0083264E">
        <w:tc>
          <w:tcPr>
            <w:tcW w:w="2278" w:type="pct"/>
            <w:noWrap/>
            <w:hideMark/>
          </w:tcPr>
          <w:p w14:paraId="349D539B" w14:textId="77777777" w:rsidR="003029D5" w:rsidRPr="00B93EE1" w:rsidRDefault="003029D5" w:rsidP="0083264E">
            <w:pPr>
              <w:jc w:val="left"/>
              <w:rPr>
                <w:rFonts w:cs="Calibri"/>
                <w:b/>
                <w:bCs/>
                <w:color w:val="000000"/>
                <w:sz w:val="15"/>
                <w:szCs w:val="15"/>
              </w:rPr>
            </w:pPr>
            <w:r w:rsidRPr="00B93EE1">
              <w:rPr>
                <w:rFonts w:cs="Calibri"/>
                <w:b/>
                <w:bCs/>
                <w:color w:val="000000"/>
                <w:sz w:val="15"/>
                <w:szCs w:val="15"/>
              </w:rPr>
              <w:t>Total</w:t>
            </w:r>
          </w:p>
        </w:tc>
        <w:tc>
          <w:tcPr>
            <w:tcW w:w="578" w:type="pct"/>
            <w:noWrap/>
            <w:hideMark/>
          </w:tcPr>
          <w:p w14:paraId="129D3B9A" w14:textId="77777777" w:rsidR="003029D5" w:rsidRPr="00B93EE1" w:rsidRDefault="003029D5" w:rsidP="0083264E">
            <w:pPr>
              <w:ind w:right="170"/>
              <w:jc w:val="right"/>
              <w:rPr>
                <w:rFonts w:cs="Calibri"/>
                <w:b/>
                <w:bCs/>
                <w:color w:val="000000"/>
                <w:sz w:val="15"/>
                <w:szCs w:val="15"/>
              </w:rPr>
            </w:pPr>
            <w:r w:rsidRPr="00B93EE1">
              <w:rPr>
                <w:rFonts w:cs="Calibri"/>
                <w:b/>
                <w:bCs/>
                <w:color w:val="000000"/>
                <w:sz w:val="15"/>
                <w:szCs w:val="15"/>
              </w:rPr>
              <w:t>7,927</w:t>
            </w:r>
          </w:p>
        </w:tc>
        <w:tc>
          <w:tcPr>
            <w:tcW w:w="504" w:type="pct"/>
            <w:noWrap/>
            <w:hideMark/>
          </w:tcPr>
          <w:p w14:paraId="350431B4" w14:textId="77777777" w:rsidR="003029D5" w:rsidRPr="00B93EE1" w:rsidRDefault="003029D5" w:rsidP="0083264E">
            <w:pPr>
              <w:ind w:right="227"/>
              <w:jc w:val="right"/>
              <w:rPr>
                <w:rFonts w:cs="Calibri"/>
                <w:b/>
                <w:bCs/>
                <w:color w:val="000000"/>
                <w:sz w:val="15"/>
                <w:szCs w:val="15"/>
              </w:rPr>
            </w:pPr>
            <w:r w:rsidRPr="00B93EE1">
              <w:rPr>
                <w:rFonts w:cs="Calibri"/>
                <w:b/>
                <w:bCs/>
                <w:color w:val="000000"/>
                <w:sz w:val="15"/>
                <w:szCs w:val="15"/>
              </w:rPr>
              <w:t>2.2</w:t>
            </w:r>
          </w:p>
        </w:tc>
        <w:tc>
          <w:tcPr>
            <w:tcW w:w="463" w:type="pct"/>
            <w:noWrap/>
            <w:hideMark/>
          </w:tcPr>
          <w:p w14:paraId="7CF3870D" w14:textId="77777777" w:rsidR="003029D5" w:rsidRPr="00B93EE1" w:rsidRDefault="003029D5" w:rsidP="0083264E">
            <w:pPr>
              <w:ind w:right="113"/>
              <w:jc w:val="right"/>
              <w:rPr>
                <w:rFonts w:cs="Calibri"/>
                <w:b/>
                <w:bCs/>
                <w:color w:val="000000"/>
                <w:sz w:val="15"/>
                <w:szCs w:val="15"/>
              </w:rPr>
            </w:pPr>
            <w:r w:rsidRPr="00B93EE1">
              <w:rPr>
                <w:rFonts w:cs="Calibri"/>
                <w:b/>
                <w:bCs/>
                <w:color w:val="000000"/>
                <w:sz w:val="15"/>
                <w:szCs w:val="15"/>
              </w:rPr>
              <w:t>0-10</w:t>
            </w:r>
          </w:p>
        </w:tc>
        <w:tc>
          <w:tcPr>
            <w:tcW w:w="621" w:type="pct"/>
            <w:noWrap/>
            <w:hideMark/>
          </w:tcPr>
          <w:p w14:paraId="2590F490" w14:textId="77777777" w:rsidR="003029D5" w:rsidRPr="00B93EE1" w:rsidRDefault="003029D5" w:rsidP="0083264E">
            <w:pPr>
              <w:ind w:right="340"/>
              <w:jc w:val="right"/>
              <w:rPr>
                <w:rFonts w:cs="Calibri"/>
                <w:b/>
                <w:bCs/>
                <w:color w:val="000000"/>
                <w:sz w:val="15"/>
                <w:szCs w:val="15"/>
              </w:rPr>
            </w:pPr>
            <w:r w:rsidRPr="00B93EE1">
              <w:rPr>
                <w:rFonts w:cs="Calibri"/>
                <w:b/>
                <w:bCs/>
                <w:color w:val="000000"/>
                <w:sz w:val="15"/>
                <w:szCs w:val="15"/>
              </w:rPr>
              <w:t>1.4</w:t>
            </w:r>
          </w:p>
        </w:tc>
        <w:tc>
          <w:tcPr>
            <w:tcW w:w="556" w:type="pct"/>
            <w:noWrap/>
            <w:hideMark/>
          </w:tcPr>
          <w:p w14:paraId="4502EF16" w14:textId="77777777" w:rsidR="003029D5" w:rsidRPr="00B93EE1" w:rsidRDefault="003029D5" w:rsidP="0083264E">
            <w:pPr>
              <w:ind w:right="227"/>
              <w:jc w:val="right"/>
              <w:rPr>
                <w:rFonts w:cs="Calibri"/>
                <w:b/>
                <w:bCs/>
                <w:color w:val="000000"/>
                <w:sz w:val="15"/>
                <w:szCs w:val="15"/>
              </w:rPr>
            </w:pPr>
            <w:r w:rsidRPr="00B93EE1">
              <w:rPr>
                <w:rFonts w:cs="Calibri"/>
                <w:b/>
                <w:bCs/>
                <w:color w:val="000000"/>
                <w:sz w:val="15"/>
                <w:szCs w:val="15"/>
              </w:rPr>
              <w:t>61.1</w:t>
            </w:r>
          </w:p>
        </w:tc>
      </w:tr>
      <w:tr w:rsidR="003029D5" w:rsidRPr="00B93EE1" w14:paraId="6B04FD91"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7F0403A9"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HS Chapters 01-24</w:t>
            </w:r>
          </w:p>
        </w:tc>
        <w:tc>
          <w:tcPr>
            <w:tcW w:w="578" w:type="pct"/>
            <w:noWrap/>
            <w:hideMark/>
          </w:tcPr>
          <w:p w14:paraId="580D6F77"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1,345</w:t>
            </w:r>
          </w:p>
        </w:tc>
        <w:tc>
          <w:tcPr>
            <w:tcW w:w="504" w:type="pct"/>
            <w:noWrap/>
            <w:hideMark/>
          </w:tcPr>
          <w:p w14:paraId="167A18DA"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1.5</w:t>
            </w:r>
          </w:p>
        </w:tc>
        <w:tc>
          <w:tcPr>
            <w:tcW w:w="463" w:type="pct"/>
            <w:noWrap/>
            <w:hideMark/>
          </w:tcPr>
          <w:p w14:paraId="651816E5"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683335C4"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1.5</w:t>
            </w:r>
          </w:p>
        </w:tc>
        <w:tc>
          <w:tcPr>
            <w:tcW w:w="556" w:type="pct"/>
            <w:noWrap/>
            <w:hideMark/>
          </w:tcPr>
          <w:p w14:paraId="0FA29399"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69.0</w:t>
            </w:r>
          </w:p>
        </w:tc>
      </w:tr>
      <w:tr w:rsidR="003029D5" w:rsidRPr="00B93EE1" w14:paraId="21906C38" w14:textId="77777777" w:rsidTr="0083264E">
        <w:tc>
          <w:tcPr>
            <w:tcW w:w="2278" w:type="pct"/>
            <w:noWrap/>
            <w:hideMark/>
          </w:tcPr>
          <w:p w14:paraId="39808B3A"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HS Chapters 25-97</w:t>
            </w:r>
          </w:p>
        </w:tc>
        <w:tc>
          <w:tcPr>
            <w:tcW w:w="578" w:type="pct"/>
            <w:noWrap/>
            <w:hideMark/>
          </w:tcPr>
          <w:p w14:paraId="136A0B1C"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6,582</w:t>
            </w:r>
          </w:p>
        </w:tc>
        <w:tc>
          <w:tcPr>
            <w:tcW w:w="504" w:type="pct"/>
            <w:noWrap/>
            <w:hideMark/>
          </w:tcPr>
          <w:p w14:paraId="6638FF3F"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2.3</w:t>
            </w:r>
          </w:p>
        </w:tc>
        <w:tc>
          <w:tcPr>
            <w:tcW w:w="463" w:type="pct"/>
            <w:noWrap/>
            <w:hideMark/>
          </w:tcPr>
          <w:p w14:paraId="33A4F811"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5ACD7865"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1.3</w:t>
            </w:r>
          </w:p>
        </w:tc>
        <w:tc>
          <w:tcPr>
            <w:tcW w:w="556" w:type="pct"/>
            <w:noWrap/>
            <w:hideMark/>
          </w:tcPr>
          <w:p w14:paraId="17909AD4"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59.5</w:t>
            </w:r>
          </w:p>
        </w:tc>
      </w:tr>
      <w:tr w:rsidR="003029D5" w:rsidRPr="00B93EE1" w14:paraId="570E54F9"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3C945279" w14:textId="77777777" w:rsidR="003029D5" w:rsidRPr="00B93EE1" w:rsidRDefault="003029D5" w:rsidP="0083264E">
            <w:pPr>
              <w:jc w:val="left"/>
              <w:rPr>
                <w:rFonts w:cs="Calibri"/>
                <w:b/>
                <w:bCs/>
                <w:color w:val="000000"/>
                <w:sz w:val="15"/>
                <w:szCs w:val="15"/>
              </w:rPr>
            </w:pPr>
            <w:r w:rsidRPr="00B93EE1">
              <w:rPr>
                <w:rFonts w:cs="Calibri"/>
                <w:b/>
                <w:bCs/>
                <w:color w:val="000000"/>
                <w:sz w:val="15"/>
                <w:szCs w:val="15"/>
              </w:rPr>
              <w:t>By WTO category</w:t>
            </w:r>
          </w:p>
        </w:tc>
        <w:tc>
          <w:tcPr>
            <w:tcW w:w="578" w:type="pct"/>
            <w:noWrap/>
            <w:hideMark/>
          </w:tcPr>
          <w:p w14:paraId="212CB34A" w14:textId="77777777" w:rsidR="003029D5" w:rsidRPr="00B93EE1" w:rsidRDefault="003029D5" w:rsidP="0083264E">
            <w:pPr>
              <w:ind w:right="170"/>
              <w:jc w:val="right"/>
              <w:rPr>
                <w:rFonts w:cs="Calibri"/>
                <w:b/>
                <w:bCs/>
                <w:color w:val="000000"/>
                <w:sz w:val="15"/>
                <w:szCs w:val="15"/>
              </w:rPr>
            </w:pPr>
          </w:p>
        </w:tc>
        <w:tc>
          <w:tcPr>
            <w:tcW w:w="504" w:type="pct"/>
            <w:noWrap/>
            <w:hideMark/>
          </w:tcPr>
          <w:p w14:paraId="4AE6F4B9" w14:textId="77777777" w:rsidR="003029D5" w:rsidRPr="00B93EE1" w:rsidRDefault="003029D5" w:rsidP="0083264E">
            <w:pPr>
              <w:ind w:right="227"/>
              <w:jc w:val="right"/>
              <w:rPr>
                <w:sz w:val="15"/>
                <w:szCs w:val="15"/>
              </w:rPr>
            </w:pPr>
          </w:p>
        </w:tc>
        <w:tc>
          <w:tcPr>
            <w:tcW w:w="463" w:type="pct"/>
            <w:noWrap/>
            <w:hideMark/>
          </w:tcPr>
          <w:p w14:paraId="19474B0E" w14:textId="77777777" w:rsidR="003029D5" w:rsidRPr="00B93EE1" w:rsidRDefault="003029D5" w:rsidP="0083264E">
            <w:pPr>
              <w:ind w:right="113"/>
              <w:jc w:val="right"/>
              <w:rPr>
                <w:sz w:val="15"/>
                <w:szCs w:val="15"/>
              </w:rPr>
            </w:pPr>
          </w:p>
        </w:tc>
        <w:tc>
          <w:tcPr>
            <w:tcW w:w="621" w:type="pct"/>
            <w:noWrap/>
            <w:hideMark/>
          </w:tcPr>
          <w:p w14:paraId="5F171680" w14:textId="77777777" w:rsidR="003029D5" w:rsidRPr="00B93EE1" w:rsidRDefault="003029D5" w:rsidP="0083264E">
            <w:pPr>
              <w:ind w:right="340"/>
              <w:jc w:val="right"/>
              <w:rPr>
                <w:sz w:val="15"/>
                <w:szCs w:val="15"/>
              </w:rPr>
            </w:pPr>
          </w:p>
        </w:tc>
        <w:tc>
          <w:tcPr>
            <w:tcW w:w="556" w:type="pct"/>
            <w:noWrap/>
            <w:hideMark/>
          </w:tcPr>
          <w:p w14:paraId="13C7121B" w14:textId="77777777" w:rsidR="003029D5" w:rsidRPr="00B93EE1" w:rsidRDefault="003029D5" w:rsidP="0083264E">
            <w:pPr>
              <w:ind w:right="227"/>
              <w:jc w:val="right"/>
              <w:rPr>
                <w:sz w:val="15"/>
                <w:szCs w:val="15"/>
              </w:rPr>
            </w:pPr>
          </w:p>
        </w:tc>
      </w:tr>
      <w:tr w:rsidR="003029D5" w:rsidRPr="00B93EE1" w14:paraId="79C71765" w14:textId="77777777" w:rsidTr="0083264E">
        <w:tc>
          <w:tcPr>
            <w:tcW w:w="2278" w:type="pct"/>
            <w:noWrap/>
            <w:hideMark/>
          </w:tcPr>
          <w:p w14:paraId="5BDEB304" w14:textId="77777777" w:rsidR="003029D5" w:rsidRPr="00B93EE1" w:rsidRDefault="003029D5" w:rsidP="0083264E">
            <w:pPr>
              <w:jc w:val="left"/>
              <w:rPr>
                <w:rFonts w:cs="Calibri"/>
                <w:color w:val="000000"/>
                <w:sz w:val="15"/>
                <w:szCs w:val="15"/>
              </w:rPr>
            </w:pPr>
            <w:r w:rsidRPr="00B93EE1">
              <w:rPr>
                <w:rFonts w:cs="Calibri"/>
                <w:color w:val="000000"/>
                <w:sz w:val="15"/>
                <w:szCs w:val="15"/>
              </w:rPr>
              <w:t>WTO agricultural products</w:t>
            </w:r>
          </w:p>
        </w:tc>
        <w:tc>
          <w:tcPr>
            <w:tcW w:w="578" w:type="pct"/>
            <w:noWrap/>
            <w:hideMark/>
          </w:tcPr>
          <w:p w14:paraId="09868323"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1,082</w:t>
            </w:r>
          </w:p>
        </w:tc>
        <w:tc>
          <w:tcPr>
            <w:tcW w:w="504" w:type="pct"/>
            <w:noWrap/>
            <w:hideMark/>
          </w:tcPr>
          <w:p w14:paraId="086191A9"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1.8</w:t>
            </w:r>
          </w:p>
        </w:tc>
        <w:tc>
          <w:tcPr>
            <w:tcW w:w="463" w:type="pct"/>
            <w:noWrap/>
            <w:hideMark/>
          </w:tcPr>
          <w:p w14:paraId="221DBFDC"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6A562EFD"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1.4</w:t>
            </w:r>
          </w:p>
        </w:tc>
        <w:tc>
          <w:tcPr>
            <w:tcW w:w="556" w:type="pct"/>
            <w:noWrap/>
            <w:hideMark/>
          </w:tcPr>
          <w:p w14:paraId="07559879"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64.6</w:t>
            </w:r>
          </w:p>
        </w:tc>
      </w:tr>
      <w:tr w:rsidR="003029D5" w:rsidRPr="00B93EE1" w14:paraId="0A74A232"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65D97BCB"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Animals and products thereof</w:t>
            </w:r>
          </w:p>
        </w:tc>
        <w:tc>
          <w:tcPr>
            <w:tcW w:w="578" w:type="pct"/>
            <w:noWrap/>
            <w:hideMark/>
          </w:tcPr>
          <w:p w14:paraId="636F0F8F"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137</w:t>
            </w:r>
          </w:p>
        </w:tc>
        <w:tc>
          <w:tcPr>
            <w:tcW w:w="504" w:type="pct"/>
            <w:noWrap/>
            <w:hideMark/>
          </w:tcPr>
          <w:p w14:paraId="36B4C19C"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1.8</w:t>
            </w:r>
          </w:p>
        </w:tc>
        <w:tc>
          <w:tcPr>
            <w:tcW w:w="463" w:type="pct"/>
            <w:noWrap/>
            <w:hideMark/>
          </w:tcPr>
          <w:p w14:paraId="4F743D49"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395FFB87"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1.4</w:t>
            </w:r>
          </w:p>
        </w:tc>
        <w:tc>
          <w:tcPr>
            <w:tcW w:w="556" w:type="pct"/>
            <w:noWrap/>
            <w:hideMark/>
          </w:tcPr>
          <w:p w14:paraId="32413400"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65.0</w:t>
            </w:r>
          </w:p>
        </w:tc>
      </w:tr>
      <w:tr w:rsidR="003029D5" w:rsidRPr="00B93EE1" w14:paraId="6500D86A" w14:textId="77777777" w:rsidTr="0083264E">
        <w:tc>
          <w:tcPr>
            <w:tcW w:w="2278" w:type="pct"/>
            <w:noWrap/>
            <w:hideMark/>
          </w:tcPr>
          <w:p w14:paraId="377F0280"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Dairy products</w:t>
            </w:r>
          </w:p>
        </w:tc>
        <w:tc>
          <w:tcPr>
            <w:tcW w:w="578" w:type="pct"/>
            <w:noWrap/>
            <w:hideMark/>
          </w:tcPr>
          <w:p w14:paraId="1E8FB408"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27</w:t>
            </w:r>
          </w:p>
        </w:tc>
        <w:tc>
          <w:tcPr>
            <w:tcW w:w="504" w:type="pct"/>
            <w:noWrap/>
            <w:hideMark/>
          </w:tcPr>
          <w:p w14:paraId="09FA4DFB"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1.3</w:t>
            </w:r>
          </w:p>
        </w:tc>
        <w:tc>
          <w:tcPr>
            <w:tcW w:w="463" w:type="pct"/>
            <w:noWrap/>
            <w:hideMark/>
          </w:tcPr>
          <w:p w14:paraId="628E5D10"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0A952893"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1.7</w:t>
            </w:r>
          </w:p>
        </w:tc>
        <w:tc>
          <w:tcPr>
            <w:tcW w:w="556" w:type="pct"/>
            <w:noWrap/>
            <w:hideMark/>
          </w:tcPr>
          <w:p w14:paraId="17424940"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74.1</w:t>
            </w:r>
          </w:p>
        </w:tc>
      </w:tr>
      <w:tr w:rsidR="003029D5" w:rsidRPr="00B93EE1" w14:paraId="13D6D01E"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6C7B553D"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Fruit, vegetables, and plants</w:t>
            </w:r>
          </w:p>
        </w:tc>
        <w:tc>
          <w:tcPr>
            <w:tcW w:w="578" w:type="pct"/>
            <w:noWrap/>
            <w:hideMark/>
          </w:tcPr>
          <w:p w14:paraId="5281F33B"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254</w:t>
            </w:r>
          </w:p>
        </w:tc>
        <w:tc>
          <w:tcPr>
            <w:tcW w:w="504" w:type="pct"/>
            <w:noWrap/>
            <w:hideMark/>
          </w:tcPr>
          <w:p w14:paraId="5E5CF1D4"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1.4</w:t>
            </w:r>
          </w:p>
        </w:tc>
        <w:tc>
          <w:tcPr>
            <w:tcW w:w="463" w:type="pct"/>
            <w:noWrap/>
            <w:hideMark/>
          </w:tcPr>
          <w:p w14:paraId="2EB6323A"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1EB1973D"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1.6</w:t>
            </w:r>
          </w:p>
        </w:tc>
        <w:tc>
          <w:tcPr>
            <w:tcW w:w="556" w:type="pct"/>
            <w:noWrap/>
            <w:hideMark/>
          </w:tcPr>
          <w:p w14:paraId="1E03D388"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72.4</w:t>
            </w:r>
          </w:p>
        </w:tc>
      </w:tr>
      <w:tr w:rsidR="003029D5" w:rsidRPr="00B93EE1" w14:paraId="0C10B630" w14:textId="77777777" w:rsidTr="0083264E">
        <w:tc>
          <w:tcPr>
            <w:tcW w:w="2278" w:type="pct"/>
            <w:noWrap/>
            <w:hideMark/>
          </w:tcPr>
          <w:p w14:paraId="32FABBDB"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Coffee and tea</w:t>
            </w:r>
          </w:p>
        </w:tc>
        <w:tc>
          <w:tcPr>
            <w:tcW w:w="578" w:type="pct"/>
            <w:noWrap/>
            <w:hideMark/>
          </w:tcPr>
          <w:p w14:paraId="580599CC"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27</w:t>
            </w:r>
          </w:p>
        </w:tc>
        <w:tc>
          <w:tcPr>
            <w:tcW w:w="504" w:type="pct"/>
            <w:noWrap/>
            <w:hideMark/>
          </w:tcPr>
          <w:p w14:paraId="69EA0DC2"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2.4</w:t>
            </w:r>
          </w:p>
        </w:tc>
        <w:tc>
          <w:tcPr>
            <w:tcW w:w="463" w:type="pct"/>
            <w:noWrap/>
            <w:hideMark/>
          </w:tcPr>
          <w:p w14:paraId="531EC5D5"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5E986DF8"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1.0</w:t>
            </w:r>
          </w:p>
        </w:tc>
        <w:tc>
          <w:tcPr>
            <w:tcW w:w="556" w:type="pct"/>
            <w:noWrap/>
            <w:hideMark/>
          </w:tcPr>
          <w:p w14:paraId="18BFAB06"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51.9</w:t>
            </w:r>
          </w:p>
        </w:tc>
      </w:tr>
      <w:tr w:rsidR="003029D5" w:rsidRPr="00B93EE1" w14:paraId="129247EF"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7829FAF8"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Cereals and preparations</w:t>
            </w:r>
          </w:p>
        </w:tc>
        <w:tc>
          <w:tcPr>
            <w:tcW w:w="578" w:type="pct"/>
            <w:noWrap/>
            <w:hideMark/>
          </w:tcPr>
          <w:p w14:paraId="7D8DEA62"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141</w:t>
            </w:r>
          </w:p>
        </w:tc>
        <w:tc>
          <w:tcPr>
            <w:tcW w:w="504" w:type="pct"/>
            <w:noWrap/>
            <w:hideMark/>
          </w:tcPr>
          <w:p w14:paraId="4865C031"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2.7</w:t>
            </w:r>
          </w:p>
        </w:tc>
        <w:tc>
          <w:tcPr>
            <w:tcW w:w="463" w:type="pct"/>
            <w:noWrap/>
            <w:hideMark/>
          </w:tcPr>
          <w:p w14:paraId="028AE4C2"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2576887F"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0.9</w:t>
            </w:r>
          </w:p>
        </w:tc>
        <w:tc>
          <w:tcPr>
            <w:tcW w:w="556" w:type="pct"/>
            <w:noWrap/>
            <w:hideMark/>
          </w:tcPr>
          <w:p w14:paraId="4F5F3572"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46.1</w:t>
            </w:r>
          </w:p>
        </w:tc>
      </w:tr>
      <w:tr w:rsidR="003029D5" w:rsidRPr="00B93EE1" w14:paraId="2DABA571" w14:textId="77777777" w:rsidTr="0083264E">
        <w:tc>
          <w:tcPr>
            <w:tcW w:w="2278" w:type="pct"/>
            <w:noWrap/>
            <w:hideMark/>
          </w:tcPr>
          <w:p w14:paraId="10DE566C"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Oils seeds, fats, oil and their products</w:t>
            </w:r>
          </w:p>
        </w:tc>
        <w:tc>
          <w:tcPr>
            <w:tcW w:w="578" w:type="pct"/>
            <w:noWrap/>
            <w:hideMark/>
          </w:tcPr>
          <w:p w14:paraId="3CA6225C"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96</w:t>
            </w:r>
          </w:p>
        </w:tc>
        <w:tc>
          <w:tcPr>
            <w:tcW w:w="504" w:type="pct"/>
            <w:noWrap/>
            <w:hideMark/>
          </w:tcPr>
          <w:p w14:paraId="4C80F4F2"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0.8</w:t>
            </w:r>
          </w:p>
        </w:tc>
        <w:tc>
          <w:tcPr>
            <w:tcW w:w="463" w:type="pct"/>
            <w:noWrap/>
            <w:hideMark/>
          </w:tcPr>
          <w:p w14:paraId="0A41B35F"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158AF39E"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2.2</w:t>
            </w:r>
          </w:p>
        </w:tc>
        <w:tc>
          <w:tcPr>
            <w:tcW w:w="556" w:type="pct"/>
            <w:noWrap/>
            <w:hideMark/>
          </w:tcPr>
          <w:p w14:paraId="0EB0BF68"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83.3</w:t>
            </w:r>
          </w:p>
        </w:tc>
      </w:tr>
      <w:tr w:rsidR="003029D5" w:rsidRPr="00B93EE1" w14:paraId="179E14B1"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2CF69D6B"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Sugars and confectionery</w:t>
            </w:r>
          </w:p>
        </w:tc>
        <w:tc>
          <w:tcPr>
            <w:tcW w:w="578" w:type="pct"/>
            <w:noWrap/>
            <w:hideMark/>
          </w:tcPr>
          <w:p w14:paraId="0C01E2A6"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20</w:t>
            </w:r>
          </w:p>
        </w:tc>
        <w:tc>
          <w:tcPr>
            <w:tcW w:w="504" w:type="pct"/>
            <w:noWrap/>
            <w:hideMark/>
          </w:tcPr>
          <w:p w14:paraId="3F60A670"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1.8</w:t>
            </w:r>
          </w:p>
        </w:tc>
        <w:tc>
          <w:tcPr>
            <w:tcW w:w="463" w:type="pct"/>
            <w:noWrap/>
            <w:hideMark/>
          </w:tcPr>
          <w:p w14:paraId="79DDF000"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524D1D9F"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1.4</w:t>
            </w:r>
          </w:p>
        </w:tc>
        <w:tc>
          <w:tcPr>
            <w:tcW w:w="556" w:type="pct"/>
            <w:noWrap/>
            <w:hideMark/>
          </w:tcPr>
          <w:p w14:paraId="73762CB5"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65.0</w:t>
            </w:r>
          </w:p>
        </w:tc>
      </w:tr>
      <w:tr w:rsidR="003029D5" w:rsidRPr="00B93EE1" w14:paraId="42D7A83C" w14:textId="77777777" w:rsidTr="0083264E">
        <w:tc>
          <w:tcPr>
            <w:tcW w:w="2278" w:type="pct"/>
            <w:noWrap/>
            <w:hideMark/>
          </w:tcPr>
          <w:p w14:paraId="268C845F"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Beverages, spirits and tobacco</w:t>
            </w:r>
          </w:p>
        </w:tc>
        <w:tc>
          <w:tcPr>
            <w:tcW w:w="578" w:type="pct"/>
            <w:noWrap/>
            <w:hideMark/>
          </w:tcPr>
          <w:p w14:paraId="77BF0195"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223</w:t>
            </w:r>
          </w:p>
        </w:tc>
        <w:tc>
          <w:tcPr>
            <w:tcW w:w="504" w:type="pct"/>
            <w:noWrap/>
            <w:hideMark/>
          </w:tcPr>
          <w:p w14:paraId="75AC9F7F"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2.6</w:t>
            </w:r>
          </w:p>
        </w:tc>
        <w:tc>
          <w:tcPr>
            <w:tcW w:w="463" w:type="pct"/>
            <w:noWrap/>
            <w:hideMark/>
          </w:tcPr>
          <w:p w14:paraId="7A6FBA67"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2B4EF795"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1.0</w:t>
            </w:r>
          </w:p>
        </w:tc>
        <w:tc>
          <w:tcPr>
            <w:tcW w:w="556" w:type="pct"/>
            <w:noWrap/>
            <w:hideMark/>
          </w:tcPr>
          <w:p w14:paraId="0F7CD3D7"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47.5</w:t>
            </w:r>
          </w:p>
        </w:tc>
      </w:tr>
      <w:tr w:rsidR="003029D5" w:rsidRPr="00B93EE1" w14:paraId="40104547"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665DEA6C"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Cotton</w:t>
            </w:r>
          </w:p>
        </w:tc>
        <w:tc>
          <w:tcPr>
            <w:tcW w:w="578" w:type="pct"/>
            <w:noWrap/>
            <w:hideMark/>
          </w:tcPr>
          <w:p w14:paraId="3BF72F44"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5</w:t>
            </w:r>
          </w:p>
        </w:tc>
        <w:tc>
          <w:tcPr>
            <w:tcW w:w="504" w:type="pct"/>
            <w:noWrap/>
            <w:hideMark/>
          </w:tcPr>
          <w:p w14:paraId="14DD0B1D"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0.0</w:t>
            </w:r>
          </w:p>
        </w:tc>
        <w:tc>
          <w:tcPr>
            <w:tcW w:w="463" w:type="pct"/>
            <w:noWrap/>
            <w:hideMark/>
          </w:tcPr>
          <w:p w14:paraId="7F000EFB"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0-0</w:t>
            </w:r>
          </w:p>
        </w:tc>
        <w:tc>
          <w:tcPr>
            <w:tcW w:w="621" w:type="pct"/>
            <w:noWrap/>
            <w:hideMark/>
          </w:tcPr>
          <w:p w14:paraId="404B9CE8"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0.0</w:t>
            </w:r>
          </w:p>
        </w:tc>
        <w:tc>
          <w:tcPr>
            <w:tcW w:w="556" w:type="pct"/>
            <w:noWrap/>
            <w:hideMark/>
          </w:tcPr>
          <w:p w14:paraId="2FCF5583"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100.0</w:t>
            </w:r>
          </w:p>
        </w:tc>
      </w:tr>
      <w:tr w:rsidR="003029D5" w:rsidRPr="00B93EE1" w14:paraId="62E1FB30" w14:textId="77777777" w:rsidTr="0083264E">
        <w:tc>
          <w:tcPr>
            <w:tcW w:w="2278" w:type="pct"/>
            <w:noWrap/>
            <w:hideMark/>
          </w:tcPr>
          <w:p w14:paraId="4B3E8198"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 xml:space="preserve">Other agricultural products, </w:t>
            </w:r>
            <w:proofErr w:type="spellStart"/>
            <w:r w:rsidRPr="00B93EE1">
              <w:rPr>
                <w:rFonts w:cs="Calibri"/>
                <w:color w:val="000000"/>
                <w:sz w:val="15"/>
                <w:szCs w:val="15"/>
              </w:rPr>
              <w:t>n.e.s.</w:t>
            </w:r>
            <w:proofErr w:type="spellEnd"/>
          </w:p>
        </w:tc>
        <w:tc>
          <w:tcPr>
            <w:tcW w:w="578" w:type="pct"/>
            <w:noWrap/>
            <w:hideMark/>
          </w:tcPr>
          <w:p w14:paraId="37FE8507"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152</w:t>
            </w:r>
          </w:p>
        </w:tc>
        <w:tc>
          <w:tcPr>
            <w:tcW w:w="504" w:type="pct"/>
            <w:noWrap/>
            <w:hideMark/>
          </w:tcPr>
          <w:p w14:paraId="3A422B18"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1.0</w:t>
            </w:r>
          </w:p>
        </w:tc>
        <w:tc>
          <w:tcPr>
            <w:tcW w:w="463" w:type="pct"/>
            <w:noWrap/>
            <w:hideMark/>
          </w:tcPr>
          <w:p w14:paraId="177C117C"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0DB78CC1"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2.1</w:t>
            </w:r>
          </w:p>
        </w:tc>
        <w:tc>
          <w:tcPr>
            <w:tcW w:w="556" w:type="pct"/>
            <w:noWrap/>
            <w:hideMark/>
          </w:tcPr>
          <w:p w14:paraId="559F7F42"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80.9</w:t>
            </w:r>
          </w:p>
        </w:tc>
      </w:tr>
      <w:tr w:rsidR="003029D5" w:rsidRPr="00B93EE1" w14:paraId="41EBA239"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126E5614" w14:textId="77777777" w:rsidR="003029D5" w:rsidRPr="00B93EE1" w:rsidRDefault="003029D5" w:rsidP="0083264E">
            <w:pPr>
              <w:jc w:val="left"/>
              <w:rPr>
                <w:rFonts w:cs="Calibri"/>
                <w:color w:val="000000"/>
                <w:sz w:val="15"/>
                <w:szCs w:val="15"/>
              </w:rPr>
            </w:pPr>
            <w:r w:rsidRPr="00B93EE1">
              <w:rPr>
                <w:rFonts w:cs="Calibri"/>
                <w:color w:val="000000"/>
                <w:sz w:val="15"/>
                <w:szCs w:val="15"/>
              </w:rPr>
              <w:t xml:space="preserve">WTO non-agricultural products </w:t>
            </w:r>
          </w:p>
        </w:tc>
        <w:tc>
          <w:tcPr>
            <w:tcW w:w="578" w:type="pct"/>
            <w:noWrap/>
            <w:hideMark/>
          </w:tcPr>
          <w:p w14:paraId="2DE8F77D"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6,845</w:t>
            </w:r>
          </w:p>
        </w:tc>
        <w:tc>
          <w:tcPr>
            <w:tcW w:w="504" w:type="pct"/>
            <w:noWrap/>
            <w:hideMark/>
          </w:tcPr>
          <w:p w14:paraId="5D6B2F0E"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2.3</w:t>
            </w:r>
          </w:p>
        </w:tc>
        <w:tc>
          <w:tcPr>
            <w:tcW w:w="463" w:type="pct"/>
            <w:noWrap/>
            <w:hideMark/>
          </w:tcPr>
          <w:p w14:paraId="73F91236"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353C9190"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1.3</w:t>
            </w:r>
          </w:p>
        </w:tc>
        <w:tc>
          <w:tcPr>
            <w:tcW w:w="556" w:type="pct"/>
            <w:noWrap/>
            <w:hideMark/>
          </w:tcPr>
          <w:p w14:paraId="6FA9032C"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60.6</w:t>
            </w:r>
          </w:p>
        </w:tc>
      </w:tr>
      <w:tr w:rsidR="003029D5" w:rsidRPr="00B93EE1" w14:paraId="01E700F6" w14:textId="77777777" w:rsidTr="0083264E">
        <w:tc>
          <w:tcPr>
            <w:tcW w:w="2278" w:type="pct"/>
            <w:noWrap/>
            <w:hideMark/>
          </w:tcPr>
          <w:p w14:paraId="07BB4CA3"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Fish and fishery products</w:t>
            </w:r>
          </w:p>
        </w:tc>
        <w:tc>
          <w:tcPr>
            <w:tcW w:w="578" w:type="pct"/>
            <w:noWrap/>
            <w:hideMark/>
          </w:tcPr>
          <w:p w14:paraId="3777BA38"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336</w:t>
            </w:r>
          </w:p>
        </w:tc>
        <w:tc>
          <w:tcPr>
            <w:tcW w:w="504" w:type="pct"/>
            <w:noWrap/>
            <w:hideMark/>
          </w:tcPr>
          <w:p w14:paraId="072FC83F"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0.6</w:t>
            </w:r>
          </w:p>
        </w:tc>
        <w:tc>
          <w:tcPr>
            <w:tcW w:w="463" w:type="pct"/>
            <w:noWrap/>
            <w:hideMark/>
          </w:tcPr>
          <w:p w14:paraId="4F21BA74"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5BFADC5D"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2.6</w:t>
            </w:r>
          </w:p>
        </w:tc>
        <w:tc>
          <w:tcPr>
            <w:tcW w:w="556" w:type="pct"/>
            <w:noWrap/>
            <w:hideMark/>
          </w:tcPr>
          <w:p w14:paraId="41E4CF06"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87.5</w:t>
            </w:r>
          </w:p>
        </w:tc>
      </w:tr>
      <w:tr w:rsidR="003029D5" w:rsidRPr="00B93EE1" w14:paraId="12A691CC"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161C8070"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Minerals and metals</w:t>
            </w:r>
          </w:p>
        </w:tc>
        <w:tc>
          <w:tcPr>
            <w:tcW w:w="578" w:type="pct"/>
            <w:noWrap/>
            <w:hideMark/>
          </w:tcPr>
          <w:p w14:paraId="5E77FC77"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1,235</w:t>
            </w:r>
          </w:p>
        </w:tc>
        <w:tc>
          <w:tcPr>
            <w:tcW w:w="504" w:type="pct"/>
            <w:noWrap/>
            <w:hideMark/>
          </w:tcPr>
          <w:p w14:paraId="3C1D3F6A"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2.1</w:t>
            </w:r>
          </w:p>
        </w:tc>
        <w:tc>
          <w:tcPr>
            <w:tcW w:w="463" w:type="pct"/>
            <w:noWrap/>
            <w:hideMark/>
          </w:tcPr>
          <w:p w14:paraId="4916ABB6"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05C635AB"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1.2</w:t>
            </w:r>
          </w:p>
        </w:tc>
        <w:tc>
          <w:tcPr>
            <w:tcW w:w="556" w:type="pct"/>
            <w:noWrap/>
            <w:hideMark/>
          </w:tcPr>
          <w:p w14:paraId="20059EB7"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58.6</w:t>
            </w:r>
          </w:p>
        </w:tc>
      </w:tr>
      <w:tr w:rsidR="003029D5" w:rsidRPr="00B93EE1" w14:paraId="501C7F5A" w14:textId="77777777" w:rsidTr="0083264E">
        <w:tc>
          <w:tcPr>
            <w:tcW w:w="2278" w:type="pct"/>
            <w:noWrap/>
            <w:hideMark/>
          </w:tcPr>
          <w:p w14:paraId="1B34053F"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Chemicals and photographic supplies</w:t>
            </w:r>
          </w:p>
        </w:tc>
        <w:tc>
          <w:tcPr>
            <w:tcW w:w="578" w:type="pct"/>
            <w:noWrap/>
            <w:hideMark/>
          </w:tcPr>
          <w:p w14:paraId="35B9F5F6"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1,181</w:t>
            </w:r>
          </w:p>
        </w:tc>
        <w:tc>
          <w:tcPr>
            <w:tcW w:w="504" w:type="pct"/>
            <w:noWrap/>
            <w:hideMark/>
          </w:tcPr>
          <w:p w14:paraId="3A1DC16C"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1.1</w:t>
            </w:r>
          </w:p>
        </w:tc>
        <w:tc>
          <w:tcPr>
            <w:tcW w:w="463" w:type="pct"/>
            <w:noWrap/>
            <w:hideMark/>
          </w:tcPr>
          <w:p w14:paraId="22922B05"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5C89300A"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1.9</w:t>
            </w:r>
          </w:p>
        </w:tc>
        <w:tc>
          <w:tcPr>
            <w:tcW w:w="556" w:type="pct"/>
            <w:noWrap/>
            <w:hideMark/>
          </w:tcPr>
          <w:p w14:paraId="1604C594"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78.2</w:t>
            </w:r>
          </w:p>
        </w:tc>
      </w:tr>
      <w:tr w:rsidR="003029D5" w:rsidRPr="00B93EE1" w14:paraId="6CCAB7D0"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704E8F90"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Wood, pulp, paper and furniture</w:t>
            </w:r>
          </w:p>
        </w:tc>
        <w:tc>
          <w:tcPr>
            <w:tcW w:w="578" w:type="pct"/>
            <w:noWrap/>
            <w:hideMark/>
          </w:tcPr>
          <w:p w14:paraId="10E6686C"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514</w:t>
            </w:r>
          </w:p>
        </w:tc>
        <w:tc>
          <w:tcPr>
            <w:tcW w:w="504" w:type="pct"/>
            <w:noWrap/>
            <w:hideMark/>
          </w:tcPr>
          <w:p w14:paraId="7240BA4B"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1.7</w:t>
            </w:r>
          </w:p>
        </w:tc>
        <w:tc>
          <w:tcPr>
            <w:tcW w:w="463" w:type="pct"/>
            <w:noWrap/>
            <w:hideMark/>
          </w:tcPr>
          <w:p w14:paraId="3837BEE4"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4DA2FD2E"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1.5</w:t>
            </w:r>
          </w:p>
        </w:tc>
        <w:tc>
          <w:tcPr>
            <w:tcW w:w="556" w:type="pct"/>
            <w:noWrap/>
            <w:hideMark/>
          </w:tcPr>
          <w:p w14:paraId="00D7AB13"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68.7</w:t>
            </w:r>
          </w:p>
        </w:tc>
      </w:tr>
      <w:tr w:rsidR="003029D5" w:rsidRPr="00B93EE1" w14:paraId="44A18C44" w14:textId="77777777" w:rsidTr="0083264E">
        <w:tc>
          <w:tcPr>
            <w:tcW w:w="2278" w:type="pct"/>
            <w:noWrap/>
            <w:hideMark/>
          </w:tcPr>
          <w:p w14:paraId="37FAA472"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Textiles</w:t>
            </w:r>
          </w:p>
        </w:tc>
        <w:tc>
          <w:tcPr>
            <w:tcW w:w="578" w:type="pct"/>
            <w:noWrap/>
            <w:hideMark/>
          </w:tcPr>
          <w:p w14:paraId="25836E6D"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796</w:t>
            </w:r>
          </w:p>
        </w:tc>
        <w:tc>
          <w:tcPr>
            <w:tcW w:w="504" w:type="pct"/>
            <w:noWrap/>
            <w:hideMark/>
          </w:tcPr>
          <w:p w14:paraId="3E300A3D"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2.3</w:t>
            </w:r>
          </w:p>
        </w:tc>
        <w:tc>
          <w:tcPr>
            <w:tcW w:w="463" w:type="pct"/>
            <w:noWrap/>
            <w:hideMark/>
          </w:tcPr>
          <w:p w14:paraId="54059A4E"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75FD7B7F"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1.3</w:t>
            </w:r>
          </w:p>
        </w:tc>
        <w:tc>
          <w:tcPr>
            <w:tcW w:w="556" w:type="pct"/>
            <w:noWrap/>
            <w:hideMark/>
          </w:tcPr>
          <w:p w14:paraId="1877BD30"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59.0</w:t>
            </w:r>
          </w:p>
        </w:tc>
      </w:tr>
      <w:tr w:rsidR="003029D5" w:rsidRPr="00B93EE1" w14:paraId="583BCBB2"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048EDE87"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Clothing</w:t>
            </w:r>
          </w:p>
        </w:tc>
        <w:tc>
          <w:tcPr>
            <w:tcW w:w="578" w:type="pct"/>
            <w:noWrap/>
            <w:hideMark/>
          </w:tcPr>
          <w:p w14:paraId="77FBA201"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286</w:t>
            </w:r>
          </w:p>
        </w:tc>
        <w:tc>
          <w:tcPr>
            <w:tcW w:w="504" w:type="pct"/>
            <w:noWrap/>
            <w:hideMark/>
          </w:tcPr>
          <w:p w14:paraId="0B82ECB7"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9.6</w:t>
            </w:r>
          </w:p>
        </w:tc>
        <w:tc>
          <w:tcPr>
            <w:tcW w:w="463" w:type="pct"/>
            <w:noWrap/>
            <w:hideMark/>
          </w:tcPr>
          <w:p w14:paraId="38BFCEC5"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316C2E70"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0.2</w:t>
            </w:r>
          </w:p>
        </w:tc>
        <w:tc>
          <w:tcPr>
            <w:tcW w:w="556" w:type="pct"/>
            <w:noWrap/>
            <w:hideMark/>
          </w:tcPr>
          <w:p w14:paraId="1E3E547C"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1.7</w:t>
            </w:r>
          </w:p>
        </w:tc>
      </w:tr>
      <w:tr w:rsidR="003029D5" w:rsidRPr="00B93EE1" w14:paraId="0A48E03F" w14:textId="77777777" w:rsidTr="0083264E">
        <w:tc>
          <w:tcPr>
            <w:tcW w:w="2278" w:type="pct"/>
            <w:noWrap/>
            <w:hideMark/>
          </w:tcPr>
          <w:p w14:paraId="090263C7"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Leather, rubber, footwear and travel goods</w:t>
            </w:r>
          </w:p>
        </w:tc>
        <w:tc>
          <w:tcPr>
            <w:tcW w:w="578" w:type="pct"/>
            <w:noWrap/>
            <w:hideMark/>
          </w:tcPr>
          <w:p w14:paraId="3BBA834A"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308</w:t>
            </w:r>
          </w:p>
        </w:tc>
        <w:tc>
          <w:tcPr>
            <w:tcW w:w="504" w:type="pct"/>
            <w:noWrap/>
            <w:hideMark/>
          </w:tcPr>
          <w:p w14:paraId="7D4B77FC"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3.8</w:t>
            </w:r>
          </w:p>
        </w:tc>
        <w:tc>
          <w:tcPr>
            <w:tcW w:w="463" w:type="pct"/>
            <w:noWrap/>
            <w:hideMark/>
          </w:tcPr>
          <w:p w14:paraId="5346F109"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6399D516"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1.0</w:t>
            </w:r>
          </w:p>
        </w:tc>
        <w:tc>
          <w:tcPr>
            <w:tcW w:w="556" w:type="pct"/>
            <w:noWrap/>
            <w:hideMark/>
          </w:tcPr>
          <w:p w14:paraId="1F909FA3"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41.2</w:t>
            </w:r>
          </w:p>
        </w:tc>
      </w:tr>
      <w:tr w:rsidR="003029D5" w:rsidRPr="00B93EE1" w14:paraId="64DD6776"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28CF94EC"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Non-electric machinery</w:t>
            </w:r>
          </w:p>
        </w:tc>
        <w:tc>
          <w:tcPr>
            <w:tcW w:w="578" w:type="pct"/>
            <w:noWrap/>
            <w:hideMark/>
          </w:tcPr>
          <w:p w14:paraId="3E90F8E0"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858</w:t>
            </w:r>
          </w:p>
        </w:tc>
        <w:tc>
          <w:tcPr>
            <w:tcW w:w="504" w:type="pct"/>
            <w:noWrap/>
            <w:hideMark/>
          </w:tcPr>
          <w:p w14:paraId="5AA88CBB"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2.4</w:t>
            </w:r>
          </w:p>
        </w:tc>
        <w:tc>
          <w:tcPr>
            <w:tcW w:w="463" w:type="pct"/>
            <w:noWrap/>
            <w:hideMark/>
          </w:tcPr>
          <w:p w14:paraId="0F2BB63B"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1AFAB62D"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1.0</w:t>
            </w:r>
          </w:p>
        </w:tc>
        <w:tc>
          <w:tcPr>
            <w:tcW w:w="556" w:type="pct"/>
            <w:noWrap/>
            <w:hideMark/>
          </w:tcPr>
          <w:p w14:paraId="1F2B8D6E"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51.5</w:t>
            </w:r>
          </w:p>
        </w:tc>
      </w:tr>
      <w:tr w:rsidR="003029D5" w:rsidRPr="00B93EE1" w14:paraId="3D1E208F" w14:textId="77777777" w:rsidTr="0083264E">
        <w:tc>
          <w:tcPr>
            <w:tcW w:w="2278" w:type="pct"/>
            <w:noWrap/>
            <w:hideMark/>
          </w:tcPr>
          <w:p w14:paraId="1CD7040B"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Electric machinery</w:t>
            </w:r>
          </w:p>
        </w:tc>
        <w:tc>
          <w:tcPr>
            <w:tcW w:w="578" w:type="pct"/>
            <w:noWrap/>
            <w:hideMark/>
          </w:tcPr>
          <w:p w14:paraId="7FC2DC3B"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446</w:t>
            </w:r>
          </w:p>
        </w:tc>
        <w:tc>
          <w:tcPr>
            <w:tcW w:w="504" w:type="pct"/>
            <w:noWrap/>
            <w:hideMark/>
          </w:tcPr>
          <w:p w14:paraId="7187B326"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1.9</w:t>
            </w:r>
          </w:p>
        </w:tc>
        <w:tc>
          <w:tcPr>
            <w:tcW w:w="463" w:type="pct"/>
            <w:noWrap/>
            <w:hideMark/>
          </w:tcPr>
          <w:p w14:paraId="7DF0B269"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15F95EDB"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1.3</w:t>
            </w:r>
          </w:p>
        </w:tc>
        <w:tc>
          <w:tcPr>
            <w:tcW w:w="556" w:type="pct"/>
            <w:noWrap/>
            <w:hideMark/>
          </w:tcPr>
          <w:p w14:paraId="1AB8C304"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62.3</w:t>
            </w:r>
          </w:p>
        </w:tc>
      </w:tr>
      <w:tr w:rsidR="003029D5" w:rsidRPr="00B93EE1" w14:paraId="0DBE2C65"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47D3D8F4"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Transport equipment</w:t>
            </w:r>
          </w:p>
        </w:tc>
        <w:tc>
          <w:tcPr>
            <w:tcW w:w="578" w:type="pct"/>
            <w:noWrap/>
            <w:hideMark/>
          </w:tcPr>
          <w:p w14:paraId="2536DBAA"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270</w:t>
            </w:r>
          </w:p>
        </w:tc>
        <w:tc>
          <w:tcPr>
            <w:tcW w:w="504" w:type="pct"/>
            <w:noWrap/>
            <w:hideMark/>
          </w:tcPr>
          <w:p w14:paraId="4495C620"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3.9</w:t>
            </w:r>
          </w:p>
        </w:tc>
        <w:tc>
          <w:tcPr>
            <w:tcW w:w="463" w:type="pct"/>
            <w:noWrap/>
            <w:hideMark/>
          </w:tcPr>
          <w:p w14:paraId="40DE8A66"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34703D8D"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1.0</w:t>
            </w:r>
          </w:p>
        </w:tc>
        <w:tc>
          <w:tcPr>
            <w:tcW w:w="556" w:type="pct"/>
            <w:noWrap/>
            <w:hideMark/>
          </w:tcPr>
          <w:p w14:paraId="50F62389"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40.7</w:t>
            </w:r>
          </w:p>
        </w:tc>
      </w:tr>
      <w:tr w:rsidR="003029D5" w:rsidRPr="00B93EE1" w14:paraId="564AA9E7" w14:textId="77777777" w:rsidTr="0083264E">
        <w:tc>
          <w:tcPr>
            <w:tcW w:w="2278" w:type="pct"/>
            <w:noWrap/>
            <w:hideMark/>
          </w:tcPr>
          <w:p w14:paraId="53B9C833" w14:textId="77777777" w:rsidR="003029D5" w:rsidRPr="00B55C45" w:rsidRDefault="003029D5" w:rsidP="0083264E">
            <w:pPr>
              <w:tabs>
                <w:tab w:val="left" w:pos="170"/>
              </w:tabs>
              <w:jc w:val="left"/>
              <w:rPr>
                <w:rFonts w:cs="Calibri"/>
                <w:color w:val="000000"/>
                <w:sz w:val="15"/>
                <w:szCs w:val="15"/>
                <w:lang w:val="fr-CH"/>
              </w:rPr>
            </w:pPr>
            <w:r w:rsidRPr="00B55C45">
              <w:rPr>
                <w:rFonts w:cs="Calibri"/>
                <w:color w:val="000000"/>
                <w:sz w:val="15"/>
                <w:szCs w:val="15"/>
                <w:lang w:val="fr-CH"/>
              </w:rPr>
              <w:tab/>
              <w:t xml:space="preserve">Non-agricultural </w:t>
            </w:r>
            <w:proofErr w:type="spellStart"/>
            <w:r w:rsidRPr="00B55C45">
              <w:rPr>
                <w:rFonts w:cs="Calibri"/>
                <w:color w:val="000000"/>
                <w:sz w:val="15"/>
                <w:szCs w:val="15"/>
                <w:lang w:val="fr-CH"/>
              </w:rPr>
              <w:t>products</w:t>
            </w:r>
            <w:proofErr w:type="spellEnd"/>
            <w:r w:rsidRPr="00B55C45">
              <w:rPr>
                <w:rFonts w:cs="Calibri"/>
                <w:color w:val="000000"/>
                <w:sz w:val="15"/>
                <w:szCs w:val="15"/>
                <w:lang w:val="fr-CH"/>
              </w:rPr>
              <w:t xml:space="preserve">, </w:t>
            </w:r>
            <w:proofErr w:type="spellStart"/>
            <w:r w:rsidRPr="00B55C45">
              <w:rPr>
                <w:rFonts w:cs="Calibri"/>
                <w:color w:val="000000"/>
                <w:sz w:val="15"/>
                <w:szCs w:val="15"/>
                <w:lang w:val="fr-CH"/>
              </w:rPr>
              <w:t>n.e.s</w:t>
            </w:r>
            <w:proofErr w:type="spellEnd"/>
            <w:r w:rsidRPr="00B55C45">
              <w:rPr>
                <w:rFonts w:cs="Calibri"/>
                <w:color w:val="000000"/>
                <w:sz w:val="15"/>
                <w:szCs w:val="15"/>
                <w:lang w:val="fr-CH"/>
              </w:rPr>
              <w:t>.</w:t>
            </w:r>
          </w:p>
        </w:tc>
        <w:tc>
          <w:tcPr>
            <w:tcW w:w="578" w:type="pct"/>
            <w:noWrap/>
            <w:hideMark/>
          </w:tcPr>
          <w:p w14:paraId="19423E7F"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547</w:t>
            </w:r>
          </w:p>
        </w:tc>
        <w:tc>
          <w:tcPr>
            <w:tcW w:w="504" w:type="pct"/>
            <w:noWrap/>
            <w:hideMark/>
          </w:tcPr>
          <w:p w14:paraId="1D644C2E"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1.6</w:t>
            </w:r>
          </w:p>
        </w:tc>
        <w:tc>
          <w:tcPr>
            <w:tcW w:w="463" w:type="pct"/>
            <w:noWrap/>
            <w:hideMark/>
          </w:tcPr>
          <w:p w14:paraId="2BCB4379"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2FE84CBA"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1.5</w:t>
            </w:r>
          </w:p>
        </w:tc>
        <w:tc>
          <w:tcPr>
            <w:tcW w:w="556" w:type="pct"/>
            <w:noWrap/>
            <w:hideMark/>
          </w:tcPr>
          <w:p w14:paraId="7DD45841"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66.5</w:t>
            </w:r>
          </w:p>
        </w:tc>
      </w:tr>
      <w:tr w:rsidR="003029D5" w:rsidRPr="00B93EE1" w14:paraId="3082E9DF"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0964D92A"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Petroleum</w:t>
            </w:r>
          </w:p>
        </w:tc>
        <w:tc>
          <w:tcPr>
            <w:tcW w:w="578" w:type="pct"/>
            <w:noWrap/>
            <w:hideMark/>
          </w:tcPr>
          <w:p w14:paraId="7CEBD65A"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68</w:t>
            </w:r>
          </w:p>
        </w:tc>
        <w:tc>
          <w:tcPr>
            <w:tcW w:w="504" w:type="pct"/>
            <w:noWrap/>
            <w:hideMark/>
          </w:tcPr>
          <w:p w14:paraId="7E8B4070"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0.9</w:t>
            </w:r>
          </w:p>
        </w:tc>
        <w:tc>
          <w:tcPr>
            <w:tcW w:w="463" w:type="pct"/>
            <w:noWrap/>
            <w:hideMark/>
          </w:tcPr>
          <w:p w14:paraId="3F3411BB"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4B991550"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2.2</w:t>
            </w:r>
          </w:p>
        </w:tc>
        <w:tc>
          <w:tcPr>
            <w:tcW w:w="556" w:type="pct"/>
            <w:noWrap/>
            <w:hideMark/>
          </w:tcPr>
          <w:p w14:paraId="4AD38ADC"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82.4</w:t>
            </w:r>
          </w:p>
        </w:tc>
      </w:tr>
      <w:tr w:rsidR="003029D5" w:rsidRPr="00B93EE1" w14:paraId="14989972" w14:textId="77777777" w:rsidTr="0083264E">
        <w:tc>
          <w:tcPr>
            <w:tcW w:w="2278" w:type="pct"/>
            <w:noWrap/>
            <w:hideMark/>
          </w:tcPr>
          <w:p w14:paraId="2952E296" w14:textId="77777777" w:rsidR="003029D5" w:rsidRPr="00B93EE1" w:rsidRDefault="003029D5" w:rsidP="0083264E">
            <w:pPr>
              <w:jc w:val="left"/>
              <w:rPr>
                <w:rFonts w:cs="Calibri"/>
                <w:b/>
                <w:bCs/>
                <w:color w:val="000000"/>
                <w:sz w:val="15"/>
                <w:szCs w:val="15"/>
              </w:rPr>
            </w:pPr>
            <w:r w:rsidRPr="00B93EE1">
              <w:rPr>
                <w:rFonts w:cs="Calibri"/>
                <w:b/>
                <w:bCs/>
                <w:color w:val="000000"/>
                <w:sz w:val="15"/>
                <w:szCs w:val="15"/>
              </w:rPr>
              <w:t>By ISIC sector</w:t>
            </w:r>
          </w:p>
        </w:tc>
        <w:tc>
          <w:tcPr>
            <w:tcW w:w="578" w:type="pct"/>
            <w:noWrap/>
            <w:hideMark/>
          </w:tcPr>
          <w:p w14:paraId="6BCB4E69" w14:textId="77777777" w:rsidR="003029D5" w:rsidRPr="00B93EE1" w:rsidRDefault="003029D5" w:rsidP="0083264E">
            <w:pPr>
              <w:ind w:right="170"/>
              <w:jc w:val="right"/>
              <w:rPr>
                <w:rFonts w:cs="Calibri"/>
                <w:b/>
                <w:bCs/>
                <w:color w:val="000000"/>
                <w:sz w:val="15"/>
                <w:szCs w:val="15"/>
              </w:rPr>
            </w:pPr>
          </w:p>
        </w:tc>
        <w:tc>
          <w:tcPr>
            <w:tcW w:w="504" w:type="pct"/>
            <w:noWrap/>
            <w:hideMark/>
          </w:tcPr>
          <w:p w14:paraId="718BFBA4" w14:textId="77777777" w:rsidR="003029D5" w:rsidRPr="00B93EE1" w:rsidRDefault="003029D5" w:rsidP="0083264E">
            <w:pPr>
              <w:ind w:right="227"/>
              <w:jc w:val="right"/>
              <w:rPr>
                <w:sz w:val="15"/>
                <w:szCs w:val="15"/>
              </w:rPr>
            </w:pPr>
          </w:p>
        </w:tc>
        <w:tc>
          <w:tcPr>
            <w:tcW w:w="463" w:type="pct"/>
            <w:noWrap/>
            <w:hideMark/>
          </w:tcPr>
          <w:p w14:paraId="2241B931" w14:textId="77777777" w:rsidR="003029D5" w:rsidRPr="00B93EE1" w:rsidRDefault="003029D5" w:rsidP="0083264E">
            <w:pPr>
              <w:ind w:right="113"/>
              <w:jc w:val="right"/>
              <w:rPr>
                <w:sz w:val="15"/>
                <w:szCs w:val="15"/>
              </w:rPr>
            </w:pPr>
          </w:p>
        </w:tc>
        <w:tc>
          <w:tcPr>
            <w:tcW w:w="621" w:type="pct"/>
            <w:noWrap/>
            <w:hideMark/>
          </w:tcPr>
          <w:p w14:paraId="4E6A54F5" w14:textId="77777777" w:rsidR="003029D5" w:rsidRPr="00B93EE1" w:rsidRDefault="003029D5" w:rsidP="0083264E">
            <w:pPr>
              <w:ind w:right="340"/>
              <w:jc w:val="right"/>
              <w:rPr>
                <w:sz w:val="15"/>
                <w:szCs w:val="15"/>
              </w:rPr>
            </w:pPr>
          </w:p>
        </w:tc>
        <w:tc>
          <w:tcPr>
            <w:tcW w:w="556" w:type="pct"/>
            <w:noWrap/>
            <w:hideMark/>
          </w:tcPr>
          <w:p w14:paraId="604A11C5" w14:textId="77777777" w:rsidR="003029D5" w:rsidRPr="00B93EE1" w:rsidRDefault="003029D5" w:rsidP="0083264E">
            <w:pPr>
              <w:ind w:right="227"/>
              <w:jc w:val="right"/>
              <w:rPr>
                <w:sz w:val="15"/>
                <w:szCs w:val="15"/>
              </w:rPr>
            </w:pPr>
          </w:p>
        </w:tc>
      </w:tr>
      <w:tr w:rsidR="003029D5" w:rsidRPr="00B93EE1" w14:paraId="7E6F528E"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3D436CF3"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ISIC 1 - Agriculture, hunting and fishing</w:t>
            </w:r>
          </w:p>
        </w:tc>
        <w:tc>
          <w:tcPr>
            <w:tcW w:w="578" w:type="pct"/>
            <w:noWrap/>
            <w:hideMark/>
          </w:tcPr>
          <w:p w14:paraId="5EB78B81"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427</w:t>
            </w:r>
          </w:p>
        </w:tc>
        <w:tc>
          <w:tcPr>
            <w:tcW w:w="504" w:type="pct"/>
            <w:noWrap/>
            <w:hideMark/>
          </w:tcPr>
          <w:p w14:paraId="426FBCEA"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0.3</w:t>
            </w:r>
          </w:p>
        </w:tc>
        <w:tc>
          <w:tcPr>
            <w:tcW w:w="463" w:type="pct"/>
            <w:noWrap/>
            <w:hideMark/>
          </w:tcPr>
          <w:p w14:paraId="53AF29CF"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01E3CB03"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3.8</w:t>
            </w:r>
          </w:p>
        </w:tc>
        <w:tc>
          <w:tcPr>
            <w:tcW w:w="556" w:type="pct"/>
            <w:noWrap/>
            <w:hideMark/>
          </w:tcPr>
          <w:p w14:paraId="1AEFD948"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93.7</w:t>
            </w:r>
          </w:p>
        </w:tc>
      </w:tr>
      <w:tr w:rsidR="003029D5" w:rsidRPr="00B93EE1" w14:paraId="2564B531" w14:textId="77777777" w:rsidTr="0083264E">
        <w:tc>
          <w:tcPr>
            <w:tcW w:w="2278" w:type="pct"/>
            <w:noWrap/>
            <w:hideMark/>
          </w:tcPr>
          <w:p w14:paraId="0FBF19A9"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ISIC 2 - Mining</w:t>
            </w:r>
          </w:p>
        </w:tc>
        <w:tc>
          <w:tcPr>
            <w:tcW w:w="578" w:type="pct"/>
            <w:noWrap/>
            <w:hideMark/>
          </w:tcPr>
          <w:p w14:paraId="3148167A"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96</w:t>
            </w:r>
          </w:p>
        </w:tc>
        <w:tc>
          <w:tcPr>
            <w:tcW w:w="504" w:type="pct"/>
            <w:noWrap/>
            <w:hideMark/>
          </w:tcPr>
          <w:p w14:paraId="359314FF"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0.1</w:t>
            </w:r>
          </w:p>
        </w:tc>
        <w:tc>
          <w:tcPr>
            <w:tcW w:w="463" w:type="pct"/>
            <w:noWrap/>
            <w:hideMark/>
          </w:tcPr>
          <w:p w14:paraId="669949D5"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21B2705C"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9.7</w:t>
            </w:r>
          </w:p>
        </w:tc>
        <w:tc>
          <w:tcPr>
            <w:tcW w:w="556" w:type="pct"/>
            <w:noWrap/>
            <w:hideMark/>
          </w:tcPr>
          <w:p w14:paraId="558D3630"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99.0</w:t>
            </w:r>
          </w:p>
        </w:tc>
      </w:tr>
      <w:tr w:rsidR="003029D5" w:rsidRPr="00B93EE1" w14:paraId="1CAB6002"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2387E5E7"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ISIC 3 - Manufacturing</w:t>
            </w:r>
          </w:p>
        </w:tc>
        <w:tc>
          <w:tcPr>
            <w:tcW w:w="578" w:type="pct"/>
            <w:noWrap/>
            <w:hideMark/>
          </w:tcPr>
          <w:p w14:paraId="2F8BA53D"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7,404</w:t>
            </w:r>
          </w:p>
        </w:tc>
        <w:tc>
          <w:tcPr>
            <w:tcW w:w="504" w:type="pct"/>
            <w:noWrap/>
            <w:hideMark/>
          </w:tcPr>
          <w:p w14:paraId="1B4ED23B"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2.3</w:t>
            </w:r>
          </w:p>
        </w:tc>
        <w:tc>
          <w:tcPr>
            <w:tcW w:w="463" w:type="pct"/>
            <w:noWrap/>
            <w:hideMark/>
          </w:tcPr>
          <w:p w14:paraId="39E3D655"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74A25DDB"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1.3</w:t>
            </w:r>
          </w:p>
        </w:tc>
        <w:tc>
          <w:tcPr>
            <w:tcW w:w="556" w:type="pct"/>
            <w:noWrap/>
            <w:hideMark/>
          </w:tcPr>
          <w:p w14:paraId="13F798BE"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58.8</w:t>
            </w:r>
          </w:p>
        </w:tc>
      </w:tr>
      <w:tr w:rsidR="003029D5" w:rsidRPr="00B93EE1" w14:paraId="46F73BE3" w14:textId="77777777" w:rsidTr="0083264E">
        <w:tc>
          <w:tcPr>
            <w:tcW w:w="2278" w:type="pct"/>
            <w:noWrap/>
            <w:hideMark/>
          </w:tcPr>
          <w:p w14:paraId="758EDBEE" w14:textId="77777777" w:rsidR="003029D5" w:rsidRPr="00B93EE1" w:rsidRDefault="003029D5" w:rsidP="0083264E">
            <w:pPr>
              <w:tabs>
                <w:tab w:val="left" w:pos="454"/>
              </w:tabs>
              <w:jc w:val="left"/>
              <w:rPr>
                <w:rFonts w:cs="Calibri"/>
                <w:color w:val="000000"/>
                <w:sz w:val="15"/>
                <w:szCs w:val="15"/>
              </w:rPr>
            </w:pPr>
            <w:r w:rsidRPr="00B93EE1">
              <w:rPr>
                <w:rFonts w:cs="Calibri"/>
                <w:color w:val="000000"/>
                <w:sz w:val="15"/>
                <w:szCs w:val="15"/>
              </w:rPr>
              <w:tab/>
              <w:t>Manufacturing excluding food processing</w:t>
            </w:r>
          </w:p>
        </w:tc>
        <w:tc>
          <w:tcPr>
            <w:tcW w:w="578" w:type="pct"/>
            <w:noWrap/>
            <w:hideMark/>
          </w:tcPr>
          <w:p w14:paraId="049823F0"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6,442</w:t>
            </w:r>
          </w:p>
        </w:tc>
        <w:tc>
          <w:tcPr>
            <w:tcW w:w="504" w:type="pct"/>
            <w:noWrap/>
            <w:hideMark/>
          </w:tcPr>
          <w:p w14:paraId="5BA76602"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2.4</w:t>
            </w:r>
          </w:p>
        </w:tc>
        <w:tc>
          <w:tcPr>
            <w:tcW w:w="463" w:type="pct"/>
            <w:noWrap/>
            <w:hideMark/>
          </w:tcPr>
          <w:p w14:paraId="400140EE"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0B24BB03"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1.3</w:t>
            </w:r>
          </w:p>
        </w:tc>
        <w:tc>
          <w:tcPr>
            <w:tcW w:w="556" w:type="pct"/>
            <w:noWrap/>
            <w:hideMark/>
          </w:tcPr>
          <w:p w14:paraId="1B271FAF"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58.6</w:t>
            </w:r>
          </w:p>
        </w:tc>
      </w:tr>
      <w:tr w:rsidR="003029D5" w:rsidRPr="00B93EE1" w14:paraId="6337DB52"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15C15FF7" w14:textId="77777777" w:rsidR="003029D5" w:rsidRPr="00B93EE1" w:rsidRDefault="003029D5" w:rsidP="0083264E">
            <w:pPr>
              <w:jc w:val="left"/>
              <w:rPr>
                <w:rFonts w:cs="Calibri"/>
                <w:b/>
                <w:bCs/>
                <w:color w:val="000000"/>
                <w:sz w:val="15"/>
                <w:szCs w:val="15"/>
              </w:rPr>
            </w:pPr>
            <w:r w:rsidRPr="00B93EE1">
              <w:rPr>
                <w:rFonts w:cs="Calibri"/>
                <w:b/>
                <w:bCs/>
                <w:color w:val="000000"/>
                <w:sz w:val="15"/>
                <w:szCs w:val="15"/>
              </w:rPr>
              <w:t>By stage of processing</w:t>
            </w:r>
          </w:p>
        </w:tc>
        <w:tc>
          <w:tcPr>
            <w:tcW w:w="578" w:type="pct"/>
            <w:noWrap/>
            <w:hideMark/>
          </w:tcPr>
          <w:p w14:paraId="368B3ACE" w14:textId="77777777" w:rsidR="003029D5" w:rsidRPr="00B93EE1" w:rsidRDefault="003029D5" w:rsidP="0083264E">
            <w:pPr>
              <w:ind w:right="170"/>
              <w:jc w:val="right"/>
              <w:rPr>
                <w:rFonts w:cs="Calibri"/>
                <w:b/>
                <w:bCs/>
                <w:color w:val="000000"/>
                <w:sz w:val="15"/>
                <w:szCs w:val="15"/>
              </w:rPr>
            </w:pPr>
          </w:p>
        </w:tc>
        <w:tc>
          <w:tcPr>
            <w:tcW w:w="504" w:type="pct"/>
            <w:noWrap/>
            <w:hideMark/>
          </w:tcPr>
          <w:p w14:paraId="165BD3E5" w14:textId="77777777" w:rsidR="003029D5" w:rsidRPr="00B93EE1" w:rsidRDefault="003029D5" w:rsidP="0083264E">
            <w:pPr>
              <w:ind w:right="227"/>
              <w:jc w:val="right"/>
              <w:rPr>
                <w:sz w:val="15"/>
                <w:szCs w:val="15"/>
              </w:rPr>
            </w:pPr>
          </w:p>
        </w:tc>
        <w:tc>
          <w:tcPr>
            <w:tcW w:w="463" w:type="pct"/>
            <w:noWrap/>
            <w:hideMark/>
          </w:tcPr>
          <w:p w14:paraId="5BDCB09C" w14:textId="77777777" w:rsidR="003029D5" w:rsidRPr="00B93EE1" w:rsidRDefault="003029D5" w:rsidP="0083264E">
            <w:pPr>
              <w:ind w:right="113"/>
              <w:jc w:val="right"/>
              <w:rPr>
                <w:sz w:val="15"/>
                <w:szCs w:val="15"/>
              </w:rPr>
            </w:pPr>
          </w:p>
        </w:tc>
        <w:tc>
          <w:tcPr>
            <w:tcW w:w="621" w:type="pct"/>
            <w:noWrap/>
            <w:hideMark/>
          </w:tcPr>
          <w:p w14:paraId="3C704842" w14:textId="77777777" w:rsidR="003029D5" w:rsidRPr="00B93EE1" w:rsidRDefault="003029D5" w:rsidP="0083264E">
            <w:pPr>
              <w:ind w:right="340"/>
              <w:jc w:val="right"/>
              <w:rPr>
                <w:sz w:val="15"/>
                <w:szCs w:val="15"/>
              </w:rPr>
            </w:pPr>
          </w:p>
        </w:tc>
        <w:tc>
          <w:tcPr>
            <w:tcW w:w="556" w:type="pct"/>
            <w:noWrap/>
            <w:hideMark/>
          </w:tcPr>
          <w:p w14:paraId="3A90E1EC" w14:textId="77777777" w:rsidR="003029D5" w:rsidRPr="00B93EE1" w:rsidRDefault="003029D5" w:rsidP="0083264E">
            <w:pPr>
              <w:ind w:right="227"/>
              <w:jc w:val="right"/>
              <w:rPr>
                <w:sz w:val="15"/>
                <w:szCs w:val="15"/>
              </w:rPr>
            </w:pPr>
          </w:p>
        </w:tc>
      </w:tr>
      <w:tr w:rsidR="003029D5" w:rsidRPr="00B93EE1" w14:paraId="46DDF761" w14:textId="77777777" w:rsidTr="0083264E">
        <w:tc>
          <w:tcPr>
            <w:tcW w:w="2278" w:type="pct"/>
            <w:noWrap/>
            <w:hideMark/>
          </w:tcPr>
          <w:p w14:paraId="70E5C8A8"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First stage of processing</w:t>
            </w:r>
          </w:p>
        </w:tc>
        <w:tc>
          <w:tcPr>
            <w:tcW w:w="578" w:type="pct"/>
            <w:noWrap/>
            <w:hideMark/>
          </w:tcPr>
          <w:p w14:paraId="3A4FB624"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813</w:t>
            </w:r>
          </w:p>
        </w:tc>
        <w:tc>
          <w:tcPr>
            <w:tcW w:w="504" w:type="pct"/>
            <w:noWrap/>
            <w:hideMark/>
          </w:tcPr>
          <w:p w14:paraId="1F0B4624"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0.3</w:t>
            </w:r>
          </w:p>
        </w:tc>
        <w:tc>
          <w:tcPr>
            <w:tcW w:w="463" w:type="pct"/>
            <w:noWrap/>
            <w:hideMark/>
          </w:tcPr>
          <w:p w14:paraId="0E8E9C5D"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101141A1"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4.1</w:t>
            </w:r>
          </w:p>
        </w:tc>
        <w:tc>
          <w:tcPr>
            <w:tcW w:w="556" w:type="pct"/>
            <w:noWrap/>
            <w:hideMark/>
          </w:tcPr>
          <w:p w14:paraId="010F668E"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94.2</w:t>
            </w:r>
          </w:p>
        </w:tc>
      </w:tr>
      <w:tr w:rsidR="003029D5" w:rsidRPr="00B93EE1" w14:paraId="599D6EB3"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4C681B02"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Semi-processed products</w:t>
            </w:r>
          </w:p>
        </w:tc>
        <w:tc>
          <w:tcPr>
            <w:tcW w:w="578" w:type="pct"/>
            <w:noWrap/>
            <w:hideMark/>
          </w:tcPr>
          <w:p w14:paraId="50E0E7B4"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2,408</w:t>
            </w:r>
          </w:p>
        </w:tc>
        <w:tc>
          <w:tcPr>
            <w:tcW w:w="504" w:type="pct"/>
            <w:noWrap/>
            <w:hideMark/>
          </w:tcPr>
          <w:p w14:paraId="5F25C545"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1.4</w:t>
            </w:r>
          </w:p>
        </w:tc>
        <w:tc>
          <w:tcPr>
            <w:tcW w:w="463" w:type="pct"/>
            <w:noWrap/>
            <w:hideMark/>
          </w:tcPr>
          <w:p w14:paraId="470DE2F3"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7AC859EB"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1.6</w:t>
            </w:r>
          </w:p>
        </w:tc>
        <w:tc>
          <w:tcPr>
            <w:tcW w:w="556" w:type="pct"/>
            <w:noWrap/>
            <w:hideMark/>
          </w:tcPr>
          <w:p w14:paraId="732E7DCF"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72.9</w:t>
            </w:r>
          </w:p>
        </w:tc>
      </w:tr>
      <w:tr w:rsidR="003029D5" w:rsidRPr="00B93EE1" w14:paraId="22BF78B4" w14:textId="77777777" w:rsidTr="0083264E">
        <w:tc>
          <w:tcPr>
            <w:tcW w:w="2278" w:type="pct"/>
            <w:noWrap/>
            <w:hideMark/>
          </w:tcPr>
          <w:p w14:paraId="07ACB6A7" w14:textId="77777777" w:rsidR="003029D5" w:rsidRPr="00B93EE1" w:rsidRDefault="003029D5" w:rsidP="0083264E">
            <w:pPr>
              <w:tabs>
                <w:tab w:val="left" w:pos="170"/>
              </w:tabs>
              <w:jc w:val="left"/>
              <w:rPr>
                <w:rFonts w:cs="Calibri"/>
                <w:color w:val="000000"/>
                <w:sz w:val="15"/>
                <w:szCs w:val="15"/>
              </w:rPr>
            </w:pPr>
            <w:r w:rsidRPr="00B93EE1">
              <w:rPr>
                <w:rFonts w:cs="Calibri"/>
                <w:color w:val="000000"/>
                <w:sz w:val="15"/>
                <w:szCs w:val="15"/>
              </w:rPr>
              <w:tab/>
              <w:t>Fully processed products</w:t>
            </w:r>
          </w:p>
        </w:tc>
        <w:tc>
          <w:tcPr>
            <w:tcW w:w="578" w:type="pct"/>
            <w:noWrap/>
            <w:hideMark/>
          </w:tcPr>
          <w:p w14:paraId="07E7CE2F"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4,706</w:t>
            </w:r>
          </w:p>
        </w:tc>
        <w:tc>
          <w:tcPr>
            <w:tcW w:w="504" w:type="pct"/>
            <w:noWrap/>
            <w:hideMark/>
          </w:tcPr>
          <w:p w14:paraId="62DD8650"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3.0</w:t>
            </w:r>
          </w:p>
        </w:tc>
        <w:tc>
          <w:tcPr>
            <w:tcW w:w="463" w:type="pct"/>
            <w:noWrap/>
            <w:hideMark/>
          </w:tcPr>
          <w:p w14:paraId="67768F77"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4A6AB15B"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1.1</w:t>
            </w:r>
          </w:p>
        </w:tc>
        <w:tc>
          <w:tcPr>
            <w:tcW w:w="556" w:type="pct"/>
            <w:noWrap/>
            <w:hideMark/>
          </w:tcPr>
          <w:p w14:paraId="7A22C3D3"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49.4</w:t>
            </w:r>
          </w:p>
        </w:tc>
      </w:tr>
      <w:tr w:rsidR="003029D5" w:rsidRPr="00B93EE1" w14:paraId="4578AC62"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26865F65" w14:textId="77777777" w:rsidR="003029D5" w:rsidRPr="00B93EE1" w:rsidRDefault="003029D5" w:rsidP="0083264E">
            <w:pPr>
              <w:jc w:val="left"/>
              <w:rPr>
                <w:rFonts w:cs="Calibri"/>
                <w:b/>
                <w:bCs/>
                <w:color w:val="000000"/>
                <w:sz w:val="15"/>
                <w:szCs w:val="15"/>
              </w:rPr>
            </w:pPr>
            <w:r w:rsidRPr="00B93EE1">
              <w:rPr>
                <w:rFonts w:cs="Calibri"/>
                <w:b/>
                <w:bCs/>
                <w:color w:val="000000"/>
                <w:sz w:val="15"/>
                <w:szCs w:val="15"/>
              </w:rPr>
              <w:t>By HS section</w:t>
            </w:r>
          </w:p>
        </w:tc>
        <w:tc>
          <w:tcPr>
            <w:tcW w:w="578" w:type="pct"/>
            <w:noWrap/>
            <w:hideMark/>
          </w:tcPr>
          <w:p w14:paraId="0C065C8B" w14:textId="77777777" w:rsidR="003029D5" w:rsidRPr="00B93EE1" w:rsidRDefault="003029D5" w:rsidP="0083264E">
            <w:pPr>
              <w:ind w:right="170"/>
              <w:jc w:val="right"/>
              <w:rPr>
                <w:rFonts w:cs="Calibri"/>
                <w:b/>
                <w:bCs/>
                <w:color w:val="000000"/>
                <w:sz w:val="15"/>
                <w:szCs w:val="15"/>
              </w:rPr>
            </w:pPr>
          </w:p>
        </w:tc>
        <w:tc>
          <w:tcPr>
            <w:tcW w:w="504" w:type="pct"/>
            <w:noWrap/>
            <w:hideMark/>
          </w:tcPr>
          <w:p w14:paraId="6B18F279" w14:textId="77777777" w:rsidR="003029D5" w:rsidRPr="00B93EE1" w:rsidRDefault="003029D5" w:rsidP="0083264E">
            <w:pPr>
              <w:ind w:right="227"/>
              <w:jc w:val="right"/>
              <w:rPr>
                <w:sz w:val="15"/>
                <w:szCs w:val="15"/>
              </w:rPr>
            </w:pPr>
          </w:p>
        </w:tc>
        <w:tc>
          <w:tcPr>
            <w:tcW w:w="463" w:type="pct"/>
            <w:noWrap/>
            <w:hideMark/>
          </w:tcPr>
          <w:p w14:paraId="371AEBB7" w14:textId="77777777" w:rsidR="003029D5" w:rsidRPr="00B93EE1" w:rsidRDefault="003029D5" w:rsidP="0083264E">
            <w:pPr>
              <w:ind w:right="113"/>
              <w:jc w:val="right"/>
              <w:rPr>
                <w:sz w:val="15"/>
                <w:szCs w:val="15"/>
              </w:rPr>
            </w:pPr>
          </w:p>
        </w:tc>
        <w:tc>
          <w:tcPr>
            <w:tcW w:w="621" w:type="pct"/>
            <w:noWrap/>
            <w:hideMark/>
          </w:tcPr>
          <w:p w14:paraId="1ED1AAB7" w14:textId="77777777" w:rsidR="003029D5" w:rsidRPr="00B93EE1" w:rsidRDefault="003029D5" w:rsidP="0083264E">
            <w:pPr>
              <w:ind w:right="340"/>
              <w:jc w:val="right"/>
              <w:rPr>
                <w:sz w:val="15"/>
                <w:szCs w:val="15"/>
              </w:rPr>
            </w:pPr>
          </w:p>
        </w:tc>
        <w:tc>
          <w:tcPr>
            <w:tcW w:w="556" w:type="pct"/>
            <w:noWrap/>
            <w:hideMark/>
          </w:tcPr>
          <w:p w14:paraId="6C8F0326" w14:textId="77777777" w:rsidR="003029D5" w:rsidRPr="00B93EE1" w:rsidRDefault="003029D5" w:rsidP="0083264E">
            <w:pPr>
              <w:ind w:right="227"/>
              <w:jc w:val="right"/>
              <w:rPr>
                <w:sz w:val="15"/>
                <w:szCs w:val="15"/>
              </w:rPr>
            </w:pPr>
          </w:p>
        </w:tc>
      </w:tr>
      <w:tr w:rsidR="003029D5" w:rsidRPr="00B93EE1" w14:paraId="1F91001A" w14:textId="77777777" w:rsidTr="0083264E">
        <w:tc>
          <w:tcPr>
            <w:tcW w:w="2278" w:type="pct"/>
            <w:noWrap/>
            <w:hideMark/>
          </w:tcPr>
          <w:p w14:paraId="417A14E0"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01</w:t>
            </w:r>
            <w:r w:rsidRPr="00B93EE1">
              <w:rPr>
                <w:rFonts w:cs="Calibri"/>
                <w:color w:val="000000"/>
                <w:sz w:val="15"/>
                <w:szCs w:val="15"/>
              </w:rPr>
              <w:tab/>
              <w:t>Live animals and products</w:t>
            </w:r>
          </w:p>
        </w:tc>
        <w:tc>
          <w:tcPr>
            <w:tcW w:w="578" w:type="pct"/>
            <w:noWrap/>
            <w:hideMark/>
          </w:tcPr>
          <w:p w14:paraId="037FB716"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409</w:t>
            </w:r>
          </w:p>
        </w:tc>
        <w:tc>
          <w:tcPr>
            <w:tcW w:w="504" w:type="pct"/>
            <w:noWrap/>
            <w:hideMark/>
          </w:tcPr>
          <w:p w14:paraId="559F7512"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0.7</w:t>
            </w:r>
          </w:p>
        </w:tc>
        <w:tc>
          <w:tcPr>
            <w:tcW w:w="463" w:type="pct"/>
            <w:noWrap/>
            <w:hideMark/>
          </w:tcPr>
          <w:p w14:paraId="615B2893"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013084F8"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2.5</w:t>
            </w:r>
          </w:p>
        </w:tc>
        <w:tc>
          <w:tcPr>
            <w:tcW w:w="556" w:type="pct"/>
            <w:noWrap/>
            <w:hideMark/>
          </w:tcPr>
          <w:p w14:paraId="3D69D158"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86.6</w:t>
            </w:r>
          </w:p>
        </w:tc>
      </w:tr>
      <w:tr w:rsidR="003029D5" w:rsidRPr="00B93EE1" w14:paraId="267CE77C"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18BDB04D"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02</w:t>
            </w:r>
            <w:r w:rsidRPr="00B93EE1">
              <w:rPr>
                <w:rFonts w:cs="Calibri"/>
                <w:color w:val="000000"/>
                <w:sz w:val="15"/>
                <w:szCs w:val="15"/>
              </w:rPr>
              <w:tab/>
              <w:t>Vegetable products</w:t>
            </w:r>
          </w:p>
        </w:tc>
        <w:tc>
          <w:tcPr>
            <w:tcW w:w="578" w:type="pct"/>
            <w:noWrap/>
            <w:hideMark/>
          </w:tcPr>
          <w:p w14:paraId="40213F0F"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341</w:t>
            </w:r>
          </w:p>
        </w:tc>
        <w:tc>
          <w:tcPr>
            <w:tcW w:w="504" w:type="pct"/>
            <w:noWrap/>
            <w:hideMark/>
          </w:tcPr>
          <w:p w14:paraId="567CE80E"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1.0</w:t>
            </w:r>
          </w:p>
        </w:tc>
        <w:tc>
          <w:tcPr>
            <w:tcW w:w="463" w:type="pct"/>
            <w:noWrap/>
            <w:hideMark/>
          </w:tcPr>
          <w:p w14:paraId="10DF577A"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632B967F"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2.0</w:t>
            </w:r>
          </w:p>
        </w:tc>
        <w:tc>
          <w:tcPr>
            <w:tcW w:w="556" w:type="pct"/>
            <w:noWrap/>
            <w:hideMark/>
          </w:tcPr>
          <w:p w14:paraId="1A39624D"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80.1</w:t>
            </w:r>
          </w:p>
        </w:tc>
      </w:tr>
      <w:tr w:rsidR="003029D5" w:rsidRPr="00B93EE1" w14:paraId="6C44E462" w14:textId="77777777" w:rsidTr="0083264E">
        <w:tc>
          <w:tcPr>
            <w:tcW w:w="2278" w:type="pct"/>
            <w:noWrap/>
            <w:hideMark/>
          </w:tcPr>
          <w:p w14:paraId="20C94CC7"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03</w:t>
            </w:r>
            <w:r w:rsidRPr="00B93EE1">
              <w:rPr>
                <w:rFonts w:cs="Calibri"/>
                <w:color w:val="000000"/>
                <w:sz w:val="15"/>
                <w:szCs w:val="15"/>
              </w:rPr>
              <w:tab/>
              <w:t>Fats and oils</w:t>
            </w:r>
          </w:p>
        </w:tc>
        <w:tc>
          <w:tcPr>
            <w:tcW w:w="578" w:type="pct"/>
            <w:noWrap/>
            <w:hideMark/>
          </w:tcPr>
          <w:p w14:paraId="659321C4"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61</w:t>
            </w:r>
          </w:p>
        </w:tc>
        <w:tc>
          <w:tcPr>
            <w:tcW w:w="504" w:type="pct"/>
            <w:noWrap/>
            <w:hideMark/>
          </w:tcPr>
          <w:p w14:paraId="5883543D"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1.1</w:t>
            </w:r>
          </w:p>
        </w:tc>
        <w:tc>
          <w:tcPr>
            <w:tcW w:w="463" w:type="pct"/>
            <w:noWrap/>
            <w:hideMark/>
          </w:tcPr>
          <w:p w14:paraId="4143818D"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55CDCC72"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1.9</w:t>
            </w:r>
          </w:p>
        </w:tc>
        <w:tc>
          <w:tcPr>
            <w:tcW w:w="556" w:type="pct"/>
            <w:noWrap/>
            <w:hideMark/>
          </w:tcPr>
          <w:p w14:paraId="53292387"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78.7</w:t>
            </w:r>
          </w:p>
        </w:tc>
      </w:tr>
      <w:tr w:rsidR="003029D5" w:rsidRPr="00B93EE1" w14:paraId="42EBC9B5"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29FA647C"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04</w:t>
            </w:r>
            <w:r w:rsidRPr="00B93EE1">
              <w:rPr>
                <w:rFonts w:cs="Calibri"/>
                <w:color w:val="000000"/>
                <w:sz w:val="15"/>
                <w:szCs w:val="15"/>
              </w:rPr>
              <w:tab/>
              <w:t>Prepared food, beverages and tobacco</w:t>
            </w:r>
          </w:p>
        </w:tc>
        <w:tc>
          <w:tcPr>
            <w:tcW w:w="578" w:type="pct"/>
            <w:noWrap/>
            <w:hideMark/>
          </w:tcPr>
          <w:p w14:paraId="05EDBDA5"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534</w:t>
            </w:r>
          </w:p>
        </w:tc>
        <w:tc>
          <w:tcPr>
            <w:tcW w:w="504" w:type="pct"/>
            <w:noWrap/>
            <w:hideMark/>
          </w:tcPr>
          <w:p w14:paraId="0C911931"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2.6</w:t>
            </w:r>
          </w:p>
        </w:tc>
        <w:tc>
          <w:tcPr>
            <w:tcW w:w="463" w:type="pct"/>
            <w:noWrap/>
            <w:hideMark/>
          </w:tcPr>
          <w:p w14:paraId="358033C2"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124E73D8"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1.0</w:t>
            </w:r>
          </w:p>
        </w:tc>
        <w:tc>
          <w:tcPr>
            <w:tcW w:w="556" w:type="pct"/>
            <w:noWrap/>
            <w:hideMark/>
          </w:tcPr>
          <w:p w14:paraId="66BEDB31"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47.4</w:t>
            </w:r>
          </w:p>
        </w:tc>
      </w:tr>
      <w:tr w:rsidR="003029D5" w:rsidRPr="00B93EE1" w14:paraId="2B6EA2C2" w14:textId="77777777" w:rsidTr="0083264E">
        <w:tc>
          <w:tcPr>
            <w:tcW w:w="2278" w:type="pct"/>
            <w:noWrap/>
            <w:hideMark/>
          </w:tcPr>
          <w:p w14:paraId="6AA5F599"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05</w:t>
            </w:r>
            <w:r w:rsidRPr="00B93EE1">
              <w:rPr>
                <w:rFonts w:cs="Calibri"/>
                <w:color w:val="000000"/>
                <w:sz w:val="15"/>
                <w:szCs w:val="15"/>
              </w:rPr>
              <w:tab/>
              <w:t>Mineral products</w:t>
            </w:r>
          </w:p>
        </w:tc>
        <w:tc>
          <w:tcPr>
            <w:tcW w:w="578" w:type="pct"/>
            <w:noWrap/>
            <w:hideMark/>
          </w:tcPr>
          <w:p w14:paraId="7BCBEE68"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213</w:t>
            </w:r>
          </w:p>
        </w:tc>
        <w:tc>
          <w:tcPr>
            <w:tcW w:w="504" w:type="pct"/>
            <w:noWrap/>
            <w:hideMark/>
          </w:tcPr>
          <w:p w14:paraId="59860756"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0.4</w:t>
            </w:r>
          </w:p>
        </w:tc>
        <w:tc>
          <w:tcPr>
            <w:tcW w:w="463" w:type="pct"/>
            <w:noWrap/>
            <w:hideMark/>
          </w:tcPr>
          <w:p w14:paraId="05D45C51"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3EE63C62"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3.6</w:t>
            </w:r>
          </w:p>
        </w:tc>
        <w:tc>
          <w:tcPr>
            <w:tcW w:w="556" w:type="pct"/>
            <w:noWrap/>
            <w:hideMark/>
          </w:tcPr>
          <w:p w14:paraId="21A754D8"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93.0</w:t>
            </w:r>
          </w:p>
        </w:tc>
      </w:tr>
      <w:tr w:rsidR="003029D5" w:rsidRPr="00B93EE1" w14:paraId="68C0AA1B"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4E66C078"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06</w:t>
            </w:r>
            <w:r w:rsidRPr="00B93EE1">
              <w:rPr>
                <w:rFonts w:cs="Calibri"/>
                <w:color w:val="000000"/>
                <w:sz w:val="15"/>
                <w:szCs w:val="15"/>
              </w:rPr>
              <w:tab/>
              <w:t>Chemicals and products thereof</w:t>
            </w:r>
          </w:p>
        </w:tc>
        <w:tc>
          <w:tcPr>
            <w:tcW w:w="578" w:type="pct"/>
            <w:noWrap/>
            <w:hideMark/>
          </w:tcPr>
          <w:p w14:paraId="56F2AD2F"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1,022</w:t>
            </w:r>
          </w:p>
        </w:tc>
        <w:tc>
          <w:tcPr>
            <w:tcW w:w="504" w:type="pct"/>
            <w:noWrap/>
            <w:hideMark/>
          </w:tcPr>
          <w:p w14:paraId="36EACC00"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0.6</w:t>
            </w:r>
          </w:p>
        </w:tc>
        <w:tc>
          <w:tcPr>
            <w:tcW w:w="463" w:type="pct"/>
            <w:noWrap/>
            <w:hideMark/>
          </w:tcPr>
          <w:p w14:paraId="68A0F35D"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01A52F0D"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2.6</w:t>
            </w:r>
          </w:p>
        </w:tc>
        <w:tc>
          <w:tcPr>
            <w:tcW w:w="556" w:type="pct"/>
            <w:noWrap/>
            <w:hideMark/>
          </w:tcPr>
          <w:p w14:paraId="390AA74B"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57.3</w:t>
            </w:r>
          </w:p>
        </w:tc>
      </w:tr>
      <w:tr w:rsidR="003029D5" w:rsidRPr="00B93EE1" w14:paraId="3A739373" w14:textId="77777777" w:rsidTr="0083264E">
        <w:tc>
          <w:tcPr>
            <w:tcW w:w="2278" w:type="pct"/>
            <w:noWrap/>
            <w:hideMark/>
          </w:tcPr>
          <w:p w14:paraId="424ACC83"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lastRenderedPageBreak/>
              <w:tab/>
              <w:t>07</w:t>
            </w:r>
            <w:r w:rsidRPr="00B93EE1">
              <w:rPr>
                <w:rFonts w:cs="Calibri"/>
                <w:color w:val="000000"/>
                <w:sz w:val="15"/>
                <w:szCs w:val="15"/>
              </w:rPr>
              <w:tab/>
              <w:t>Plastics, rubber, and articles thereof</w:t>
            </w:r>
          </w:p>
        </w:tc>
        <w:tc>
          <w:tcPr>
            <w:tcW w:w="578" w:type="pct"/>
            <w:noWrap/>
            <w:hideMark/>
          </w:tcPr>
          <w:p w14:paraId="4A949D59"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393</w:t>
            </w:r>
          </w:p>
        </w:tc>
        <w:tc>
          <w:tcPr>
            <w:tcW w:w="504" w:type="pct"/>
            <w:noWrap/>
            <w:hideMark/>
          </w:tcPr>
          <w:p w14:paraId="42653E6B"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3.1</w:t>
            </w:r>
          </w:p>
        </w:tc>
        <w:tc>
          <w:tcPr>
            <w:tcW w:w="463" w:type="pct"/>
            <w:noWrap/>
            <w:hideMark/>
          </w:tcPr>
          <w:p w14:paraId="4118559B"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5D98E0C4"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0.8</w:t>
            </w:r>
          </w:p>
        </w:tc>
        <w:tc>
          <w:tcPr>
            <w:tcW w:w="556" w:type="pct"/>
            <w:noWrap/>
            <w:hideMark/>
          </w:tcPr>
          <w:p w14:paraId="4CF3A7A7"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39.4</w:t>
            </w:r>
          </w:p>
        </w:tc>
      </w:tr>
      <w:tr w:rsidR="003029D5" w:rsidRPr="00B93EE1" w14:paraId="7B990E28"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7EEC7E30"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08</w:t>
            </w:r>
            <w:r w:rsidRPr="00B93EE1">
              <w:rPr>
                <w:rFonts w:cs="Calibri"/>
                <w:color w:val="000000"/>
                <w:sz w:val="15"/>
                <w:szCs w:val="15"/>
              </w:rPr>
              <w:tab/>
              <w:t>Raw hides and skins, leather, and its products</w:t>
            </w:r>
          </w:p>
        </w:tc>
        <w:tc>
          <w:tcPr>
            <w:tcW w:w="578" w:type="pct"/>
            <w:noWrap/>
            <w:hideMark/>
          </w:tcPr>
          <w:p w14:paraId="51B1E85B"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102</w:t>
            </w:r>
          </w:p>
        </w:tc>
        <w:tc>
          <w:tcPr>
            <w:tcW w:w="504" w:type="pct"/>
            <w:noWrap/>
            <w:hideMark/>
          </w:tcPr>
          <w:p w14:paraId="312BBAB5"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2.5</w:t>
            </w:r>
          </w:p>
        </w:tc>
        <w:tc>
          <w:tcPr>
            <w:tcW w:w="463" w:type="pct"/>
            <w:noWrap/>
            <w:hideMark/>
          </w:tcPr>
          <w:p w14:paraId="75A68ED0"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11C1B255"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1.1</w:t>
            </w:r>
          </w:p>
        </w:tc>
        <w:tc>
          <w:tcPr>
            <w:tcW w:w="556" w:type="pct"/>
            <w:noWrap/>
            <w:hideMark/>
          </w:tcPr>
          <w:p w14:paraId="4EE32897"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52.9</w:t>
            </w:r>
          </w:p>
        </w:tc>
      </w:tr>
      <w:tr w:rsidR="003029D5" w:rsidRPr="00B93EE1" w14:paraId="3516F039" w14:textId="77777777" w:rsidTr="0083264E">
        <w:tc>
          <w:tcPr>
            <w:tcW w:w="2278" w:type="pct"/>
            <w:noWrap/>
            <w:hideMark/>
          </w:tcPr>
          <w:p w14:paraId="39C1048D"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09</w:t>
            </w:r>
            <w:r w:rsidRPr="00B93EE1">
              <w:rPr>
                <w:rFonts w:cs="Calibri"/>
                <w:color w:val="000000"/>
                <w:sz w:val="15"/>
                <w:szCs w:val="15"/>
              </w:rPr>
              <w:tab/>
              <w:t>Wood and articles of wood</w:t>
            </w:r>
          </w:p>
        </w:tc>
        <w:tc>
          <w:tcPr>
            <w:tcW w:w="578" w:type="pct"/>
            <w:noWrap/>
            <w:hideMark/>
          </w:tcPr>
          <w:p w14:paraId="3CD85DFB"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250</w:t>
            </w:r>
          </w:p>
        </w:tc>
        <w:tc>
          <w:tcPr>
            <w:tcW w:w="504" w:type="pct"/>
            <w:noWrap/>
            <w:hideMark/>
          </w:tcPr>
          <w:p w14:paraId="539A27F8"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2.3</w:t>
            </w:r>
          </w:p>
        </w:tc>
        <w:tc>
          <w:tcPr>
            <w:tcW w:w="463" w:type="pct"/>
            <w:noWrap/>
            <w:hideMark/>
          </w:tcPr>
          <w:p w14:paraId="5BFC415D"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776478AE"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1.1</w:t>
            </w:r>
          </w:p>
        </w:tc>
        <w:tc>
          <w:tcPr>
            <w:tcW w:w="556" w:type="pct"/>
            <w:noWrap/>
            <w:hideMark/>
          </w:tcPr>
          <w:p w14:paraId="64769AA1"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53.2</w:t>
            </w:r>
          </w:p>
        </w:tc>
      </w:tr>
      <w:tr w:rsidR="003029D5" w:rsidRPr="00B93EE1" w14:paraId="24EE9C4D"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4C0A9D76"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10</w:t>
            </w:r>
            <w:r w:rsidRPr="00B93EE1">
              <w:rPr>
                <w:rFonts w:cs="Calibri"/>
                <w:color w:val="000000"/>
                <w:sz w:val="15"/>
                <w:szCs w:val="15"/>
              </w:rPr>
              <w:tab/>
              <w:t>Pulp of wood, paper and paperboard</w:t>
            </w:r>
          </w:p>
        </w:tc>
        <w:tc>
          <w:tcPr>
            <w:tcW w:w="578" w:type="pct"/>
            <w:noWrap/>
            <w:hideMark/>
          </w:tcPr>
          <w:p w14:paraId="4E47A124"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223</w:t>
            </w:r>
          </w:p>
        </w:tc>
        <w:tc>
          <w:tcPr>
            <w:tcW w:w="504" w:type="pct"/>
            <w:noWrap/>
            <w:hideMark/>
          </w:tcPr>
          <w:p w14:paraId="2CFDC3C9"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0.0</w:t>
            </w:r>
          </w:p>
        </w:tc>
        <w:tc>
          <w:tcPr>
            <w:tcW w:w="463" w:type="pct"/>
            <w:noWrap/>
            <w:hideMark/>
          </w:tcPr>
          <w:p w14:paraId="1E4CCA77"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0-0</w:t>
            </w:r>
          </w:p>
        </w:tc>
        <w:tc>
          <w:tcPr>
            <w:tcW w:w="621" w:type="pct"/>
            <w:noWrap/>
            <w:hideMark/>
          </w:tcPr>
          <w:p w14:paraId="030005E9"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0.0</w:t>
            </w:r>
          </w:p>
        </w:tc>
        <w:tc>
          <w:tcPr>
            <w:tcW w:w="556" w:type="pct"/>
            <w:noWrap/>
            <w:hideMark/>
          </w:tcPr>
          <w:p w14:paraId="32EF647B"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100.0</w:t>
            </w:r>
          </w:p>
        </w:tc>
      </w:tr>
      <w:tr w:rsidR="003029D5" w:rsidRPr="00B93EE1" w14:paraId="7C249E6A" w14:textId="77777777" w:rsidTr="0083264E">
        <w:tc>
          <w:tcPr>
            <w:tcW w:w="2278" w:type="pct"/>
            <w:noWrap/>
            <w:hideMark/>
          </w:tcPr>
          <w:p w14:paraId="70EF09BD"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11</w:t>
            </w:r>
            <w:r w:rsidRPr="00B93EE1">
              <w:rPr>
                <w:rFonts w:cs="Calibri"/>
                <w:color w:val="000000"/>
                <w:sz w:val="15"/>
                <w:szCs w:val="15"/>
              </w:rPr>
              <w:tab/>
              <w:t>Textiles and textile articles</w:t>
            </w:r>
          </w:p>
        </w:tc>
        <w:tc>
          <w:tcPr>
            <w:tcW w:w="578" w:type="pct"/>
            <w:noWrap/>
            <w:hideMark/>
          </w:tcPr>
          <w:p w14:paraId="1D559AB6"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1,053</w:t>
            </w:r>
          </w:p>
        </w:tc>
        <w:tc>
          <w:tcPr>
            <w:tcW w:w="504" w:type="pct"/>
            <w:noWrap/>
            <w:hideMark/>
          </w:tcPr>
          <w:p w14:paraId="781D061D"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4.2</w:t>
            </w:r>
          </w:p>
        </w:tc>
        <w:tc>
          <w:tcPr>
            <w:tcW w:w="463" w:type="pct"/>
            <w:noWrap/>
            <w:hideMark/>
          </w:tcPr>
          <w:p w14:paraId="0C808A1D"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3A3F2C83"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1.0</w:t>
            </w:r>
          </w:p>
        </w:tc>
        <w:tc>
          <w:tcPr>
            <w:tcW w:w="556" w:type="pct"/>
            <w:noWrap/>
            <w:hideMark/>
          </w:tcPr>
          <w:p w14:paraId="249B7D5A"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45.6</w:t>
            </w:r>
          </w:p>
        </w:tc>
      </w:tr>
      <w:tr w:rsidR="003029D5" w:rsidRPr="00B93EE1" w14:paraId="7C7E9AA1"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23DE359B"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12</w:t>
            </w:r>
            <w:r w:rsidRPr="00B93EE1">
              <w:rPr>
                <w:rFonts w:cs="Calibri"/>
                <w:color w:val="000000"/>
                <w:sz w:val="15"/>
                <w:szCs w:val="15"/>
              </w:rPr>
              <w:tab/>
              <w:t>Footwear, headgear, etc.</w:t>
            </w:r>
          </w:p>
        </w:tc>
        <w:tc>
          <w:tcPr>
            <w:tcW w:w="578" w:type="pct"/>
            <w:noWrap/>
            <w:hideMark/>
          </w:tcPr>
          <w:p w14:paraId="1EBB40C5"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105</w:t>
            </w:r>
          </w:p>
        </w:tc>
        <w:tc>
          <w:tcPr>
            <w:tcW w:w="504" w:type="pct"/>
            <w:noWrap/>
            <w:hideMark/>
          </w:tcPr>
          <w:p w14:paraId="10B087A8"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5.7</w:t>
            </w:r>
          </w:p>
        </w:tc>
        <w:tc>
          <w:tcPr>
            <w:tcW w:w="463" w:type="pct"/>
            <w:noWrap/>
            <w:hideMark/>
          </w:tcPr>
          <w:p w14:paraId="5F50F373"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3F985E31"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0.8</w:t>
            </w:r>
          </w:p>
        </w:tc>
        <w:tc>
          <w:tcPr>
            <w:tcW w:w="556" w:type="pct"/>
            <w:noWrap/>
            <w:hideMark/>
          </w:tcPr>
          <w:p w14:paraId="5362485B"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36.2</w:t>
            </w:r>
          </w:p>
        </w:tc>
      </w:tr>
      <w:tr w:rsidR="003029D5" w:rsidRPr="00B93EE1" w14:paraId="0B3966B8" w14:textId="77777777" w:rsidTr="0083264E">
        <w:tc>
          <w:tcPr>
            <w:tcW w:w="2278" w:type="pct"/>
            <w:noWrap/>
            <w:hideMark/>
          </w:tcPr>
          <w:p w14:paraId="1FFF0EF2"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13</w:t>
            </w:r>
            <w:r w:rsidRPr="00B93EE1">
              <w:rPr>
                <w:rFonts w:cs="Calibri"/>
                <w:color w:val="000000"/>
                <w:sz w:val="15"/>
                <w:szCs w:val="15"/>
              </w:rPr>
              <w:tab/>
              <w:t>Articles of stone, plaster, cement</w:t>
            </w:r>
          </w:p>
        </w:tc>
        <w:tc>
          <w:tcPr>
            <w:tcW w:w="578" w:type="pct"/>
            <w:noWrap/>
            <w:hideMark/>
          </w:tcPr>
          <w:p w14:paraId="16ED2884"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232</w:t>
            </w:r>
          </w:p>
        </w:tc>
        <w:tc>
          <w:tcPr>
            <w:tcW w:w="504" w:type="pct"/>
            <w:noWrap/>
            <w:hideMark/>
          </w:tcPr>
          <w:p w14:paraId="23381830"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2.5</w:t>
            </w:r>
          </w:p>
        </w:tc>
        <w:tc>
          <w:tcPr>
            <w:tcW w:w="463" w:type="pct"/>
            <w:noWrap/>
            <w:hideMark/>
          </w:tcPr>
          <w:p w14:paraId="3A04A0CF"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5E9A07F4"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1.1</w:t>
            </w:r>
          </w:p>
        </w:tc>
        <w:tc>
          <w:tcPr>
            <w:tcW w:w="556" w:type="pct"/>
            <w:noWrap/>
            <w:hideMark/>
          </w:tcPr>
          <w:p w14:paraId="563004EA"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51.7</w:t>
            </w:r>
          </w:p>
        </w:tc>
      </w:tr>
      <w:tr w:rsidR="003029D5" w:rsidRPr="00B93EE1" w14:paraId="70D7D921"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34264EED"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14</w:t>
            </w:r>
            <w:r w:rsidRPr="00B93EE1">
              <w:rPr>
                <w:rFonts w:cs="Calibri"/>
                <w:color w:val="000000"/>
                <w:sz w:val="15"/>
                <w:szCs w:val="15"/>
              </w:rPr>
              <w:tab/>
              <w:t>Precious stones and metals, pearls</w:t>
            </w:r>
          </w:p>
        </w:tc>
        <w:tc>
          <w:tcPr>
            <w:tcW w:w="578" w:type="pct"/>
            <w:noWrap/>
            <w:hideMark/>
          </w:tcPr>
          <w:p w14:paraId="3CAEA8C6"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68</w:t>
            </w:r>
          </w:p>
        </w:tc>
        <w:tc>
          <w:tcPr>
            <w:tcW w:w="504" w:type="pct"/>
            <w:noWrap/>
            <w:hideMark/>
          </w:tcPr>
          <w:p w14:paraId="138D8322"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1.2</w:t>
            </w:r>
          </w:p>
        </w:tc>
        <w:tc>
          <w:tcPr>
            <w:tcW w:w="463" w:type="pct"/>
            <w:noWrap/>
            <w:hideMark/>
          </w:tcPr>
          <w:p w14:paraId="36EC629A"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258F9114"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1.8</w:t>
            </w:r>
          </w:p>
        </w:tc>
        <w:tc>
          <w:tcPr>
            <w:tcW w:w="556" w:type="pct"/>
            <w:noWrap/>
            <w:hideMark/>
          </w:tcPr>
          <w:p w14:paraId="0FBD6BA9"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76.5</w:t>
            </w:r>
          </w:p>
        </w:tc>
      </w:tr>
      <w:tr w:rsidR="003029D5" w:rsidRPr="00B93EE1" w14:paraId="7E8C0F10" w14:textId="77777777" w:rsidTr="0083264E">
        <w:tc>
          <w:tcPr>
            <w:tcW w:w="2278" w:type="pct"/>
            <w:noWrap/>
            <w:hideMark/>
          </w:tcPr>
          <w:p w14:paraId="23B1C3AC"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15</w:t>
            </w:r>
            <w:r w:rsidRPr="00B93EE1">
              <w:rPr>
                <w:rFonts w:cs="Calibri"/>
                <w:color w:val="000000"/>
                <w:sz w:val="15"/>
                <w:szCs w:val="15"/>
              </w:rPr>
              <w:tab/>
              <w:t>Base metals and articles thereof</w:t>
            </w:r>
          </w:p>
        </w:tc>
        <w:tc>
          <w:tcPr>
            <w:tcW w:w="578" w:type="pct"/>
            <w:noWrap/>
            <w:hideMark/>
          </w:tcPr>
          <w:p w14:paraId="75AC5A8C"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798</w:t>
            </w:r>
          </w:p>
        </w:tc>
        <w:tc>
          <w:tcPr>
            <w:tcW w:w="504" w:type="pct"/>
            <w:noWrap/>
            <w:hideMark/>
          </w:tcPr>
          <w:p w14:paraId="701AAE7C"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2.6</w:t>
            </w:r>
          </w:p>
        </w:tc>
        <w:tc>
          <w:tcPr>
            <w:tcW w:w="463" w:type="pct"/>
            <w:noWrap/>
            <w:hideMark/>
          </w:tcPr>
          <w:p w14:paraId="4AA4AE2D"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2ABADA2D"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1.0</w:t>
            </w:r>
          </w:p>
        </w:tc>
        <w:tc>
          <w:tcPr>
            <w:tcW w:w="556" w:type="pct"/>
            <w:noWrap/>
            <w:hideMark/>
          </w:tcPr>
          <w:p w14:paraId="5D50C46A"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49.4</w:t>
            </w:r>
          </w:p>
        </w:tc>
      </w:tr>
      <w:tr w:rsidR="003029D5" w:rsidRPr="00B93EE1" w14:paraId="0F314E2F"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5E2AE2FB"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16</w:t>
            </w:r>
            <w:r w:rsidRPr="00B93EE1">
              <w:rPr>
                <w:rFonts w:cs="Calibri"/>
                <w:color w:val="000000"/>
                <w:sz w:val="15"/>
                <w:szCs w:val="15"/>
              </w:rPr>
              <w:tab/>
              <w:t>Machinery, electrical equipment, etc.</w:t>
            </w:r>
          </w:p>
        </w:tc>
        <w:tc>
          <w:tcPr>
            <w:tcW w:w="578" w:type="pct"/>
            <w:noWrap/>
            <w:hideMark/>
          </w:tcPr>
          <w:p w14:paraId="2E528EED"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1,325</w:t>
            </w:r>
          </w:p>
        </w:tc>
        <w:tc>
          <w:tcPr>
            <w:tcW w:w="504" w:type="pct"/>
            <w:noWrap/>
            <w:hideMark/>
          </w:tcPr>
          <w:p w14:paraId="3041E879"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2.1</w:t>
            </w:r>
          </w:p>
        </w:tc>
        <w:tc>
          <w:tcPr>
            <w:tcW w:w="463" w:type="pct"/>
            <w:noWrap/>
            <w:hideMark/>
          </w:tcPr>
          <w:p w14:paraId="6B8043A5"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32AFFB0A"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1.2</w:t>
            </w:r>
          </w:p>
        </w:tc>
        <w:tc>
          <w:tcPr>
            <w:tcW w:w="556" w:type="pct"/>
            <w:noWrap/>
            <w:hideMark/>
          </w:tcPr>
          <w:p w14:paraId="243E9044"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57.0</w:t>
            </w:r>
          </w:p>
        </w:tc>
      </w:tr>
      <w:tr w:rsidR="003029D5" w:rsidRPr="00B93EE1" w14:paraId="7B530B7E" w14:textId="77777777" w:rsidTr="0083264E">
        <w:tc>
          <w:tcPr>
            <w:tcW w:w="2278" w:type="pct"/>
            <w:noWrap/>
            <w:hideMark/>
          </w:tcPr>
          <w:p w14:paraId="71910D81"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17</w:t>
            </w:r>
            <w:r w:rsidRPr="00B93EE1">
              <w:rPr>
                <w:rFonts w:cs="Calibri"/>
                <w:color w:val="000000"/>
                <w:sz w:val="15"/>
                <w:szCs w:val="15"/>
              </w:rPr>
              <w:tab/>
              <w:t>Transport equipment</w:t>
            </w:r>
          </w:p>
        </w:tc>
        <w:tc>
          <w:tcPr>
            <w:tcW w:w="578" w:type="pct"/>
            <w:noWrap/>
            <w:hideMark/>
          </w:tcPr>
          <w:p w14:paraId="64C0030D"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285</w:t>
            </w:r>
          </w:p>
        </w:tc>
        <w:tc>
          <w:tcPr>
            <w:tcW w:w="504" w:type="pct"/>
            <w:noWrap/>
            <w:hideMark/>
          </w:tcPr>
          <w:p w14:paraId="3541E6DC"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3.9</w:t>
            </w:r>
          </w:p>
        </w:tc>
        <w:tc>
          <w:tcPr>
            <w:tcW w:w="463" w:type="pct"/>
            <w:noWrap/>
            <w:hideMark/>
          </w:tcPr>
          <w:p w14:paraId="3C42574B"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581BBC20"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1.0</w:t>
            </w:r>
          </w:p>
        </w:tc>
        <w:tc>
          <w:tcPr>
            <w:tcW w:w="556" w:type="pct"/>
            <w:noWrap/>
            <w:hideMark/>
          </w:tcPr>
          <w:p w14:paraId="3B0CF656"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41.4</w:t>
            </w:r>
          </w:p>
        </w:tc>
      </w:tr>
      <w:tr w:rsidR="003029D5" w:rsidRPr="00B93EE1" w14:paraId="18ACE6F1"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3BECE133"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18</w:t>
            </w:r>
            <w:r w:rsidRPr="00B93EE1">
              <w:rPr>
                <w:rFonts w:cs="Calibri"/>
                <w:color w:val="000000"/>
                <w:sz w:val="15"/>
                <w:szCs w:val="15"/>
              </w:rPr>
              <w:tab/>
              <w:t>Precision equipment</w:t>
            </w:r>
          </w:p>
        </w:tc>
        <w:tc>
          <w:tcPr>
            <w:tcW w:w="578" w:type="pct"/>
            <w:noWrap/>
            <w:hideMark/>
          </w:tcPr>
          <w:p w14:paraId="09884842"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240</w:t>
            </w:r>
          </w:p>
        </w:tc>
        <w:tc>
          <w:tcPr>
            <w:tcW w:w="504" w:type="pct"/>
            <w:noWrap/>
            <w:hideMark/>
          </w:tcPr>
          <w:p w14:paraId="4C48C093"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0.4</w:t>
            </w:r>
          </w:p>
        </w:tc>
        <w:tc>
          <w:tcPr>
            <w:tcW w:w="463" w:type="pct"/>
            <w:noWrap/>
            <w:hideMark/>
          </w:tcPr>
          <w:p w14:paraId="1E10B4E0"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01F7B751"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3.5</w:t>
            </w:r>
          </w:p>
        </w:tc>
        <w:tc>
          <w:tcPr>
            <w:tcW w:w="556" w:type="pct"/>
            <w:noWrap/>
            <w:hideMark/>
          </w:tcPr>
          <w:p w14:paraId="17404BE9"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90.8</w:t>
            </w:r>
          </w:p>
        </w:tc>
      </w:tr>
      <w:tr w:rsidR="003029D5" w:rsidRPr="00B93EE1" w14:paraId="437A9A82" w14:textId="77777777" w:rsidTr="0083264E">
        <w:tc>
          <w:tcPr>
            <w:tcW w:w="2278" w:type="pct"/>
            <w:noWrap/>
            <w:hideMark/>
          </w:tcPr>
          <w:p w14:paraId="3C2465FF"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19</w:t>
            </w:r>
            <w:r w:rsidRPr="00B93EE1">
              <w:rPr>
                <w:rFonts w:cs="Calibri"/>
                <w:color w:val="000000"/>
                <w:sz w:val="15"/>
                <w:szCs w:val="15"/>
              </w:rPr>
              <w:tab/>
              <w:t>Arms and ammunition</w:t>
            </w:r>
          </w:p>
        </w:tc>
        <w:tc>
          <w:tcPr>
            <w:tcW w:w="578" w:type="pct"/>
            <w:noWrap/>
            <w:hideMark/>
          </w:tcPr>
          <w:p w14:paraId="5B69B530"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32</w:t>
            </w:r>
          </w:p>
        </w:tc>
        <w:tc>
          <w:tcPr>
            <w:tcW w:w="504" w:type="pct"/>
            <w:noWrap/>
            <w:hideMark/>
          </w:tcPr>
          <w:p w14:paraId="0158CC35"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2.0</w:t>
            </w:r>
          </w:p>
        </w:tc>
        <w:tc>
          <w:tcPr>
            <w:tcW w:w="463" w:type="pct"/>
            <w:noWrap/>
            <w:hideMark/>
          </w:tcPr>
          <w:p w14:paraId="469EB198"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0-5</w:t>
            </w:r>
          </w:p>
        </w:tc>
        <w:tc>
          <w:tcPr>
            <w:tcW w:w="621" w:type="pct"/>
            <w:noWrap/>
            <w:hideMark/>
          </w:tcPr>
          <w:p w14:paraId="510FF1BB"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1.2</w:t>
            </w:r>
          </w:p>
        </w:tc>
        <w:tc>
          <w:tcPr>
            <w:tcW w:w="556" w:type="pct"/>
            <w:noWrap/>
            <w:hideMark/>
          </w:tcPr>
          <w:p w14:paraId="6BB96C3F"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56.3</w:t>
            </w:r>
          </w:p>
        </w:tc>
      </w:tr>
      <w:tr w:rsidR="003029D5" w:rsidRPr="00B93EE1" w14:paraId="3CCFBFFB" w14:textId="77777777" w:rsidTr="0083264E">
        <w:trPr>
          <w:cnfStyle w:val="000000010000" w:firstRow="0" w:lastRow="0" w:firstColumn="0" w:lastColumn="0" w:oddVBand="0" w:evenVBand="0" w:oddHBand="0" w:evenHBand="1" w:firstRowFirstColumn="0" w:firstRowLastColumn="0" w:lastRowFirstColumn="0" w:lastRowLastColumn="0"/>
        </w:trPr>
        <w:tc>
          <w:tcPr>
            <w:tcW w:w="2278" w:type="pct"/>
            <w:noWrap/>
            <w:hideMark/>
          </w:tcPr>
          <w:p w14:paraId="51863D2D"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20</w:t>
            </w:r>
            <w:r w:rsidRPr="00B93EE1">
              <w:rPr>
                <w:rFonts w:cs="Calibri"/>
                <w:color w:val="000000"/>
                <w:sz w:val="15"/>
                <w:szCs w:val="15"/>
              </w:rPr>
              <w:tab/>
              <w:t>Miscellaneous manufactured articles</w:t>
            </w:r>
          </w:p>
        </w:tc>
        <w:tc>
          <w:tcPr>
            <w:tcW w:w="578" w:type="pct"/>
            <w:noWrap/>
            <w:hideMark/>
          </w:tcPr>
          <w:p w14:paraId="25E5B9EC"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234</w:t>
            </w:r>
          </w:p>
        </w:tc>
        <w:tc>
          <w:tcPr>
            <w:tcW w:w="504" w:type="pct"/>
            <w:noWrap/>
            <w:hideMark/>
          </w:tcPr>
          <w:p w14:paraId="791A4CA7"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3.9</w:t>
            </w:r>
          </w:p>
        </w:tc>
        <w:tc>
          <w:tcPr>
            <w:tcW w:w="463" w:type="pct"/>
            <w:noWrap/>
            <w:hideMark/>
          </w:tcPr>
          <w:p w14:paraId="00FB8C2C"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0-10</w:t>
            </w:r>
          </w:p>
        </w:tc>
        <w:tc>
          <w:tcPr>
            <w:tcW w:w="621" w:type="pct"/>
            <w:noWrap/>
            <w:hideMark/>
          </w:tcPr>
          <w:p w14:paraId="4D3D1DDE"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0.7</w:t>
            </w:r>
          </w:p>
        </w:tc>
        <w:tc>
          <w:tcPr>
            <w:tcW w:w="556" w:type="pct"/>
            <w:noWrap/>
            <w:hideMark/>
          </w:tcPr>
          <w:p w14:paraId="3CAFBC18"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26.5</w:t>
            </w:r>
          </w:p>
        </w:tc>
      </w:tr>
      <w:tr w:rsidR="003029D5" w:rsidRPr="00B93EE1" w14:paraId="3372C5AD" w14:textId="77777777" w:rsidTr="0083264E">
        <w:tc>
          <w:tcPr>
            <w:tcW w:w="2278" w:type="pct"/>
            <w:noWrap/>
            <w:hideMark/>
          </w:tcPr>
          <w:p w14:paraId="0904E32B" w14:textId="77777777" w:rsidR="003029D5" w:rsidRPr="00B93EE1" w:rsidRDefault="003029D5" w:rsidP="0083264E">
            <w:pPr>
              <w:tabs>
                <w:tab w:val="left" w:pos="113"/>
              </w:tabs>
              <w:jc w:val="left"/>
              <w:rPr>
                <w:rFonts w:cs="Calibri"/>
                <w:color w:val="000000"/>
                <w:sz w:val="15"/>
                <w:szCs w:val="15"/>
              </w:rPr>
            </w:pPr>
            <w:r w:rsidRPr="00B93EE1">
              <w:rPr>
                <w:rFonts w:cs="Calibri"/>
                <w:color w:val="000000"/>
                <w:sz w:val="15"/>
                <w:szCs w:val="15"/>
              </w:rPr>
              <w:tab/>
              <w:t>21</w:t>
            </w:r>
            <w:r w:rsidRPr="00B93EE1">
              <w:rPr>
                <w:rFonts w:cs="Calibri"/>
                <w:color w:val="000000"/>
                <w:sz w:val="15"/>
                <w:szCs w:val="15"/>
              </w:rPr>
              <w:tab/>
              <w:t>Works of art, etc.</w:t>
            </w:r>
          </w:p>
        </w:tc>
        <w:tc>
          <w:tcPr>
            <w:tcW w:w="578" w:type="pct"/>
            <w:noWrap/>
            <w:hideMark/>
          </w:tcPr>
          <w:p w14:paraId="1B8B9A14" w14:textId="77777777" w:rsidR="003029D5" w:rsidRPr="00B93EE1" w:rsidRDefault="003029D5" w:rsidP="0083264E">
            <w:pPr>
              <w:ind w:right="170"/>
              <w:jc w:val="right"/>
              <w:rPr>
                <w:rFonts w:cs="Calibri"/>
                <w:color w:val="000000"/>
                <w:sz w:val="15"/>
                <w:szCs w:val="15"/>
              </w:rPr>
            </w:pPr>
            <w:r w:rsidRPr="00B93EE1">
              <w:rPr>
                <w:rFonts w:cs="Calibri"/>
                <w:color w:val="000000"/>
                <w:sz w:val="15"/>
                <w:szCs w:val="15"/>
              </w:rPr>
              <w:t>7</w:t>
            </w:r>
          </w:p>
        </w:tc>
        <w:tc>
          <w:tcPr>
            <w:tcW w:w="504" w:type="pct"/>
            <w:noWrap/>
            <w:hideMark/>
          </w:tcPr>
          <w:p w14:paraId="55A2A03F"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0.0</w:t>
            </w:r>
          </w:p>
        </w:tc>
        <w:tc>
          <w:tcPr>
            <w:tcW w:w="463" w:type="pct"/>
            <w:noWrap/>
            <w:hideMark/>
          </w:tcPr>
          <w:p w14:paraId="5AEA6674" w14:textId="77777777" w:rsidR="003029D5" w:rsidRPr="00B93EE1" w:rsidRDefault="003029D5" w:rsidP="0083264E">
            <w:pPr>
              <w:ind w:right="113"/>
              <w:jc w:val="right"/>
              <w:rPr>
                <w:rFonts w:cs="Calibri"/>
                <w:color w:val="000000"/>
                <w:sz w:val="15"/>
                <w:szCs w:val="15"/>
              </w:rPr>
            </w:pPr>
            <w:r w:rsidRPr="00B93EE1">
              <w:rPr>
                <w:rFonts w:cs="Calibri"/>
                <w:color w:val="000000"/>
                <w:sz w:val="15"/>
                <w:szCs w:val="15"/>
              </w:rPr>
              <w:t>0-0</w:t>
            </w:r>
          </w:p>
        </w:tc>
        <w:tc>
          <w:tcPr>
            <w:tcW w:w="621" w:type="pct"/>
            <w:noWrap/>
            <w:hideMark/>
          </w:tcPr>
          <w:p w14:paraId="6D695A9C" w14:textId="77777777" w:rsidR="003029D5" w:rsidRPr="00B93EE1" w:rsidRDefault="003029D5" w:rsidP="0083264E">
            <w:pPr>
              <w:ind w:right="340"/>
              <w:jc w:val="right"/>
              <w:rPr>
                <w:rFonts w:cs="Calibri"/>
                <w:color w:val="000000"/>
                <w:sz w:val="15"/>
                <w:szCs w:val="15"/>
              </w:rPr>
            </w:pPr>
            <w:r w:rsidRPr="00B93EE1">
              <w:rPr>
                <w:rFonts w:cs="Calibri"/>
                <w:color w:val="000000"/>
                <w:sz w:val="15"/>
                <w:szCs w:val="15"/>
              </w:rPr>
              <w:t>0.0</w:t>
            </w:r>
          </w:p>
        </w:tc>
        <w:tc>
          <w:tcPr>
            <w:tcW w:w="556" w:type="pct"/>
            <w:noWrap/>
            <w:hideMark/>
          </w:tcPr>
          <w:p w14:paraId="7DC61724" w14:textId="77777777" w:rsidR="003029D5" w:rsidRPr="00B93EE1" w:rsidRDefault="003029D5" w:rsidP="0083264E">
            <w:pPr>
              <w:ind w:right="227"/>
              <w:jc w:val="right"/>
              <w:rPr>
                <w:rFonts w:cs="Calibri"/>
                <w:color w:val="000000"/>
                <w:sz w:val="15"/>
                <w:szCs w:val="15"/>
              </w:rPr>
            </w:pPr>
            <w:r w:rsidRPr="00B93EE1">
              <w:rPr>
                <w:rFonts w:cs="Calibri"/>
                <w:color w:val="000000"/>
                <w:sz w:val="15"/>
                <w:szCs w:val="15"/>
              </w:rPr>
              <w:t>100.0</w:t>
            </w:r>
          </w:p>
        </w:tc>
      </w:tr>
    </w:tbl>
    <w:p w14:paraId="55165297" w14:textId="77777777" w:rsidR="003029D5" w:rsidRPr="00B93EE1" w:rsidRDefault="003029D5" w:rsidP="006B1D61">
      <w:pPr>
        <w:pStyle w:val="NoteText"/>
        <w:spacing w:before="120"/>
      </w:pPr>
      <w:r w:rsidRPr="00B93EE1">
        <w:t>Note:</w:t>
      </w:r>
      <w:r w:rsidRPr="00B93EE1">
        <w:tab/>
        <w:t xml:space="preserve">Including </w:t>
      </w:r>
      <w:r w:rsidRPr="00B93EE1">
        <w:rPr>
          <w:i/>
          <w:iCs/>
        </w:rPr>
        <w:t>ad valorem</w:t>
      </w:r>
      <w:r w:rsidRPr="00B93EE1">
        <w:t xml:space="preserve"> equivalents (</w:t>
      </w:r>
      <w:proofErr w:type="spellStart"/>
      <w:r w:rsidRPr="00B93EE1">
        <w:t>AVEs</w:t>
      </w:r>
      <w:proofErr w:type="spellEnd"/>
      <w:r w:rsidRPr="00B93EE1">
        <w:t>), as available; excluding tariff lines applying to parts and components, for which the tariff varies depending on the machinery, appliance, or equipment they have been designed to.</w:t>
      </w:r>
    </w:p>
    <w:p w14:paraId="5D9F2AC7" w14:textId="30455549" w:rsidR="003029D5" w:rsidRDefault="003029D5" w:rsidP="006B1D61">
      <w:pPr>
        <w:pStyle w:val="NoteText"/>
        <w:spacing w:before="120"/>
      </w:pPr>
      <w:r w:rsidRPr="00B93EE1">
        <w:t>Source:</w:t>
      </w:r>
      <w:r w:rsidRPr="00B93EE1">
        <w:rPr>
          <w:b/>
          <w:bCs/>
        </w:rPr>
        <w:tab/>
      </w:r>
      <w:r w:rsidRPr="00B93EE1">
        <w:t>WTO Secretariat calculations, based on data provided by the authorities.</w:t>
      </w:r>
      <w:r>
        <w:br w:type="page"/>
      </w:r>
    </w:p>
    <w:p w14:paraId="2EDDC300" w14:textId="44F37AA9" w:rsidR="00120717" w:rsidRPr="00B93EE1" w:rsidRDefault="00DE713E" w:rsidP="00DE713E">
      <w:pPr>
        <w:pStyle w:val="Caption"/>
        <w:rPr>
          <w:b w:val="0"/>
        </w:rPr>
      </w:pPr>
      <w:bookmarkStart w:id="267" w:name="_Toc97743454"/>
      <w:r>
        <w:lastRenderedPageBreak/>
        <w:t>Table A3.</w:t>
      </w:r>
      <w:r w:rsidR="0012793B">
        <w:fldChar w:fldCharType="begin"/>
      </w:r>
      <w:r w:rsidR="0012793B">
        <w:instrText xml:space="preserve"> SEQ Table_A3. \* ARABIC </w:instrText>
      </w:r>
      <w:r w:rsidR="0012793B">
        <w:fldChar w:fldCharType="separate"/>
      </w:r>
      <w:r>
        <w:rPr>
          <w:noProof/>
        </w:rPr>
        <w:t>2</w:t>
      </w:r>
      <w:r w:rsidR="0012793B">
        <w:rPr>
          <w:noProof/>
        </w:rPr>
        <w:fldChar w:fldCharType="end"/>
      </w:r>
      <w:r w:rsidR="00120717" w:rsidRPr="00B93EE1">
        <w:t xml:space="preserve"> Intellectual property protection, 2022</w:t>
      </w:r>
      <w:bookmarkEnd w:id="267"/>
    </w:p>
    <w:tbl>
      <w:tblPr>
        <w:tblStyle w:val="WTOTable11"/>
        <w:tblW w:w="13740" w:type="dxa"/>
        <w:tblInd w:w="5" w:type="dxa"/>
        <w:tblLook w:val="05E0" w:firstRow="1" w:lastRow="1" w:firstColumn="1" w:lastColumn="1" w:noHBand="0" w:noVBand="1"/>
      </w:tblPr>
      <w:tblGrid>
        <w:gridCol w:w="1408"/>
        <w:gridCol w:w="3402"/>
        <w:gridCol w:w="2977"/>
        <w:gridCol w:w="5953"/>
      </w:tblGrid>
      <w:tr w:rsidR="00120717" w:rsidRPr="00B93EE1" w14:paraId="474E873B" w14:textId="77777777" w:rsidTr="00075C8B">
        <w:trPr>
          <w:cnfStyle w:val="100000000000" w:firstRow="1" w:lastRow="0" w:firstColumn="0" w:lastColumn="0" w:oddVBand="0" w:evenVBand="0" w:oddHBand="0" w:evenHBand="0" w:firstRowFirstColumn="0" w:firstRowLastColumn="0" w:lastRowFirstColumn="0" w:lastRowLastColumn="0"/>
          <w:tblHeader/>
        </w:trPr>
        <w:tc>
          <w:tcPr>
            <w:tcW w:w="1408" w:type="dxa"/>
            <w:hideMark/>
          </w:tcPr>
          <w:p w14:paraId="0C8E963E" w14:textId="77777777" w:rsidR="00120717" w:rsidRPr="00B93EE1" w:rsidRDefault="00120717" w:rsidP="00075C8B">
            <w:pPr>
              <w:tabs>
                <w:tab w:val="left" w:pos="567"/>
              </w:tabs>
              <w:jc w:val="left"/>
              <w:rPr>
                <w:rFonts w:eastAsia="Times New Roman"/>
                <w:sz w:val="15"/>
                <w:szCs w:val="15"/>
              </w:rPr>
            </w:pPr>
            <w:r w:rsidRPr="00B93EE1">
              <w:rPr>
                <w:rFonts w:eastAsia="Times New Roman"/>
                <w:sz w:val="15"/>
                <w:szCs w:val="15"/>
              </w:rPr>
              <w:t>Main legislation</w:t>
            </w:r>
          </w:p>
        </w:tc>
        <w:tc>
          <w:tcPr>
            <w:tcW w:w="3402" w:type="dxa"/>
            <w:noWrap/>
            <w:hideMark/>
          </w:tcPr>
          <w:p w14:paraId="552687B0" w14:textId="77777777" w:rsidR="00120717" w:rsidRPr="00B93EE1" w:rsidRDefault="00120717" w:rsidP="00075C8B">
            <w:pPr>
              <w:tabs>
                <w:tab w:val="left" w:pos="567"/>
              </w:tabs>
              <w:jc w:val="left"/>
              <w:rPr>
                <w:rFonts w:eastAsia="Times New Roman"/>
                <w:sz w:val="15"/>
                <w:szCs w:val="15"/>
              </w:rPr>
            </w:pPr>
            <w:r w:rsidRPr="00B93EE1">
              <w:rPr>
                <w:rFonts w:eastAsia="Times New Roman"/>
                <w:sz w:val="15"/>
                <w:szCs w:val="15"/>
              </w:rPr>
              <w:t>Coverage</w:t>
            </w:r>
          </w:p>
        </w:tc>
        <w:tc>
          <w:tcPr>
            <w:tcW w:w="2977" w:type="dxa"/>
            <w:noWrap/>
            <w:hideMark/>
          </w:tcPr>
          <w:p w14:paraId="4230497F" w14:textId="77777777" w:rsidR="00120717" w:rsidRPr="00B93EE1" w:rsidRDefault="00120717" w:rsidP="00075C8B">
            <w:pPr>
              <w:tabs>
                <w:tab w:val="left" w:pos="567"/>
              </w:tabs>
              <w:jc w:val="left"/>
              <w:rPr>
                <w:rFonts w:eastAsia="Times New Roman"/>
                <w:sz w:val="15"/>
                <w:szCs w:val="15"/>
              </w:rPr>
            </w:pPr>
            <w:r w:rsidRPr="00B93EE1">
              <w:rPr>
                <w:rFonts w:eastAsia="Times New Roman"/>
                <w:sz w:val="15"/>
                <w:szCs w:val="15"/>
              </w:rPr>
              <w:t>Duration</w:t>
            </w:r>
          </w:p>
        </w:tc>
        <w:tc>
          <w:tcPr>
            <w:tcW w:w="5953" w:type="dxa"/>
            <w:noWrap/>
            <w:hideMark/>
          </w:tcPr>
          <w:p w14:paraId="51806FD1" w14:textId="77777777" w:rsidR="00120717" w:rsidRPr="00B93EE1" w:rsidRDefault="00120717" w:rsidP="00075C8B">
            <w:pPr>
              <w:tabs>
                <w:tab w:val="left" w:pos="567"/>
              </w:tabs>
              <w:jc w:val="left"/>
              <w:rPr>
                <w:rFonts w:eastAsia="Times New Roman"/>
                <w:sz w:val="15"/>
                <w:szCs w:val="15"/>
              </w:rPr>
            </w:pPr>
            <w:r w:rsidRPr="00B93EE1">
              <w:rPr>
                <w:rFonts w:eastAsia="Times New Roman"/>
                <w:sz w:val="15"/>
                <w:szCs w:val="15"/>
              </w:rPr>
              <w:t>Selected exclusions and limitations</w:t>
            </w:r>
          </w:p>
        </w:tc>
      </w:tr>
      <w:tr w:rsidR="00120717" w:rsidRPr="00B93EE1" w14:paraId="687AC8E2" w14:textId="77777777" w:rsidTr="00075C8B">
        <w:tc>
          <w:tcPr>
            <w:tcW w:w="1408" w:type="dxa"/>
            <w:tcBorders>
              <w:bottom w:val="nil"/>
            </w:tcBorders>
            <w:hideMark/>
          </w:tcPr>
          <w:p w14:paraId="2AA6C843" w14:textId="77777777" w:rsidR="00120717" w:rsidRPr="00B93EE1" w:rsidRDefault="00120717" w:rsidP="00075C8B">
            <w:pPr>
              <w:tabs>
                <w:tab w:val="left" w:pos="567"/>
              </w:tabs>
              <w:jc w:val="left"/>
              <w:rPr>
                <w:rFonts w:eastAsia="Times New Roman"/>
                <w:b/>
                <w:bCs/>
                <w:sz w:val="15"/>
                <w:szCs w:val="15"/>
              </w:rPr>
            </w:pPr>
            <w:r w:rsidRPr="00B93EE1">
              <w:rPr>
                <w:rFonts w:eastAsia="Times New Roman"/>
                <w:b/>
                <w:bCs/>
                <w:color w:val="000000"/>
                <w:sz w:val="15"/>
                <w:szCs w:val="15"/>
              </w:rPr>
              <w:t>Patents</w:t>
            </w:r>
          </w:p>
        </w:tc>
        <w:tc>
          <w:tcPr>
            <w:tcW w:w="3402" w:type="dxa"/>
            <w:tcBorders>
              <w:bottom w:val="nil"/>
            </w:tcBorders>
            <w:noWrap/>
            <w:hideMark/>
          </w:tcPr>
          <w:p w14:paraId="5B5D8668" w14:textId="77777777" w:rsidR="00120717" w:rsidRPr="00B93EE1" w:rsidRDefault="00120717" w:rsidP="00075C8B">
            <w:pPr>
              <w:rPr>
                <w:rFonts w:eastAsia="Times New Roman"/>
                <w:b/>
                <w:bCs/>
                <w:sz w:val="15"/>
                <w:szCs w:val="15"/>
              </w:rPr>
            </w:pPr>
          </w:p>
        </w:tc>
        <w:tc>
          <w:tcPr>
            <w:tcW w:w="2977" w:type="dxa"/>
            <w:tcBorders>
              <w:bottom w:val="nil"/>
            </w:tcBorders>
            <w:noWrap/>
            <w:hideMark/>
          </w:tcPr>
          <w:p w14:paraId="2DFA3C58" w14:textId="77777777" w:rsidR="00120717" w:rsidRPr="00B93EE1" w:rsidRDefault="00120717" w:rsidP="00075C8B">
            <w:pPr>
              <w:jc w:val="left"/>
              <w:rPr>
                <w:rFonts w:ascii="Calibri" w:hAnsi="Calibri"/>
                <w:sz w:val="15"/>
                <w:szCs w:val="15"/>
                <w:lang w:eastAsia="en-GB"/>
              </w:rPr>
            </w:pPr>
          </w:p>
        </w:tc>
        <w:tc>
          <w:tcPr>
            <w:tcW w:w="5953" w:type="dxa"/>
            <w:tcBorders>
              <w:bottom w:val="nil"/>
            </w:tcBorders>
            <w:noWrap/>
            <w:hideMark/>
          </w:tcPr>
          <w:p w14:paraId="73E9B968" w14:textId="77777777" w:rsidR="00120717" w:rsidRPr="00B93EE1" w:rsidRDefault="00120717" w:rsidP="00075C8B">
            <w:pPr>
              <w:jc w:val="left"/>
              <w:rPr>
                <w:rFonts w:ascii="Calibri" w:hAnsi="Calibri"/>
                <w:sz w:val="15"/>
                <w:szCs w:val="15"/>
                <w:lang w:eastAsia="en-GB"/>
              </w:rPr>
            </w:pPr>
          </w:p>
        </w:tc>
      </w:tr>
      <w:tr w:rsidR="00120717" w:rsidRPr="00B93EE1" w14:paraId="3BCAD970" w14:textId="77777777" w:rsidTr="00075C8B">
        <w:trPr>
          <w:cnfStyle w:val="000000010000" w:firstRow="0" w:lastRow="0" w:firstColumn="0" w:lastColumn="0" w:oddVBand="0" w:evenVBand="0" w:oddHBand="0" w:evenHBand="1" w:firstRowFirstColumn="0" w:firstRowLastColumn="0" w:lastRowFirstColumn="0" w:lastRowLastColumn="0"/>
        </w:trPr>
        <w:tc>
          <w:tcPr>
            <w:tcW w:w="1408" w:type="dxa"/>
            <w:tcBorders>
              <w:top w:val="nil"/>
              <w:bottom w:val="nil"/>
            </w:tcBorders>
            <w:hideMark/>
          </w:tcPr>
          <w:p w14:paraId="49797AEA" w14:textId="77777777" w:rsidR="00120717" w:rsidRPr="00B93EE1" w:rsidRDefault="00120717" w:rsidP="00075C8B">
            <w:pPr>
              <w:tabs>
                <w:tab w:val="left" w:pos="567"/>
              </w:tabs>
              <w:jc w:val="left"/>
              <w:rPr>
                <w:rFonts w:eastAsia="Times New Roman" w:cs="Calibri"/>
                <w:sz w:val="15"/>
                <w:szCs w:val="15"/>
              </w:rPr>
            </w:pPr>
            <w:r w:rsidRPr="00B93EE1">
              <w:rPr>
                <w:rFonts w:eastAsia="Times New Roman"/>
                <w:color w:val="000000"/>
                <w:sz w:val="15"/>
                <w:szCs w:val="15"/>
              </w:rPr>
              <w:t>Patents Act 2013</w:t>
            </w:r>
          </w:p>
        </w:tc>
        <w:tc>
          <w:tcPr>
            <w:tcW w:w="3402" w:type="dxa"/>
            <w:tcBorders>
              <w:top w:val="nil"/>
              <w:bottom w:val="nil"/>
            </w:tcBorders>
            <w:hideMark/>
          </w:tcPr>
          <w:p w14:paraId="546D43AA"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Any invention that compared with the prior art base is novel, involves an inventive step, and has a specific, credible, and substantial utility</w:t>
            </w:r>
          </w:p>
        </w:tc>
        <w:tc>
          <w:tcPr>
            <w:tcW w:w="2977" w:type="dxa"/>
            <w:tcBorders>
              <w:top w:val="nil"/>
              <w:bottom w:val="nil"/>
            </w:tcBorders>
            <w:hideMark/>
          </w:tcPr>
          <w:p w14:paraId="7EC9B6BB"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20 years from patent date</w:t>
            </w:r>
          </w:p>
        </w:tc>
        <w:tc>
          <w:tcPr>
            <w:tcW w:w="5953" w:type="dxa"/>
            <w:tcBorders>
              <w:top w:val="nil"/>
              <w:bottom w:val="nil"/>
            </w:tcBorders>
            <w:hideMark/>
          </w:tcPr>
          <w:p w14:paraId="1B742C4E"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An invention is not a patentable invention if its commercial exploitation is contrary to public order or morality.</w:t>
            </w:r>
          </w:p>
          <w:p w14:paraId="52D4764A"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The following are not patentable inventions: scientific theories or mathematical formulae; art works and literature; business schemes or ways of presenting information; computer programs as such; methods of human medical treatment; diagnostic methods practised on humans; human beings and processes for their generation; processes for cloning humans; using human embryos for industrial or commercial purposes; plant varieties as provided in the Plant Variety Rights Act 1987.</w:t>
            </w:r>
          </w:p>
        </w:tc>
      </w:tr>
      <w:tr w:rsidR="00120717" w:rsidRPr="00B93EE1" w14:paraId="750B977D" w14:textId="77777777" w:rsidTr="00075C8B">
        <w:tc>
          <w:tcPr>
            <w:tcW w:w="13740" w:type="dxa"/>
            <w:gridSpan w:val="4"/>
            <w:tcBorders>
              <w:top w:val="nil"/>
              <w:bottom w:val="nil"/>
            </w:tcBorders>
            <w:shd w:val="clear" w:color="auto" w:fill="auto"/>
            <w:hideMark/>
          </w:tcPr>
          <w:p w14:paraId="70046E62" w14:textId="77777777" w:rsidR="00120717" w:rsidRPr="00B93EE1" w:rsidRDefault="00120717" w:rsidP="00075C8B">
            <w:pPr>
              <w:tabs>
                <w:tab w:val="left" w:pos="567"/>
              </w:tabs>
              <w:jc w:val="left"/>
              <w:rPr>
                <w:rFonts w:eastAsia="Times New Roman"/>
                <w:b/>
                <w:bCs/>
                <w:sz w:val="15"/>
                <w:szCs w:val="15"/>
              </w:rPr>
            </w:pPr>
            <w:r w:rsidRPr="00B93EE1">
              <w:rPr>
                <w:rFonts w:eastAsia="Times New Roman"/>
                <w:b/>
                <w:bCs/>
                <w:color w:val="000000"/>
                <w:sz w:val="15"/>
                <w:szCs w:val="15"/>
              </w:rPr>
              <w:t>Undisclosed information</w:t>
            </w:r>
          </w:p>
        </w:tc>
      </w:tr>
      <w:tr w:rsidR="00120717" w:rsidRPr="00B93EE1" w14:paraId="44E39500" w14:textId="77777777" w:rsidTr="00075C8B">
        <w:trPr>
          <w:cnfStyle w:val="000000010000" w:firstRow="0" w:lastRow="0" w:firstColumn="0" w:lastColumn="0" w:oddVBand="0" w:evenVBand="0" w:oddHBand="0" w:evenHBand="1" w:firstRowFirstColumn="0" w:firstRowLastColumn="0" w:lastRowFirstColumn="0" w:lastRowLastColumn="0"/>
        </w:trPr>
        <w:tc>
          <w:tcPr>
            <w:tcW w:w="1408" w:type="dxa"/>
            <w:tcBorders>
              <w:top w:val="nil"/>
              <w:bottom w:val="nil"/>
            </w:tcBorders>
          </w:tcPr>
          <w:p w14:paraId="58BF9A35" w14:textId="48AA5381" w:rsidR="00120717" w:rsidRPr="00B93EE1" w:rsidRDefault="00120717" w:rsidP="00075C8B">
            <w:pPr>
              <w:tabs>
                <w:tab w:val="left" w:pos="567"/>
              </w:tabs>
              <w:jc w:val="left"/>
              <w:rPr>
                <w:rFonts w:eastAsia="Times New Roman"/>
                <w:color w:val="000000"/>
                <w:sz w:val="15"/>
                <w:szCs w:val="15"/>
              </w:rPr>
            </w:pPr>
            <w:r w:rsidRPr="00B93EE1">
              <w:rPr>
                <w:rFonts w:eastAsia="Times New Roman"/>
                <w:color w:val="000000"/>
                <w:sz w:val="15"/>
                <w:szCs w:val="15"/>
              </w:rPr>
              <w:t>Contract and Commercial Law Act 2017</w:t>
            </w:r>
          </w:p>
          <w:p w14:paraId="498BD093" w14:textId="77777777" w:rsidR="00120717" w:rsidRPr="00B93EE1" w:rsidRDefault="00120717" w:rsidP="00075C8B">
            <w:pPr>
              <w:tabs>
                <w:tab w:val="left" w:pos="567"/>
              </w:tabs>
              <w:jc w:val="left"/>
              <w:rPr>
                <w:rFonts w:eastAsia="Times New Roman"/>
                <w:color w:val="000000"/>
                <w:sz w:val="15"/>
                <w:szCs w:val="15"/>
              </w:rPr>
            </w:pPr>
          </w:p>
          <w:p w14:paraId="13CD71C5"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Crimes Act 1961</w:t>
            </w:r>
          </w:p>
        </w:tc>
        <w:tc>
          <w:tcPr>
            <w:tcW w:w="3402" w:type="dxa"/>
            <w:tcBorders>
              <w:top w:val="nil"/>
              <w:bottom w:val="nil"/>
            </w:tcBorders>
          </w:tcPr>
          <w:p w14:paraId="4B92484A" w14:textId="77777777" w:rsidR="00120717" w:rsidRPr="00B93EE1" w:rsidRDefault="00120717" w:rsidP="00075C8B">
            <w:pPr>
              <w:tabs>
                <w:tab w:val="left" w:pos="567"/>
              </w:tabs>
              <w:jc w:val="left"/>
              <w:rPr>
                <w:rFonts w:eastAsia="Times New Roman"/>
                <w:color w:val="000000"/>
                <w:sz w:val="15"/>
                <w:szCs w:val="15"/>
              </w:rPr>
            </w:pPr>
            <w:r w:rsidRPr="00B93EE1">
              <w:rPr>
                <w:rFonts w:eastAsia="Times New Roman"/>
                <w:color w:val="000000"/>
                <w:sz w:val="15"/>
                <w:szCs w:val="15"/>
              </w:rPr>
              <w:t>Any information the parties agree to under a contract agree to keep confidential</w:t>
            </w:r>
          </w:p>
          <w:p w14:paraId="45EC21CA" w14:textId="77777777" w:rsidR="00120717" w:rsidRPr="00B93EE1" w:rsidRDefault="00120717" w:rsidP="00075C8B">
            <w:pPr>
              <w:tabs>
                <w:tab w:val="left" w:pos="567"/>
              </w:tabs>
              <w:jc w:val="left"/>
              <w:rPr>
                <w:rFonts w:eastAsia="Times New Roman"/>
                <w:color w:val="000000"/>
                <w:sz w:val="15"/>
                <w:szCs w:val="15"/>
              </w:rPr>
            </w:pPr>
          </w:p>
          <w:p w14:paraId="0ED9133C" w14:textId="77777777" w:rsidR="00120717" w:rsidRPr="00B93EE1" w:rsidRDefault="00120717" w:rsidP="00075C8B">
            <w:pPr>
              <w:tabs>
                <w:tab w:val="left" w:pos="567"/>
              </w:tabs>
              <w:jc w:val="left"/>
              <w:rPr>
                <w:rFonts w:eastAsia="Times New Roman"/>
                <w:color w:val="000000"/>
                <w:sz w:val="15"/>
                <w:szCs w:val="15"/>
              </w:rPr>
            </w:pPr>
            <w:r w:rsidRPr="00B93EE1">
              <w:rPr>
                <w:rFonts w:eastAsia="Times New Roman"/>
                <w:color w:val="000000"/>
                <w:sz w:val="15"/>
                <w:szCs w:val="15"/>
              </w:rPr>
              <w:t>Trade secrets, i.e. any information that is, or has the potential to be, used industrially or commercially; and is not generally available in industrial or commercial use; and has economic value or potential economic value to the possessor of the information; and is the subject of all reasonable efforts to preserve its secrecy</w:t>
            </w:r>
          </w:p>
        </w:tc>
        <w:tc>
          <w:tcPr>
            <w:tcW w:w="2977" w:type="dxa"/>
            <w:tcBorders>
              <w:top w:val="nil"/>
              <w:bottom w:val="nil"/>
            </w:tcBorders>
          </w:tcPr>
          <w:p w14:paraId="38C397E6" w14:textId="77777777" w:rsidR="00120717" w:rsidRPr="00B93EE1" w:rsidRDefault="00120717" w:rsidP="00075C8B">
            <w:pPr>
              <w:tabs>
                <w:tab w:val="left" w:pos="567"/>
              </w:tabs>
              <w:jc w:val="left"/>
              <w:rPr>
                <w:rFonts w:eastAsia="Times New Roman"/>
                <w:sz w:val="15"/>
                <w:szCs w:val="15"/>
              </w:rPr>
            </w:pPr>
            <w:r w:rsidRPr="00B93EE1">
              <w:rPr>
                <w:rFonts w:eastAsia="Times New Roman"/>
                <w:sz w:val="15"/>
                <w:szCs w:val="15"/>
              </w:rPr>
              <w:t>Duration of the contract</w:t>
            </w:r>
          </w:p>
          <w:p w14:paraId="42A727C0" w14:textId="77777777" w:rsidR="00120717" w:rsidRPr="00B93EE1" w:rsidRDefault="00120717" w:rsidP="00075C8B">
            <w:pPr>
              <w:tabs>
                <w:tab w:val="left" w:pos="567"/>
              </w:tabs>
              <w:jc w:val="left"/>
              <w:rPr>
                <w:rFonts w:eastAsia="Times New Roman"/>
                <w:sz w:val="15"/>
                <w:szCs w:val="15"/>
              </w:rPr>
            </w:pPr>
          </w:p>
          <w:p w14:paraId="21ACB862" w14:textId="77777777" w:rsidR="00120717" w:rsidRPr="00B93EE1" w:rsidRDefault="00120717" w:rsidP="00075C8B">
            <w:pPr>
              <w:tabs>
                <w:tab w:val="left" w:pos="567"/>
              </w:tabs>
              <w:jc w:val="left"/>
              <w:rPr>
                <w:rFonts w:eastAsia="Times New Roman"/>
                <w:sz w:val="15"/>
                <w:szCs w:val="15"/>
              </w:rPr>
            </w:pPr>
            <w:r w:rsidRPr="00B93EE1">
              <w:rPr>
                <w:rFonts w:eastAsia="Times New Roman"/>
                <w:sz w:val="15"/>
                <w:szCs w:val="15"/>
              </w:rPr>
              <w:t>Indefinitely where all reasonable efforts are undertaken to preserve its secrecy</w:t>
            </w:r>
          </w:p>
        </w:tc>
        <w:tc>
          <w:tcPr>
            <w:tcW w:w="5953" w:type="dxa"/>
            <w:tcBorders>
              <w:top w:val="nil"/>
              <w:bottom w:val="nil"/>
            </w:tcBorders>
          </w:tcPr>
          <w:p w14:paraId="7A2A53F3" w14:textId="77777777" w:rsidR="00120717" w:rsidRPr="00B93EE1" w:rsidRDefault="00120717" w:rsidP="00075C8B">
            <w:pPr>
              <w:tabs>
                <w:tab w:val="left" w:pos="567"/>
              </w:tabs>
              <w:jc w:val="left"/>
              <w:rPr>
                <w:rFonts w:eastAsia="Times New Roman"/>
                <w:sz w:val="15"/>
                <w:szCs w:val="15"/>
              </w:rPr>
            </w:pPr>
            <w:r w:rsidRPr="00B93EE1">
              <w:rPr>
                <w:rFonts w:eastAsia="Times New Roman"/>
                <w:sz w:val="15"/>
                <w:szCs w:val="15"/>
              </w:rPr>
              <w:t xml:space="preserve">Disclosures required under any enactment are excluded. Protection for when information is released in the wider public interest, such as "whistleblowing" that uncovers mismanagement, fraud, corruption, illegality or other wrongdoing. </w:t>
            </w:r>
          </w:p>
        </w:tc>
      </w:tr>
      <w:tr w:rsidR="00120717" w:rsidRPr="00B93EE1" w14:paraId="09C7A410" w14:textId="77777777" w:rsidTr="00075C8B">
        <w:tc>
          <w:tcPr>
            <w:tcW w:w="1408" w:type="dxa"/>
            <w:tcBorders>
              <w:top w:val="nil"/>
              <w:bottom w:val="nil"/>
            </w:tcBorders>
            <w:shd w:val="clear" w:color="auto" w:fill="C9DED4"/>
          </w:tcPr>
          <w:p w14:paraId="69D8076D" w14:textId="77777777" w:rsidR="00120717" w:rsidRPr="00B93EE1" w:rsidRDefault="00120717" w:rsidP="00075C8B">
            <w:pPr>
              <w:tabs>
                <w:tab w:val="left" w:pos="567"/>
              </w:tabs>
              <w:jc w:val="left"/>
              <w:rPr>
                <w:rFonts w:eastAsia="Times New Roman"/>
                <w:color w:val="000000"/>
                <w:sz w:val="15"/>
                <w:szCs w:val="15"/>
              </w:rPr>
            </w:pPr>
          </w:p>
          <w:p w14:paraId="1FA1C60E" w14:textId="77777777" w:rsidR="00120717" w:rsidRPr="00B93EE1" w:rsidRDefault="00120717" w:rsidP="00075C8B">
            <w:pPr>
              <w:tabs>
                <w:tab w:val="left" w:pos="567"/>
              </w:tabs>
              <w:jc w:val="left"/>
              <w:rPr>
                <w:rFonts w:eastAsia="Times New Roman"/>
                <w:color w:val="000000"/>
                <w:sz w:val="15"/>
                <w:szCs w:val="15"/>
              </w:rPr>
            </w:pPr>
            <w:r w:rsidRPr="00B93EE1">
              <w:rPr>
                <w:rFonts w:eastAsia="Times New Roman"/>
                <w:color w:val="000000"/>
                <w:sz w:val="15"/>
                <w:szCs w:val="15"/>
              </w:rPr>
              <w:t>Medicines Act 1981</w:t>
            </w:r>
          </w:p>
          <w:p w14:paraId="1C37B851" w14:textId="77777777" w:rsidR="00120717" w:rsidRPr="00B93EE1" w:rsidRDefault="00120717" w:rsidP="00075C8B">
            <w:pPr>
              <w:tabs>
                <w:tab w:val="left" w:pos="567"/>
              </w:tabs>
              <w:jc w:val="left"/>
              <w:rPr>
                <w:rFonts w:eastAsia="Times New Roman"/>
                <w:color w:val="000000"/>
                <w:sz w:val="15"/>
                <w:szCs w:val="15"/>
              </w:rPr>
            </w:pPr>
          </w:p>
          <w:p w14:paraId="20A6BBDE" w14:textId="77777777" w:rsidR="00120717" w:rsidRPr="00B93EE1" w:rsidRDefault="00120717" w:rsidP="00075C8B">
            <w:pPr>
              <w:tabs>
                <w:tab w:val="left" w:pos="567"/>
              </w:tabs>
              <w:jc w:val="left"/>
              <w:rPr>
                <w:rFonts w:eastAsia="Times New Roman"/>
                <w:color w:val="000000"/>
                <w:sz w:val="15"/>
                <w:szCs w:val="15"/>
              </w:rPr>
            </w:pPr>
          </w:p>
          <w:p w14:paraId="3781EF38"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Agricultural Chemicals and Veterinary Medicines Act 1997</w:t>
            </w:r>
          </w:p>
        </w:tc>
        <w:tc>
          <w:tcPr>
            <w:tcW w:w="3402" w:type="dxa"/>
            <w:tcBorders>
              <w:top w:val="nil"/>
              <w:bottom w:val="nil"/>
            </w:tcBorders>
            <w:shd w:val="clear" w:color="auto" w:fill="C9DED4"/>
          </w:tcPr>
          <w:p w14:paraId="0EC2FA55" w14:textId="77777777" w:rsidR="00120717" w:rsidRPr="00B93EE1" w:rsidRDefault="00120717" w:rsidP="00075C8B">
            <w:pPr>
              <w:tabs>
                <w:tab w:val="left" w:pos="567"/>
              </w:tabs>
              <w:jc w:val="left"/>
              <w:rPr>
                <w:rFonts w:eastAsia="Times New Roman"/>
                <w:color w:val="000000"/>
                <w:sz w:val="15"/>
                <w:szCs w:val="15"/>
              </w:rPr>
            </w:pPr>
          </w:p>
          <w:p w14:paraId="690A5130" w14:textId="77777777" w:rsidR="00120717" w:rsidRPr="00B93EE1" w:rsidRDefault="00120717" w:rsidP="00075C8B">
            <w:pPr>
              <w:tabs>
                <w:tab w:val="left" w:pos="567"/>
              </w:tabs>
              <w:jc w:val="left"/>
              <w:rPr>
                <w:rFonts w:eastAsia="Times New Roman"/>
                <w:color w:val="000000"/>
                <w:sz w:val="15"/>
                <w:szCs w:val="15"/>
              </w:rPr>
            </w:pPr>
            <w:r w:rsidRPr="00B93EE1">
              <w:rPr>
                <w:rFonts w:eastAsia="Times New Roman"/>
                <w:color w:val="000000"/>
                <w:sz w:val="15"/>
                <w:szCs w:val="15"/>
              </w:rPr>
              <w:t>Protection for data submitted in support of an application for approval of a new pharmaceutical</w:t>
            </w:r>
          </w:p>
          <w:p w14:paraId="4BD99520" w14:textId="77777777" w:rsidR="00120717" w:rsidRPr="00B93EE1" w:rsidRDefault="00120717" w:rsidP="00075C8B">
            <w:pPr>
              <w:tabs>
                <w:tab w:val="left" w:pos="567"/>
              </w:tabs>
              <w:jc w:val="left"/>
              <w:rPr>
                <w:rFonts w:eastAsia="Times New Roman"/>
                <w:color w:val="000000"/>
                <w:sz w:val="15"/>
                <w:szCs w:val="15"/>
              </w:rPr>
            </w:pPr>
          </w:p>
          <w:p w14:paraId="753ABBAC"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 xml:space="preserve">Protection for data submitted in support of an application for approval of an agricultural chemical </w:t>
            </w:r>
          </w:p>
        </w:tc>
        <w:tc>
          <w:tcPr>
            <w:tcW w:w="2977" w:type="dxa"/>
            <w:tcBorders>
              <w:top w:val="nil"/>
              <w:bottom w:val="nil"/>
            </w:tcBorders>
            <w:shd w:val="clear" w:color="auto" w:fill="C9DED4"/>
          </w:tcPr>
          <w:p w14:paraId="693EA786" w14:textId="77777777" w:rsidR="00120717" w:rsidRPr="00B93EE1" w:rsidRDefault="00120717" w:rsidP="00075C8B">
            <w:pPr>
              <w:tabs>
                <w:tab w:val="left" w:pos="567"/>
              </w:tabs>
              <w:jc w:val="left"/>
              <w:rPr>
                <w:rFonts w:eastAsia="Times New Roman"/>
                <w:color w:val="000000"/>
                <w:sz w:val="15"/>
                <w:szCs w:val="15"/>
              </w:rPr>
            </w:pPr>
          </w:p>
          <w:p w14:paraId="23ADAB34" w14:textId="77777777" w:rsidR="00120717" w:rsidRPr="00B93EE1" w:rsidRDefault="00120717" w:rsidP="00075C8B">
            <w:pPr>
              <w:tabs>
                <w:tab w:val="left" w:pos="567"/>
              </w:tabs>
              <w:jc w:val="left"/>
              <w:rPr>
                <w:rFonts w:eastAsia="Times New Roman"/>
                <w:color w:val="000000"/>
                <w:sz w:val="15"/>
                <w:szCs w:val="15"/>
              </w:rPr>
            </w:pPr>
            <w:r w:rsidRPr="00B93EE1">
              <w:rPr>
                <w:rFonts w:eastAsia="Times New Roman"/>
                <w:color w:val="000000"/>
                <w:sz w:val="15"/>
                <w:szCs w:val="15"/>
              </w:rPr>
              <w:t>5 years</w:t>
            </w:r>
          </w:p>
          <w:p w14:paraId="588DB677" w14:textId="77777777" w:rsidR="00120717" w:rsidRPr="00B93EE1" w:rsidRDefault="00120717" w:rsidP="00075C8B">
            <w:pPr>
              <w:tabs>
                <w:tab w:val="left" w:pos="567"/>
              </w:tabs>
              <w:jc w:val="left"/>
              <w:rPr>
                <w:rFonts w:eastAsia="Times New Roman"/>
                <w:color w:val="000000"/>
                <w:sz w:val="15"/>
                <w:szCs w:val="15"/>
              </w:rPr>
            </w:pPr>
          </w:p>
          <w:p w14:paraId="4F9DE57F"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10 years for innovative agricultural chemicals and 5 years for non-innovative agricultural chemicals</w:t>
            </w:r>
          </w:p>
        </w:tc>
        <w:tc>
          <w:tcPr>
            <w:tcW w:w="5953" w:type="dxa"/>
            <w:tcBorders>
              <w:top w:val="nil"/>
              <w:bottom w:val="nil"/>
            </w:tcBorders>
            <w:shd w:val="clear" w:color="auto" w:fill="C9DED4"/>
          </w:tcPr>
          <w:p w14:paraId="777A130C" w14:textId="77777777" w:rsidR="00120717" w:rsidRPr="00B93EE1" w:rsidRDefault="00120717" w:rsidP="00075C8B">
            <w:pPr>
              <w:tabs>
                <w:tab w:val="left" w:pos="567"/>
              </w:tabs>
              <w:jc w:val="left"/>
              <w:rPr>
                <w:rFonts w:eastAsia="Times New Roman"/>
                <w:color w:val="000000"/>
                <w:sz w:val="15"/>
                <w:szCs w:val="15"/>
              </w:rPr>
            </w:pPr>
          </w:p>
          <w:p w14:paraId="2139B25D" w14:textId="77777777" w:rsidR="00120717" w:rsidRPr="00B93EE1" w:rsidRDefault="00120717" w:rsidP="00075C8B">
            <w:pPr>
              <w:tabs>
                <w:tab w:val="left" w:pos="567"/>
              </w:tabs>
              <w:jc w:val="left"/>
              <w:rPr>
                <w:rFonts w:eastAsia="Times New Roman"/>
                <w:color w:val="000000"/>
                <w:sz w:val="15"/>
                <w:szCs w:val="15"/>
              </w:rPr>
            </w:pPr>
            <w:r w:rsidRPr="00B93EE1">
              <w:rPr>
                <w:rFonts w:eastAsia="Times New Roman"/>
                <w:color w:val="000000"/>
                <w:sz w:val="15"/>
                <w:szCs w:val="15"/>
              </w:rPr>
              <w:t>Data derived from information that is already in the public domain are not protected.</w:t>
            </w:r>
          </w:p>
          <w:p w14:paraId="3D7C6F21" w14:textId="77777777" w:rsidR="00120717" w:rsidRPr="00B93EE1" w:rsidRDefault="00120717" w:rsidP="00075C8B">
            <w:pPr>
              <w:tabs>
                <w:tab w:val="left" w:pos="567"/>
              </w:tabs>
              <w:jc w:val="left"/>
              <w:rPr>
                <w:rFonts w:eastAsia="Times New Roman"/>
                <w:color w:val="000000"/>
                <w:sz w:val="15"/>
                <w:szCs w:val="15"/>
              </w:rPr>
            </w:pPr>
          </w:p>
          <w:p w14:paraId="69C01A8E"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Data derived from information that is already in the public domain are not protected.</w:t>
            </w:r>
          </w:p>
        </w:tc>
      </w:tr>
      <w:tr w:rsidR="00120717" w:rsidRPr="00B93EE1" w14:paraId="1BC19A30" w14:textId="77777777" w:rsidTr="003029D5">
        <w:trPr>
          <w:cnfStyle w:val="000000010000" w:firstRow="0" w:lastRow="0" w:firstColumn="0" w:lastColumn="0" w:oddVBand="0" w:evenVBand="0" w:oddHBand="0" w:evenHBand="1" w:firstRowFirstColumn="0" w:firstRowLastColumn="0" w:lastRowFirstColumn="0" w:lastRowLastColumn="0"/>
        </w:trPr>
        <w:tc>
          <w:tcPr>
            <w:tcW w:w="13740" w:type="dxa"/>
            <w:gridSpan w:val="4"/>
            <w:tcBorders>
              <w:top w:val="nil"/>
              <w:bottom w:val="nil"/>
            </w:tcBorders>
            <w:shd w:val="clear" w:color="auto" w:fill="auto"/>
            <w:hideMark/>
          </w:tcPr>
          <w:p w14:paraId="4AEDB18F" w14:textId="77777777" w:rsidR="00120717" w:rsidRPr="00B93EE1" w:rsidRDefault="00120717" w:rsidP="00075C8B">
            <w:pPr>
              <w:tabs>
                <w:tab w:val="left" w:pos="567"/>
              </w:tabs>
              <w:jc w:val="left"/>
              <w:rPr>
                <w:rFonts w:eastAsia="Times New Roman"/>
                <w:b/>
                <w:bCs/>
                <w:sz w:val="15"/>
                <w:szCs w:val="15"/>
              </w:rPr>
            </w:pPr>
            <w:r w:rsidRPr="00B93EE1">
              <w:rPr>
                <w:rFonts w:eastAsia="Times New Roman"/>
                <w:b/>
                <w:bCs/>
                <w:color w:val="000000"/>
                <w:sz w:val="15"/>
                <w:szCs w:val="15"/>
              </w:rPr>
              <w:t>Plant variety rights</w:t>
            </w:r>
          </w:p>
        </w:tc>
      </w:tr>
      <w:tr w:rsidR="00120717" w:rsidRPr="00B93EE1" w14:paraId="6F2C472A" w14:textId="77777777" w:rsidTr="003029D5">
        <w:tc>
          <w:tcPr>
            <w:tcW w:w="1408" w:type="dxa"/>
            <w:tcBorders>
              <w:top w:val="nil"/>
              <w:bottom w:val="single" w:sz="4" w:space="0" w:color="auto"/>
            </w:tcBorders>
            <w:shd w:val="clear" w:color="auto" w:fill="C9DED4"/>
            <w:hideMark/>
          </w:tcPr>
          <w:p w14:paraId="6D44D1BE"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Plant Variety Rights Act 1987</w:t>
            </w:r>
          </w:p>
        </w:tc>
        <w:tc>
          <w:tcPr>
            <w:tcW w:w="3402" w:type="dxa"/>
            <w:tcBorders>
              <w:top w:val="nil"/>
              <w:bottom w:val="single" w:sz="4" w:space="0" w:color="auto"/>
            </w:tcBorders>
            <w:shd w:val="clear" w:color="auto" w:fill="C9DED4"/>
            <w:hideMark/>
          </w:tcPr>
          <w:p w14:paraId="042F499B"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Any plant varieties that are new, distinct, stable, and homogeneous</w:t>
            </w:r>
          </w:p>
        </w:tc>
        <w:tc>
          <w:tcPr>
            <w:tcW w:w="2977" w:type="dxa"/>
            <w:tcBorders>
              <w:top w:val="nil"/>
              <w:bottom w:val="single" w:sz="4" w:space="0" w:color="auto"/>
            </w:tcBorders>
            <w:shd w:val="clear" w:color="auto" w:fill="C9DED4"/>
            <w:hideMark/>
          </w:tcPr>
          <w:p w14:paraId="25278239"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 xml:space="preserve">20 years from the date of grant of plant variety right (23 years – woody plants and their </w:t>
            </w:r>
            <w:proofErr w:type="spellStart"/>
            <w:r w:rsidRPr="00B93EE1">
              <w:rPr>
                <w:rFonts w:eastAsia="Times New Roman"/>
                <w:color w:val="000000"/>
                <w:sz w:val="15"/>
                <w:szCs w:val="15"/>
              </w:rPr>
              <w:t>woodstock</w:t>
            </w:r>
            <w:proofErr w:type="spellEnd"/>
            <w:r w:rsidRPr="00B93EE1">
              <w:rPr>
                <w:rFonts w:eastAsia="Times New Roman"/>
                <w:color w:val="000000"/>
                <w:sz w:val="15"/>
                <w:szCs w:val="15"/>
              </w:rPr>
              <w:t>)</w:t>
            </w:r>
          </w:p>
        </w:tc>
        <w:tc>
          <w:tcPr>
            <w:tcW w:w="5953" w:type="dxa"/>
            <w:tcBorders>
              <w:top w:val="nil"/>
              <w:bottom w:val="single" w:sz="4" w:space="0" w:color="auto"/>
            </w:tcBorders>
            <w:shd w:val="clear" w:color="auto" w:fill="C9DED4"/>
            <w:hideMark/>
          </w:tcPr>
          <w:p w14:paraId="77BB800C"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Non-commercial purposes, human consumption or other non-reproductive purposes, and plant</w:t>
            </w:r>
            <w:r w:rsidRPr="00B93EE1">
              <w:rPr>
                <w:rFonts w:eastAsia="Times New Roman"/>
                <w:color w:val="000000"/>
                <w:sz w:val="15"/>
                <w:szCs w:val="15"/>
              </w:rPr>
              <w:noBreakHyphen/>
              <w:t>breeding purposes</w:t>
            </w:r>
          </w:p>
        </w:tc>
      </w:tr>
      <w:tr w:rsidR="00120717" w:rsidRPr="00B93EE1" w14:paraId="3FC811C1" w14:textId="77777777" w:rsidTr="003029D5">
        <w:trPr>
          <w:cnfStyle w:val="000000010000" w:firstRow="0" w:lastRow="0" w:firstColumn="0" w:lastColumn="0" w:oddVBand="0" w:evenVBand="0" w:oddHBand="0" w:evenHBand="1" w:firstRowFirstColumn="0" w:firstRowLastColumn="0" w:lastRowFirstColumn="0" w:lastRowLastColumn="0"/>
        </w:trPr>
        <w:tc>
          <w:tcPr>
            <w:tcW w:w="13740" w:type="dxa"/>
            <w:gridSpan w:val="4"/>
            <w:tcBorders>
              <w:top w:val="single" w:sz="4" w:space="0" w:color="auto"/>
              <w:bottom w:val="nil"/>
            </w:tcBorders>
            <w:shd w:val="clear" w:color="auto" w:fill="auto"/>
            <w:hideMark/>
          </w:tcPr>
          <w:p w14:paraId="10B30B60" w14:textId="77777777" w:rsidR="00120717" w:rsidRPr="00B93EE1" w:rsidRDefault="00120717" w:rsidP="00075C8B">
            <w:pPr>
              <w:keepNext/>
              <w:keepLines/>
              <w:tabs>
                <w:tab w:val="left" w:pos="567"/>
              </w:tabs>
              <w:jc w:val="left"/>
              <w:rPr>
                <w:rFonts w:eastAsia="Times New Roman"/>
                <w:b/>
                <w:bCs/>
                <w:sz w:val="15"/>
                <w:szCs w:val="15"/>
              </w:rPr>
            </w:pPr>
            <w:r w:rsidRPr="00B93EE1">
              <w:rPr>
                <w:rFonts w:eastAsia="Times New Roman"/>
                <w:b/>
                <w:bCs/>
                <w:color w:val="000000"/>
                <w:sz w:val="15"/>
                <w:szCs w:val="15"/>
              </w:rPr>
              <w:lastRenderedPageBreak/>
              <w:t>Industrial designs</w:t>
            </w:r>
          </w:p>
        </w:tc>
      </w:tr>
      <w:tr w:rsidR="00120717" w:rsidRPr="00B93EE1" w14:paraId="118BAFB6" w14:textId="77777777" w:rsidTr="00075C8B">
        <w:tc>
          <w:tcPr>
            <w:tcW w:w="1408" w:type="dxa"/>
            <w:tcBorders>
              <w:top w:val="nil"/>
              <w:bottom w:val="nil"/>
            </w:tcBorders>
            <w:shd w:val="clear" w:color="auto" w:fill="C9DED4"/>
            <w:hideMark/>
          </w:tcPr>
          <w:p w14:paraId="795DF592" w14:textId="77777777" w:rsidR="00120717" w:rsidRPr="00B93EE1" w:rsidRDefault="00120717" w:rsidP="00075C8B">
            <w:pPr>
              <w:keepNext/>
              <w:keepLines/>
              <w:tabs>
                <w:tab w:val="left" w:pos="567"/>
              </w:tabs>
              <w:jc w:val="left"/>
              <w:rPr>
                <w:rFonts w:eastAsia="Times New Roman"/>
                <w:sz w:val="15"/>
                <w:szCs w:val="15"/>
              </w:rPr>
            </w:pPr>
            <w:r w:rsidRPr="00B93EE1">
              <w:rPr>
                <w:rFonts w:eastAsia="Times New Roman"/>
                <w:color w:val="000000"/>
                <w:sz w:val="15"/>
                <w:szCs w:val="15"/>
              </w:rPr>
              <w:t>Designs Act 1953</w:t>
            </w:r>
          </w:p>
        </w:tc>
        <w:tc>
          <w:tcPr>
            <w:tcW w:w="3402" w:type="dxa"/>
            <w:tcBorders>
              <w:top w:val="nil"/>
              <w:bottom w:val="nil"/>
            </w:tcBorders>
            <w:shd w:val="clear" w:color="auto" w:fill="C9DED4"/>
            <w:hideMark/>
          </w:tcPr>
          <w:p w14:paraId="24A2E7CA" w14:textId="77777777" w:rsidR="00120717" w:rsidRPr="00B93EE1" w:rsidRDefault="00120717" w:rsidP="00075C8B">
            <w:pPr>
              <w:keepNext/>
              <w:keepLines/>
              <w:tabs>
                <w:tab w:val="left" w:pos="567"/>
              </w:tabs>
              <w:jc w:val="left"/>
              <w:rPr>
                <w:rFonts w:eastAsia="Times New Roman"/>
                <w:sz w:val="15"/>
                <w:szCs w:val="15"/>
              </w:rPr>
            </w:pPr>
            <w:r w:rsidRPr="00B93EE1">
              <w:rPr>
                <w:rFonts w:eastAsia="Times New Roman"/>
                <w:color w:val="000000"/>
                <w:sz w:val="15"/>
                <w:szCs w:val="15"/>
              </w:rPr>
              <w:t>Any new or original design that has not been published in New Zealand before the filing date; consists of features of shape, configuration, pattern or ornament applied to an article by any industrial process or means, being features that appeal to and are judged solely by the eye</w:t>
            </w:r>
          </w:p>
        </w:tc>
        <w:tc>
          <w:tcPr>
            <w:tcW w:w="2977" w:type="dxa"/>
            <w:tcBorders>
              <w:top w:val="nil"/>
              <w:bottom w:val="nil"/>
            </w:tcBorders>
            <w:shd w:val="clear" w:color="auto" w:fill="C9DED4"/>
            <w:hideMark/>
          </w:tcPr>
          <w:p w14:paraId="18A2ECB4" w14:textId="77777777" w:rsidR="00120717" w:rsidRPr="00B93EE1" w:rsidRDefault="00120717" w:rsidP="00075C8B">
            <w:pPr>
              <w:keepNext/>
              <w:keepLines/>
              <w:tabs>
                <w:tab w:val="left" w:pos="567"/>
              </w:tabs>
              <w:jc w:val="left"/>
              <w:rPr>
                <w:rFonts w:eastAsia="Times New Roman"/>
                <w:sz w:val="15"/>
                <w:szCs w:val="15"/>
              </w:rPr>
            </w:pPr>
            <w:r w:rsidRPr="00B93EE1">
              <w:rPr>
                <w:rFonts w:eastAsia="Times New Roman"/>
                <w:color w:val="000000"/>
                <w:sz w:val="15"/>
                <w:szCs w:val="15"/>
              </w:rPr>
              <w:t>5 years from date of registration, extendable for two further periods of 5 years</w:t>
            </w:r>
          </w:p>
        </w:tc>
        <w:tc>
          <w:tcPr>
            <w:tcW w:w="5953" w:type="dxa"/>
            <w:tcBorders>
              <w:top w:val="nil"/>
              <w:bottom w:val="nil"/>
            </w:tcBorders>
            <w:shd w:val="clear" w:color="auto" w:fill="C9DED4"/>
            <w:hideMark/>
          </w:tcPr>
          <w:p w14:paraId="3D5F7155" w14:textId="77777777" w:rsidR="00120717" w:rsidRPr="00B93EE1" w:rsidRDefault="00120717" w:rsidP="00075C8B">
            <w:pPr>
              <w:keepNext/>
              <w:keepLines/>
              <w:tabs>
                <w:tab w:val="left" w:pos="567"/>
              </w:tabs>
              <w:jc w:val="left"/>
              <w:rPr>
                <w:rFonts w:eastAsia="Times New Roman"/>
                <w:sz w:val="15"/>
                <w:szCs w:val="15"/>
              </w:rPr>
            </w:pPr>
            <w:r w:rsidRPr="00B93EE1">
              <w:rPr>
                <w:rFonts w:eastAsia="Times New Roman"/>
                <w:color w:val="000000"/>
                <w:sz w:val="15"/>
                <w:szCs w:val="15"/>
              </w:rPr>
              <w:t>Non-registrable designs: methods or principles of construction; designs that are purely functional; articles which are primarily literary or artistic in character; designs the use of which would be contrary to law or morality</w:t>
            </w:r>
          </w:p>
        </w:tc>
      </w:tr>
      <w:tr w:rsidR="00120717" w:rsidRPr="00B93EE1" w14:paraId="5EA11ED9" w14:textId="77777777" w:rsidTr="00075C8B">
        <w:trPr>
          <w:cnfStyle w:val="000000010000" w:firstRow="0" w:lastRow="0" w:firstColumn="0" w:lastColumn="0" w:oddVBand="0" w:evenVBand="0" w:oddHBand="0" w:evenHBand="1" w:firstRowFirstColumn="0" w:firstRowLastColumn="0" w:lastRowFirstColumn="0" w:lastRowLastColumn="0"/>
        </w:trPr>
        <w:tc>
          <w:tcPr>
            <w:tcW w:w="13740" w:type="dxa"/>
            <w:gridSpan w:val="4"/>
            <w:tcBorders>
              <w:top w:val="nil"/>
              <w:bottom w:val="nil"/>
            </w:tcBorders>
            <w:shd w:val="clear" w:color="auto" w:fill="auto"/>
            <w:hideMark/>
          </w:tcPr>
          <w:p w14:paraId="36E086D3" w14:textId="77777777" w:rsidR="00120717" w:rsidRPr="00B93EE1" w:rsidRDefault="00120717" w:rsidP="00075C8B">
            <w:pPr>
              <w:tabs>
                <w:tab w:val="left" w:pos="567"/>
              </w:tabs>
              <w:jc w:val="left"/>
              <w:rPr>
                <w:rFonts w:eastAsia="Times New Roman"/>
                <w:sz w:val="15"/>
                <w:szCs w:val="15"/>
              </w:rPr>
            </w:pPr>
            <w:r w:rsidRPr="00B93EE1">
              <w:rPr>
                <w:rFonts w:eastAsia="Times New Roman"/>
                <w:b/>
                <w:bCs/>
                <w:color w:val="000000"/>
                <w:sz w:val="15"/>
                <w:szCs w:val="15"/>
              </w:rPr>
              <w:t>Trademarks</w:t>
            </w:r>
          </w:p>
        </w:tc>
      </w:tr>
      <w:tr w:rsidR="00120717" w:rsidRPr="00B93EE1" w14:paraId="1FB67733" w14:textId="77777777" w:rsidTr="00075C8B">
        <w:tc>
          <w:tcPr>
            <w:tcW w:w="1408" w:type="dxa"/>
            <w:tcBorders>
              <w:top w:val="nil"/>
              <w:bottom w:val="nil"/>
            </w:tcBorders>
            <w:shd w:val="clear" w:color="auto" w:fill="C9DED4"/>
            <w:hideMark/>
          </w:tcPr>
          <w:p w14:paraId="66294EA2" w14:textId="77777777" w:rsidR="00120717" w:rsidRPr="00B93EE1" w:rsidRDefault="00120717" w:rsidP="00075C8B">
            <w:pPr>
              <w:tabs>
                <w:tab w:val="left" w:pos="567"/>
              </w:tabs>
              <w:jc w:val="left"/>
              <w:rPr>
                <w:rFonts w:eastAsia="Times New Roman" w:cs="Calibri"/>
                <w:sz w:val="15"/>
                <w:szCs w:val="15"/>
              </w:rPr>
            </w:pPr>
            <w:r w:rsidRPr="00B93EE1">
              <w:rPr>
                <w:rFonts w:eastAsia="Times New Roman"/>
                <w:color w:val="000000"/>
                <w:sz w:val="15"/>
                <w:szCs w:val="15"/>
              </w:rPr>
              <w:t>Trade Marks Act 2002</w:t>
            </w:r>
          </w:p>
        </w:tc>
        <w:tc>
          <w:tcPr>
            <w:tcW w:w="3402" w:type="dxa"/>
            <w:tcBorders>
              <w:top w:val="nil"/>
              <w:bottom w:val="nil"/>
            </w:tcBorders>
            <w:shd w:val="clear" w:color="auto" w:fill="C9DED4"/>
            <w:hideMark/>
          </w:tcPr>
          <w:p w14:paraId="59BA9AF4"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Any sign capable of being represented graphically, and distinguishing the goods or services of one person from those of another person</w:t>
            </w:r>
          </w:p>
        </w:tc>
        <w:tc>
          <w:tcPr>
            <w:tcW w:w="2977" w:type="dxa"/>
            <w:tcBorders>
              <w:top w:val="nil"/>
              <w:bottom w:val="nil"/>
            </w:tcBorders>
            <w:shd w:val="clear" w:color="auto" w:fill="C9DED4"/>
            <w:hideMark/>
          </w:tcPr>
          <w:p w14:paraId="66D77760"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10 years from date of registration, renewable in 10</w:t>
            </w:r>
            <w:r w:rsidRPr="00B93EE1">
              <w:rPr>
                <w:rFonts w:eastAsia="Times New Roman"/>
                <w:color w:val="000000"/>
                <w:sz w:val="15"/>
                <w:szCs w:val="15"/>
              </w:rPr>
              <w:noBreakHyphen/>
              <w:t>year intervals</w:t>
            </w:r>
          </w:p>
        </w:tc>
        <w:tc>
          <w:tcPr>
            <w:tcW w:w="5953" w:type="dxa"/>
            <w:tcBorders>
              <w:top w:val="nil"/>
              <w:bottom w:val="nil"/>
            </w:tcBorders>
            <w:shd w:val="clear" w:color="auto" w:fill="C9DED4"/>
            <w:hideMark/>
          </w:tcPr>
          <w:p w14:paraId="730B9DED" w14:textId="77777777" w:rsidR="00120717" w:rsidRPr="00B93EE1" w:rsidRDefault="00120717" w:rsidP="00075C8B">
            <w:pPr>
              <w:tabs>
                <w:tab w:val="left" w:pos="567"/>
              </w:tabs>
              <w:jc w:val="left"/>
              <w:rPr>
                <w:rFonts w:eastAsia="Times New Roman"/>
                <w:sz w:val="15"/>
                <w:szCs w:val="15"/>
              </w:rPr>
            </w:pPr>
            <w:r w:rsidRPr="00B93EE1">
              <w:rPr>
                <w:rFonts w:eastAsia="Times New Roman"/>
                <w:color w:val="000000"/>
                <w:sz w:val="15"/>
                <w:szCs w:val="15"/>
              </w:rPr>
              <w:t>Non-distinctive trademarks are not registrable: signs that are not trademarks; trademarks that have no distinctive character; trademarks that consist only of signs or indications that may serve, in trade, to designate the kind, quality, quantity, intended purpose, value, geographical origin, time of production of goods or of rendering of services, or other characteristics of goods or services; trademarks that consist only of signs or indications that have become customary in the current language or in the bona fide and established practices of trade; trademarks the use of which would be contrary to law or morality</w:t>
            </w:r>
          </w:p>
        </w:tc>
      </w:tr>
      <w:tr w:rsidR="00120717" w:rsidRPr="00B93EE1" w14:paraId="5CCA5195" w14:textId="77777777" w:rsidTr="003029D5">
        <w:trPr>
          <w:cnfStyle w:val="000000010000" w:firstRow="0" w:lastRow="0" w:firstColumn="0" w:lastColumn="0" w:oddVBand="0" w:evenVBand="0" w:oddHBand="0" w:evenHBand="1" w:firstRowFirstColumn="0" w:firstRowLastColumn="0" w:lastRowFirstColumn="0" w:lastRowLastColumn="0"/>
        </w:trPr>
        <w:tc>
          <w:tcPr>
            <w:tcW w:w="13740" w:type="dxa"/>
            <w:gridSpan w:val="4"/>
            <w:tcBorders>
              <w:top w:val="nil"/>
              <w:bottom w:val="nil"/>
            </w:tcBorders>
            <w:shd w:val="clear" w:color="auto" w:fill="auto"/>
            <w:hideMark/>
          </w:tcPr>
          <w:p w14:paraId="36079ACC" w14:textId="77777777" w:rsidR="00120717" w:rsidRPr="00B93EE1" w:rsidRDefault="00120717" w:rsidP="00075C8B">
            <w:pPr>
              <w:tabs>
                <w:tab w:val="left" w:pos="567"/>
              </w:tabs>
              <w:jc w:val="left"/>
              <w:rPr>
                <w:rFonts w:eastAsia="Times New Roman"/>
                <w:b/>
                <w:bCs/>
                <w:sz w:val="15"/>
                <w:szCs w:val="15"/>
              </w:rPr>
            </w:pPr>
            <w:r w:rsidRPr="00B93EE1">
              <w:rPr>
                <w:rFonts w:eastAsia="Times New Roman"/>
                <w:b/>
                <w:bCs/>
                <w:color w:val="000000"/>
                <w:sz w:val="15"/>
                <w:szCs w:val="15"/>
              </w:rPr>
              <w:t>Geographical indications</w:t>
            </w:r>
          </w:p>
        </w:tc>
      </w:tr>
      <w:tr w:rsidR="00120717" w:rsidRPr="00B93EE1" w14:paraId="22C11269" w14:textId="77777777" w:rsidTr="003029D5">
        <w:tc>
          <w:tcPr>
            <w:tcW w:w="1408" w:type="dxa"/>
            <w:tcBorders>
              <w:top w:val="nil"/>
              <w:bottom w:val="single" w:sz="4" w:space="0" w:color="auto"/>
            </w:tcBorders>
            <w:shd w:val="clear" w:color="auto" w:fill="C9DED4"/>
          </w:tcPr>
          <w:p w14:paraId="58A8BA49" w14:textId="77777777" w:rsidR="00120717" w:rsidRPr="00B93EE1" w:rsidRDefault="00120717" w:rsidP="00075C8B">
            <w:pPr>
              <w:widowControl w:val="0"/>
              <w:tabs>
                <w:tab w:val="left" w:pos="567"/>
              </w:tabs>
              <w:jc w:val="left"/>
              <w:rPr>
                <w:rFonts w:eastAsia="Times New Roman"/>
                <w:color w:val="000000"/>
                <w:sz w:val="15"/>
                <w:szCs w:val="15"/>
              </w:rPr>
            </w:pPr>
            <w:r w:rsidRPr="00B93EE1">
              <w:rPr>
                <w:rFonts w:eastAsia="Times New Roman"/>
                <w:color w:val="000000"/>
                <w:sz w:val="15"/>
                <w:szCs w:val="15"/>
              </w:rPr>
              <w:t>Geographical Indications (Wine and Spirits) Registration Act 2006</w:t>
            </w:r>
          </w:p>
          <w:p w14:paraId="5BFF77B5" w14:textId="77777777" w:rsidR="00120717" w:rsidRPr="00B93EE1" w:rsidRDefault="00120717" w:rsidP="00075C8B">
            <w:pPr>
              <w:widowControl w:val="0"/>
              <w:tabs>
                <w:tab w:val="left" w:pos="567"/>
              </w:tabs>
              <w:jc w:val="left"/>
              <w:rPr>
                <w:rFonts w:eastAsia="Times New Roman"/>
                <w:color w:val="000000"/>
                <w:sz w:val="15"/>
                <w:szCs w:val="15"/>
              </w:rPr>
            </w:pPr>
          </w:p>
          <w:p w14:paraId="72A037E3" w14:textId="77777777" w:rsidR="00120717" w:rsidRPr="00B93EE1" w:rsidRDefault="00120717" w:rsidP="00075C8B">
            <w:pPr>
              <w:widowControl w:val="0"/>
              <w:tabs>
                <w:tab w:val="left" w:pos="567"/>
              </w:tabs>
              <w:jc w:val="left"/>
              <w:rPr>
                <w:rFonts w:eastAsia="Times New Roman"/>
                <w:color w:val="000000"/>
                <w:sz w:val="15"/>
                <w:szCs w:val="15"/>
              </w:rPr>
            </w:pPr>
            <w:r w:rsidRPr="00B93EE1">
              <w:rPr>
                <w:rFonts w:eastAsia="Times New Roman"/>
                <w:color w:val="000000"/>
                <w:sz w:val="15"/>
                <w:szCs w:val="15"/>
              </w:rPr>
              <w:t>Fair Trading Act 1986</w:t>
            </w:r>
          </w:p>
          <w:p w14:paraId="078CF734" w14:textId="77777777" w:rsidR="00120717" w:rsidRPr="00B93EE1" w:rsidRDefault="00120717" w:rsidP="00075C8B">
            <w:pPr>
              <w:widowControl w:val="0"/>
              <w:tabs>
                <w:tab w:val="left" w:pos="567"/>
              </w:tabs>
              <w:jc w:val="left"/>
              <w:rPr>
                <w:rFonts w:eastAsia="Times New Roman"/>
                <w:color w:val="000000"/>
                <w:sz w:val="15"/>
                <w:szCs w:val="15"/>
              </w:rPr>
            </w:pPr>
          </w:p>
          <w:p w14:paraId="45F4438E" w14:textId="77777777" w:rsidR="00120717" w:rsidRPr="00B93EE1" w:rsidRDefault="00120717" w:rsidP="00075C8B">
            <w:pPr>
              <w:widowControl w:val="0"/>
              <w:tabs>
                <w:tab w:val="left" w:pos="567"/>
              </w:tabs>
              <w:jc w:val="left"/>
              <w:rPr>
                <w:rFonts w:eastAsia="Times New Roman"/>
                <w:color w:val="000000"/>
                <w:sz w:val="15"/>
                <w:szCs w:val="15"/>
              </w:rPr>
            </w:pPr>
            <w:r w:rsidRPr="00B93EE1">
              <w:rPr>
                <w:rFonts w:eastAsia="Times New Roman"/>
                <w:color w:val="000000"/>
                <w:sz w:val="15"/>
                <w:szCs w:val="15"/>
              </w:rPr>
              <w:t>Trade Marks Act 2002</w:t>
            </w:r>
          </w:p>
        </w:tc>
        <w:tc>
          <w:tcPr>
            <w:tcW w:w="3402" w:type="dxa"/>
            <w:tcBorders>
              <w:top w:val="nil"/>
              <w:bottom w:val="single" w:sz="4" w:space="0" w:color="auto"/>
            </w:tcBorders>
            <w:shd w:val="clear" w:color="auto" w:fill="C9DED4"/>
            <w:hideMark/>
          </w:tcPr>
          <w:p w14:paraId="46D08B3B" w14:textId="77777777" w:rsidR="00120717" w:rsidRPr="00B93EE1" w:rsidRDefault="00120717" w:rsidP="00075C8B">
            <w:pPr>
              <w:widowControl w:val="0"/>
              <w:tabs>
                <w:tab w:val="left" w:pos="567"/>
              </w:tabs>
              <w:jc w:val="left"/>
              <w:rPr>
                <w:rFonts w:eastAsia="Times New Roman"/>
                <w:sz w:val="15"/>
                <w:szCs w:val="15"/>
              </w:rPr>
            </w:pPr>
            <w:r w:rsidRPr="00B93EE1">
              <w:rPr>
                <w:rFonts w:eastAsia="Times New Roman"/>
                <w:sz w:val="15"/>
                <w:szCs w:val="15"/>
              </w:rPr>
              <w:t xml:space="preserve">Indications that identify a product as originating from a particular territory, region or locality where a given quality, reputation or other characteristic is essentially attributable to its geographical origin </w:t>
            </w:r>
          </w:p>
        </w:tc>
        <w:tc>
          <w:tcPr>
            <w:tcW w:w="2977" w:type="dxa"/>
            <w:tcBorders>
              <w:top w:val="nil"/>
              <w:bottom w:val="single" w:sz="4" w:space="0" w:color="auto"/>
            </w:tcBorders>
            <w:shd w:val="clear" w:color="auto" w:fill="C9DED4"/>
          </w:tcPr>
          <w:p w14:paraId="497A3ECF" w14:textId="77777777" w:rsidR="00120717" w:rsidRPr="00B93EE1" w:rsidRDefault="00120717" w:rsidP="00075C8B">
            <w:pPr>
              <w:widowControl w:val="0"/>
              <w:tabs>
                <w:tab w:val="left" w:pos="567"/>
              </w:tabs>
              <w:jc w:val="left"/>
              <w:rPr>
                <w:rFonts w:eastAsia="Times New Roman"/>
                <w:sz w:val="15"/>
                <w:szCs w:val="15"/>
              </w:rPr>
            </w:pPr>
            <w:r w:rsidRPr="00B93EE1">
              <w:rPr>
                <w:rFonts w:eastAsia="Times New Roman"/>
                <w:sz w:val="15"/>
                <w:szCs w:val="15"/>
              </w:rPr>
              <w:t>Geographical Indications (Wine and Spirits) Registration Act</w:t>
            </w:r>
          </w:p>
          <w:p w14:paraId="71C86602" w14:textId="77777777" w:rsidR="00120717" w:rsidRPr="00B93EE1" w:rsidRDefault="00120717" w:rsidP="00075C8B">
            <w:pPr>
              <w:widowControl w:val="0"/>
              <w:tabs>
                <w:tab w:val="left" w:pos="567"/>
              </w:tabs>
              <w:jc w:val="left"/>
              <w:rPr>
                <w:rFonts w:eastAsia="Times New Roman"/>
                <w:sz w:val="15"/>
                <w:szCs w:val="15"/>
              </w:rPr>
            </w:pPr>
            <w:r w:rsidRPr="00B93EE1">
              <w:rPr>
                <w:rFonts w:eastAsia="Times New Roman"/>
                <w:sz w:val="15"/>
                <w:szCs w:val="15"/>
              </w:rPr>
              <w:t>5 years, thereafter renewal for further periods of 10 years indefinitely</w:t>
            </w:r>
          </w:p>
          <w:p w14:paraId="2FFE60A0" w14:textId="77777777" w:rsidR="00120717" w:rsidRPr="00B93EE1" w:rsidRDefault="00120717" w:rsidP="00075C8B">
            <w:pPr>
              <w:widowControl w:val="0"/>
              <w:tabs>
                <w:tab w:val="left" w:pos="567"/>
              </w:tabs>
              <w:jc w:val="left"/>
              <w:rPr>
                <w:rFonts w:eastAsia="Times New Roman"/>
                <w:sz w:val="15"/>
                <w:szCs w:val="15"/>
              </w:rPr>
            </w:pPr>
          </w:p>
          <w:p w14:paraId="4CCDA461" w14:textId="77777777" w:rsidR="00120717" w:rsidRPr="00B93EE1" w:rsidRDefault="00120717" w:rsidP="00075C8B">
            <w:pPr>
              <w:widowControl w:val="0"/>
              <w:tabs>
                <w:tab w:val="left" w:pos="567"/>
              </w:tabs>
              <w:jc w:val="left"/>
              <w:rPr>
                <w:rFonts w:eastAsia="Times New Roman"/>
                <w:sz w:val="15"/>
                <w:szCs w:val="15"/>
              </w:rPr>
            </w:pPr>
            <w:r w:rsidRPr="00B93EE1">
              <w:rPr>
                <w:rFonts w:eastAsia="Times New Roman"/>
                <w:sz w:val="15"/>
                <w:szCs w:val="15"/>
              </w:rPr>
              <w:t>Fair Trading Act</w:t>
            </w:r>
          </w:p>
          <w:p w14:paraId="0827F74E" w14:textId="77777777" w:rsidR="00120717" w:rsidRPr="00B93EE1" w:rsidRDefault="00120717" w:rsidP="00075C8B">
            <w:pPr>
              <w:widowControl w:val="0"/>
              <w:tabs>
                <w:tab w:val="left" w:pos="567"/>
              </w:tabs>
              <w:jc w:val="left"/>
              <w:rPr>
                <w:rFonts w:eastAsia="Times New Roman"/>
                <w:sz w:val="15"/>
                <w:szCs w:val="15"/>
              </w:rPr>
            </w:pPr>
            <w:r w:rsidRPr="00B93EE1">
              <w:rPr>
                <w:rFonts w:eastAsia="Times New Roman"/>
                <w:sz w:val="15"/>
                <w:szCs w:val="15"/>
              </w:rPr>
              <w:t>Enduring so long as it continues to be used.</w:t>
            </w:r>
          </w:p>
          <w:p w14:paraId="00472B8E" w14:textId="77777777" w:rsidR="00120717" w:rsidRPr="00B93EE1" w:rsidRDefault="00120717" w:rsidP="00075C8B">
            <w:pPr>
              <w:widowControl w:val="0"/>
              <w:tabs>
                <w:tab w:val="left" w:pos="567"/>
              </w:tabs>
              <w:jc w:val="left"/>
              <w:rPr>
                <w:rFonts w:eastAsia="Times New Roman"/>
                <w:sz w:val="15"/>
                <w:szCs w:val="15"/>
              </w:rPr>
            </w:pPr>
          </w:p>
          <w:p w14:paraId="455E8D40" w14:textId="77777777" w:rsidR="00120717" w:rsidRPr="00B93EE1" w:rsidRDefault="00120717" w:rsidP="00075C8B">
            <w:pPr>
              <w:widowControl w:val="0"/>
              <w:tabs>
                <w:tab w:val="left" w:pos="567"/>
              </w:tabs>
              <w:jc w:val="left"/>
              <w:rPr>
                <w:rFonts w:eastAsia="Times New Roman"/>
                <w:sz w:val="15"/>
                <w:szCs w:val="15"/>
              </w:rPr>
            </w:pPr>
            <w:r w:rsidRPr="00B93EE1">
              <w:rPr>
                <w:rFonts w:eastAsia="Times New Roman"/>
                <w:sz w:val="15"/>
                <w:szCs w:val="15"/>
              </w:rPr>
              <w:t>Trade Marks Act 2002</w:t>
            </w:r>
          </w:p>
          <w:p w14:paraId="575D9F99" w14:textId="77777777" w:rsidR="00120717" w:rsidRPr="00B93EE1" w:rsidRDefault="00120717" w:rsidP="00075C8B">
            <w:pPr>
              <w:widowControl w:val="0"/>
              <w:tabs>
                <w:tab w:val="left" w:pos="567"/>
              </w:tabs>
              <w:jc w:val="left"/>
              <w:rPr>
                <w:rFonts w:eastAsia="Times New Roman"/>
                <w:sz w:val="15"/>
                <w:szCs w:val="15"/>
              </w:rPr>
            </w:pPr>
            <w:r w:rsidRPr="00B93EE1">
              <w:rPr>
                <w:rFonts w:eastAsia="Times New Roman"/>
                <w:sz w:val="15"/>
                <w:szCs w:val="15"/>
              </w:rPr>
              <w:t xml:space="preserve">10 years, thereafter renewal for further periods of 10 years indefinitely </w:t>
            </w:r>
          </w:p>
        </w:tc>
        <w:tc>
          <w:tcPr>
            <w:tcW w:w="5953" w:type="dxa"/>
            <w:tcBorders>
              <w:top w:val="nil"/>
              <w:bottom w:val="single" w:sz="4" w:space="0" w:color="auto"/>
            </w:tcBorders>
            <w:shd w:val="clear" w:color="auto" w:fill="C9DED4"/>
            <w:hideMark/>
          </w:tcPr>
          <w:p w14:paraId="3DC0A685" w14:textId="77777777" w:rsidR="00120717" w:rsidRPr="00B93EE1" w:rsidRDefault="00120717" w:rsidP="00075C8B">
            <w:pPr>
              <w:widowControl w:val="0"/>
              <w:tabs>
                <w:tab w:val="left" w:pos="567"/>
              </w:tabs>
              <w:jc w:val="left"/>
              <w:rPr>
                <w:rFonts w:eastAsia="Times New Roman" w:cs="Calibri"/>
                <w:sz w:val="15"/>
                <w:szCs w:val="15"/>
              </w:rPr>
            </w:pPr>
            <w:r w:rsidRPr="00B93EE1">
              <w:rPr>
                <w:rFonts w:eastAsia="Times New Roman"/>
                <w:color w:val="000000"/>
                <w:sz w:val="15"/>
                <w:szCs w:val="15"/>
              </w:rPr>
              <w:t>Common descriptive names of products and names of plant varieties and animal names excluded from protection/registration; use of person's name in business not an infringement</w:t>
            </w:r>
          </w:p>
        </w:tc>
      </w:tr>
      <w:tr w:rsidR="00120717" w:rsidRPr="00B93EE1" w14:paraId="72E1CBBE" w14:textId="77777777" w:rsidTr="003029D5">
        <w:trPr>
          <w:cnfStyle w:val="000000010000" w:firstRow="0" w:lastRow="0" w:firstColumn="0" w:lastColumn="0" w:oddVBand="0" w:evenVBand="0" w:oddHBand="0" w:evenHBand="1" w:firstRowFirstColumn="0" w:firstRowLastColumn="0" w:lastRowFirstColumn="0" w:lastRowLastColumn="0"/>
        </w:trPr>
        <w:tc>
          <w:tcPr>
            <w:tcW w:w="13740" w:type="dxa"/>
            <w:gridSpan w:val="4"/>
            <w:tcBorders>
              <w:top w:val="single" w:sz="4" w:space="0" w:color="auto"/>
              <w:bottom w:val="nil"/>
            </w:tcBorders>
            <w:shd w:val="clear" w:color="auto" w:fill="auto"/>
            <w:hideMark/>
          </w:tcPr>
          <w:p w14:paraId="63EC14AB" w14:textId="77777777" w:rsidR="00120717" w:rsidRPr="00B93EE1" w:rsidRDefault="00120717" w:rsidP="00075C8B">
            <w:pPr>
              <w:keepNext/>
              <w:widowControl w:val="0"/>
              <w:tabs>
                <w:tab w:val="left" w:pos="567"/>
              </w:tabs>
              <w:jc w:val="left"/>
              <w:rPr>
                <w:rFonts w:eastAsia="Times New Roman"/>
                <w:b/>
                <w:bCs/>
                <w:sz w:val="15"/>
                <w:szCs w:val="15"/>
              </w:rPr>
            </w:pPr>
            <w:r w:rsidRPr="00B93EE1">
              <w:rPr>
                <w:rFonts w:eastAsia="Times New Roman"/>
                <w:b/>
                <w:bCs/>
                <w:color w:val="000000"/>
                <w:sz w:val="15"/>
                <w:szCs w:val="15"/>
              </w:rPr>
              <w:lastRenderedPageBreak/>
              <w:t>Copyrights and related rights</w:t>
            </w:r>
          </w:p>
        </w:tc>
      </w:tr>
      <w:tr w:rsidR="00120717" w:rsidRPr="00B93EE1" w14:paraId="3154B761" w14:textId="77777777" w:rsidTr="00075C8B">
        <w:tc>
          <w:tcPr>
            <w:tcW w:w="1408" w:type="dxa"/>
            <w:tcBorders>
              <w:top w:val="nil"/>
              <w:bottom w:val="nil"/>
            </w:tcBorders>
            <w:shd w:val="clear" w:color="auto" w:fill="C9DED4"/>
            <w:hideMark/>
          </w:tcPr>
          <w:p w14:paraId="5B52403E" w14:textId="77777777" w:rsidR="00120717" w:rsidRPr="00B93EE1" w:rsidRDefault="00120717" w:rsidP="00075C8B">
            <w:pPr>
              <w:keepNext/>
              <w:widowControl w:val="0"/>
              <w:tabs>
                <w:tab w:val="left" w:pos="567"/>
              </w:tabs>
              <w:jc w:val="left"/>
              <w:rPr>
                <w:rFonts w:eastAsia="Times New Roman"/>
                <w:sz w:val="15"/>
                <w:szCs w:val="15"/>
              </w:rPr>
            </w:pPr>
            <w:r w:rsidRPr="00B93EE1">
              <w:rPr>
                <w:rFonts w:eastAsia="Times New Roman"/>
                <w:color w:val="000000"/>
                <w:sz w:val="15"/>
                <w:szCs w:val="15"/>
              </w:rPr>
              <w:t>Copyright Act 1994</w:t>
            </w:r>
          </w:p>
        </w:tc>
        <w:tc>
          <w:tcPr>
            <w:tcW w:w="3402" w:type="dxa"/>
            <w:tcBorders>
              <w:top w:val="nil"/>
              <w:bottom w:val="nil"/>
            </w:tcBorders>
            <w:shd w:val="clear" w:color="auto" w:fill="C9DED4"/>
            <w:hideMark/>
          </w:tcPr>
          <w:p w14:paraId="7D776D0D" w14:textId="77777777" w:rsidR="00120717" w:rsidRPr="00B93EE1" w:rsidRDefault="00120717" w:rsidP="00075C8B">
            <w:pPr>
              <w:keepNext/>
              <w:widowControl w:val="0"/>
              <w:tabs>
                <w:tab w:val="left" w:pos="567"/>
              </w:tabs>
              <w:jc w:val="left"/>
              <w:rPr>
                <w:rFonts w:eastAsia="Times New Roman"/>
                <w:sz w:val="15"/>
                <w:szCs w:val="15"/>
              </w:rPr>
            </w:pPr>
            <w:r w:rsidRPr="00B93EE1">
              <w:rPr>
                <w:rFonts w:eastAsia="Times New Roman"/>
                <w:color w:val="000000"/>
                <w:sz w:val="15"/>
                <w:szCs w:val="15"/>
              </w:rPr>
              <w:t>Original literary, dramatic, musical, or artistic works; sound recordings; films; communication works; typographical arrangements of published editions</w:t>
            </w:r>
          </w:p>
        </w:tc>
        <w:tc>
          <w:tcPr>
            <w:tcW w:w="2977" w:type="dxa"/>
            <w:tcBorders>
              <w:top w:val="nil"/>
              <w:bottom w:val="nil"/>
            </w:tcBorders>
            <w:shd w:val="clear" w:color="auto" w:fill="C9DED4"/>
          </w:tcPr>
          <w:p w14:paraId="699F8674" w14:textId="77777777" w:rsidR="00120717" w:rsidRPr="00B93EE1" w:rsidRDefault="00120717" w:rsidP="00075C8B">
            <w:pPr>
              <w:keepNext/>
              <w:widowControl w:val="0"/>
              <w:tabs>
                <w:tab w:val="left" w:pos="567"/>
              </w:tabs>
              <w:jc w:val="left"/>
              <w:rPr>
                <w:rFonts w:eastAsia="Times New Roman"/>
                <w:sz w:val="15"/>
                <w:szCs w:val="15"/>
              </w:rPr>
            </w:pPr>
            <w:r w:rsidRPr="00B93EE1">
              <w:rPr>
                <w:rFonts w:eastAsia="Times New Roman"/>
                <w:color w:val="000000"/>
                <w:sz w:val="15"/>
                <w:szCs w:val="15"/>
              </w:rPr>
              <w:t>Literary, dramatic, musical, or artistic work: author's life and 50 years from end of calendar year in which the author dies.</w:t>
            </w:r>
          </w:p>
          <w:p w14:paraId="27F5FE5D" w14:textId="77777777" w:rsidR="00120717" w:rsidRPr="00B93EE1" w:rsidRDefault="00120717" w:rsidP="00075C8B">
            <w:pPr>
              <w:keepNext/>
              <w:widowControl w:val="0"/>
              <w:tabs>
                <w:tab w:val="left" w:pos="567"/>
              </w:tabs>
              <w:jc w:val="left"/>
              <w:rPr>
                <w:rFonts w:eastAsia="Times New Roman"/>
                <w:sz w:val="15"/>
                <w:szCs w:val="15"/>
              </w:rPr>
            </w:pPr>
            <w:r w:rsidRPr="00B93EE1">
              <w:rPr>
                <w:rFonts w:eastAsia="Times New Roman"/>
                <w:color w:val="000000"/>
                <w:sz w:val="15"/>
                <w:szCs w:val="15"/>
              </w:rPr>
              <w:t>Computer-generated works: 50 years from end of calendar year in which work is made.</w:t>
            </w:r>
          </w:p>
          <w:p w14:paraId="232BF0AE" w14:textId="77777777" w:rsidR="00120717" w:rsidRPr="00B93EE1" w:rsidRDefault="00120717" w:rsidP="00075C8B">
            <w:pPr>
              <w:keepNext/>
              <w:widowControl w:val="0"/>
              <w:tabs>
                <w:tab w:val="left" w:pos="567"/>
              </w:tabs>
              <w:jc w:val="left"/>
              <w:rPr>
                <w:rFonts w:eastAsia="Times New Roman"/>
                <w:color w:val="000000"/>
                <w:sz w:val="15"/>
                <w:szCs w:val="15"/>
              </w:rPr>
            </w:pPr>
            <w:r w:rsidRPr="00B93EE1">
              <w:rPr>
                <w:rFonts w:eastAsia="Times New Roman"/>
                <w:color w:val="000000"/>
                <w:sz w:val="15"/>
                <w:szCs w:val="15"/>
              </w:rPr>
              <w:t>Sound recording or film: 50 years from end of calendar year in which work is made or made available to public by authorized act, whichever is later.</w:t>
            </w:r>
          </w:p>
          <w:p w14:paraId="67BD1435" w14:textId="77777777" w:rsidR="00120717" w:rsidRPr="00B93EE1" w:rsidRDefault="00120717" w:rsidP="00075C8B">
            <w:pPr>
              <w:keepNext/>
              <w:widowControl w:val="0"/>
              <w:tabs>
                <w:tab w:val="left" w:pos="567"/>
              </w:tabs>
              <w:jc w:val="left"/>
              <w:rPr>
                <w:rFonts w:eastAsia="Times New Roman"/>
                <w:color w:val="000000"/>
                <w:sz w:val="15"/>
                <w:szCs w:val="15"/>
              </w:rPr>
            </w:pPr>
            <w:r w:rsidRPr="00B93EE1">
              <w:rPr>
                <w:rFonts w:eastAsia="Times New Roman"/>
                <w:color w:val="000000"/>
                <w:sz w:val="15"/>
                <w:szCs w:val="15"/>
              </w:rPr>
              <w:t>Communication work: 50 years from end of calendar year in which is first communicated to public.</w:t>
            </w:r>
          </w:p>
          <w:p w14:paraId="5BBD1CA7" w14:textId="77777777" w:rsidR="00120717" w:rsidRPr="00B93EE1" w:rsidRDefault="00120717" w:rsidP="00075C8B">
            <w:pPr>
              <w:keepNext/>
              <w:widowControl w:val="0"/>
              <w:tabs>
                <w:tab w:val="left" w:pos="567"/>
              </w:tabs>
              <w:jc w:val="left"/>
              <w:rPr>
                <w:rFonts w:eastAsia="Times New Roman"/>
                <w:color w:val="000000"/>
                <w:sz w:val="15"/>
                <w:szCs w:val="15"/>
              </w:rPr>
            </w:pPr>
            <w:r w:rsidRPr="00B93EE1">
              <w:rPr>
                <w:rFonts w:eastAsia="Times New Roman"/>
                <w:color w:val="000000"/>
                <w:sz w:val="15"/>
                <w:szCs w:val="15"/>
              </w:rPr>
              <w:t>Typographical arrangement of a published edition – 25 years from end of calendar year in which edition is first published.</w:t>
            </w:r>
          </w:p>
          <w:p w14:paraId="010125FD" w14:textId="77777777" w:rsidR="00120717" w:rsidRPr="00B93EE1" w:rsidRDefault="00120717" w:rsidP="00075C8B">
            <w:pPr>
              <w:keepNext/>
              <w:widowControl w:val="0"/>
              <w:tabs>
                <w:tab w:val="left" w:pos="567"/>
              </w:tabs>
              <w:jc w:val="left"/>
              <w:rPr>
                <w:rFonts w:eastAsia="Times New Roman"/>
                <w:sz w:val="15"/>
                <w:szCs w:val="15"/>
              </w:rPr>
            </w:pPr>
            <w:r w:rsidRPr="00B93EE1">
              <w:rPr>
                <w:rFonts w:eastAsia="Times New Roman"/>
                <w:color w:val="000000"/>
                <w:sz w:val="15"/>
                <w:szCs w:val="15"/>
              </w:rPr>
              <w:t>Crown copyright – 100 years from end of calendar year in which work is made.</w:t>
            </w:r>
          </w:p>
          <w:p w14:paraId="241AFCEE" w14:textId="77777777" w:rsidR="00120717" w:rsidRPr="00B93EE1" w:rsidRDefault="00120717" w:rsidP="00075C8B">
            <w:pPr>
              <w:keepNext/>
              <w:widowControl w:val="0"/>
              <w:tabs>
                <w:tab w:val="left" w:pos="567"/>
              </w:tabs>
              <w:jc w:val="left"/>
              <w:rPr>
                <w:rFonts w:eastAsia="Times New Roman"/>
                <w:color w:val="000000"/>
                <w:sz w:val="15"/>
                <w:szCs w:val="15"/>
              </w:rPr>
            </w:pPr>
            <w:r w:rsidRPr="00B93EE1">
              <w:rPr>
                <w:rFonts w:eastAsia="Times New Roman"/>
                <w:color w:val="000000"/>
                <w:sz w:val="15"/>
                <w:szCs w:val="15"/>
              </w:rPr>
              <w:t>Artistic works industrially applied: 16 years from when work is applied.</w:t>
            </w:r>
          </w:p>
          <w:p w14:paraId="3A65FBC5" w14:textId="77777777" w:rsidR="00120717" w:rsidRPr="00B93EE1" w:rsidRDefault="00120717" w:rsidP="00075C8B">
            <w:pPr>
              <w:keepNext/>
              <w:widowControl w:val="0"/>
              <w:tabs>
                <w:tab w:val="left" w:pos="567"/>
              </w:tabs>
              <w:jc w:val="left"/>
              <w:rPr>
                <w:rFonts w:eastAsia="Times New Roman"/>
                <w:color w:val="000000"/>
                <w:sz w:val="15"/>
                <w:szCs w:val="15"/>
              </w:rPr>
            </w:pPr>
            <w:r w:rsidRPr="00B93EE1">
              <w:rPr>
                <w:rFonts w:eastAsia="Times New Roman"/>
                <w:color w:val="000000"/>
                <w:sz w:val="15"/>
                <w:szCs w:val="15"/>
              </w:rPr>
              <w:t>Artistic craftsmanship industrially applied: 25 years from when work is applied.</w:t>
            </w:r>
          </w:p>
          <w:p w14:paraId="75789A94" w14:textId="77777777" w:rsidR="00120717" w:rsidRPr="00B93EE1" w:rsidRDefault="00120717" w:rsidP="00075C8B">
            <w:pPr>
              <w:keepNext/>
              <w:widowControl w:val="0"/>
              <w:tabs>
                <w:tab w:val="left" w:pos="567"/>
              </w:tabs>
              <w:jc w:val="left"/>
              <w:rPr>
                <w:rFonts w:eastAsia="Times New Roman"/>
                <w:color w:val="000000"/>
                <w:sz w:val="15"/>
                <w:szCs w:val="15"/>
              </w:rPr>
            </w:pPr>
            <w:r w:rsidRPr="00B93EE1">
              <w:rPr>
                <w:rFonts w:eastAsia="Times New Roman"/>
                <w:color w:val="000000"/>
                <w:sz w:val="15"/>
                <w:szCs w:val="15"/>
              </w:rPr>
              <w:t>Performance: 50 years from end of calendar year in which performance takes place.</w:t>
            </w:r>
          </w:p>
          <w:p w14:paraId="2ECF1867" w14:textId="77777777" w:rsidR="00120717" w:rsidRPr="00B93EE1" w:rsidRDefault="00120717" w:rsidP="00075C8B">
            <w:pPr>
              <w:keepNext/>
              <w:widowControl w:val="0"/>
              <w:tabs>
                <w:tab w:val="left" w:pos="567"/>
              </w:tabs>
              <w:jc w:val="left"/>
              <w:rPr>
                <w:rFonts w:eastAsia="Times New Roman"/>
                <w:color w:val="000000"/>
                <w:sz w:val="15"/>
                <w:szCs w:val="15"/>
              </w:rPr>
            </w:pPr>
            <w:r w:rsidRPr="00B93EE1">
              <w:rPr>
                <w:rFonts w:eastAsia="Times New Roman"/>
                <w:color w:val="000000"/>
                <w:sz w:val="15"/>
                <w:szCs w:val="15"/>
              </w:rPr>
              <w:t>Moral rights are not assignable.</w:t>
            </w:r>
          </w:p>
        </w:tc>
        <w:tc>
          <w:tcPr>
            <w:tcW w:w="5953" w:type="dxa"/>
            <w:tcBorders>
              <w:top w:val="nil"/>
              <w:bottom w:val="nil"/>
            </w:tcBorders>
            <w:shd w:val="clear" w:color="auto" w:fill="C9DED4"/>
            <w:hideMark/>
          </w:tcPr>
          <w:p w14:paraId="59E7EBFA" w14:textId="77777777" w:rsidR="00120717" w:rsidRPr="00B93EE1" w:rsidRDefault="00120717" w:rsidP="00075C8B">
            <w:pPr>
              <w:keepNext/>
              <w:widowControl w:val="0"/>
              <w:tabs>
                <w:tab w:val="left" w:pos="567"/>
              </w:tabs>
              <w:jc w:val="left"/>
              <w:rPr>
                <w:rFonts w:eastAsia="Times New Roman"/>
                <w:sz w:val="15"/>
                <w:szCs w:val="15"/>
              </w:rPr>
            </w:pPr>
            <w:r w:rsidRPr="00B93EE1">
              <w:rPr>
                <w:rFonts w:eastAsia="Times New Roman"/>
                <w:color w:val="000000"/>
                <w:sz w:val="15"/>
                <w:szCs w:val="15"/>
              </w:rPr>
              <w:t xml:space="preserve">Copyright in a work is not infringed by, </w:t>
            </w:r>
            <w:r w:rsidRPr="00B93EE1">
              <w:rPr>
                <w:rFonts w:eastAsia="Times New Roman"/>
                <w:i/>
                <w:iCs/>
                <w:color w:val="000000"/>
                <w:sz w:val="15"/>
                <w:szCs w:val="15"/>
              </w:rPr>
              <w:t>inter alia</w:t>
            </w:r>
            <w:r w:rsidRPr="00B93EE1">
              <w:rPr>
                <w:rFonts w:eastAsia="Times New Roman"/>
                <w:color w:val="000000"/>
                <w:sz w:val="15"/>
                <w:szCs w:val="15"/>
              </w:rPr>
              <w:t>: incidental copying of the work in artistic work, sound recording, film or communication work; fair dealing with a work for the purposes of criticism, review, and news reporting; fair dealing with a work for the purposes of research or private study; transient reproduction of work; copying for educational purposes; copying by librarians of parts of published works and articles in periodicals; communication of an archived work in accordance with Section 29C of the Television New Zealand Act 2003; anything done for the purposes of parliamentary or judicial proceedings or reporting them.</w:t>
            </w:r>
          </w:p>
        </w:tc>
      </w:tr>
      <w:tr w:rsidR="00120717" w:rsidRPr="00B93EE1" w14:paraId="516DD84E" w14:textId="77777777" w:rsidTr="00075C8B">
        <w:trPr>
          <w:cnfStyle w:val="000000010000" w:firstRow="0" w:lastRow="0" w:firstColumn="0" w:lastColumn="0" w:oddVBand="0" w:evenVBand="0" w:oddHBand="0" w:evenHBand="1" w:firstRowFirstColumn="0" w:firstRowLastColumn="0" w:lastRowFirstColumn="0" w:lastRowLastColumn="0"/>
        </w:trPr>
        <w:tc>
          <w:tcPr>
            <w:tcW w:w="13740" w:type="dxa"/>
            <w:gridSpan w:val="4"/>
            <w:tcBorders>
              <w:top w:val="nil"/>
              <w:bottom w:val="nil"/>
            </w:tcBorders>
            <w:shd w:val="clear" w:color="auto" w:fill="auto"/>
            <w:hideMark/>
          </w:tcPr>
          <w:p w14:paraId="1A0BCAC0" w14:textId="77777777" w:rsidR="00120717" w:rsidRPr="00B93EE1" w:rsidRDefault="00120717" w:rsidP="00075C8B">
            <w:pPr>
              <w:keepNext/>
              <w:keepLines/>
              <w:tabs>
                <w:tab w:val="left" w:pos="567"/>
              </w:tabs>
              <w:jc w:val="left"/>
              <w:rPr>
                <w:rFonts w:eastAsia="Times New Roman"/>
                <w:b/>
                <w:bCs/>
                <w:sz w:val="15"/>
                <w:szCs w:val="15"/>
              </w:rPr>
            </w:pPr>
            <w:r w:rsidRPr="00B93EE1">
              <w:rPr>
                <w:rFonts w:eastAsia="Times New Roman"/>
                <w:b/>
                <w:bCs/>
                <w:color w:val="000000"/>
                <w:sz w:val="15"/>
                <w:szCs w:val="15"/>
              </w:rPr>
              <w:t>Layout designs (topographies) of integrated circuits</w:t>
            </w:r>
          </w:p>
        </w:tc>
      </w:tr>
      <w:tr w:rsidR="00120717" w:rsidRPr="00B93EE1" w14:paraId="737865E6" w14:textId="77777777" w:rsidTr="00075C8B">
        <w:tc>
          <w:tcPr>
            <w:tcW w:w="1408" w:type="dxa"/>
            <w:tcBorders>
              <w:top w:val="nil"/>
              <w:bottom w:val="single" w:sz="4" w:space="0" w:color="auto"/>
            </w:tcBorders>
            <w:shd w:val="clear" w:color="auto" w:fill="C9DED4"/>
            <w:hideMark/>
          </w:tcPr>
          <w:p w14:paraId="7E0FF6C8" w14:textId="77777777" w:rsidR="00120717" w:rsidRPr="00B93EE1" w:rsidRDefault="00120717" w:rsidP="00075C8B">
            <w:pPr>
              <w:keepNext/>
              <w:keepLines/>
              <w:tabs>
                <w:tab w:val="left" w:pos="567"/>
              </w:tabs>
              <w:jc w:val="left"/>
              <w:rPr>
                <w:rFonts w:eastAsia="Times New Roman"/>
                <w:sz w:val="15"/>
                <w:szCs w:val="15"/>
              </w:rPr>
            </w:pPr>
            <w:r w:rsidRPr="00B93EE1">
              <w:rPr>
                <w:rFonts w:eastAsia="Times New Roman"/>
                <w:color w:val="000000"/>
                <w:sz w:val="15"/>
                <w:szCs w:val="15"/>
              </w:rPr>
              <w:t>Layout Designs Act 1994</w:t>
            </w:r>
          </w:p>
        </w:tc>
        <w:tc>
          <w:tcPr>
            <w:tcW w:w="3402" w:type="dxa"/>
            <w:tcBorders>
              <w:top w:val="nil"/>
              <w:bottom w:val="single" w:sz="4" w:space="0" w:color="auto"/>
            </w:tcBorders>
            <w:shd w:val="clear" w:color="auto" w:fill="C9DED4"/>
            <w:hideMark/>
          </w:tcPr>
          <w:p w14:paraId="457B5DAD" w14:textId="77777777" w:rsidR="00120717" w:rsidRPr="00B93EE1" w:rsidRDefault="00120717" w:rsidP="00075C8B">
            <w:pPr>
              <w:keepNext/>
              <w:keepLines/>
              <w:tabs>
                <w:tab w:val="left" w:pos="567"/>
              </w:tabs>
              <w:jc w:val="left"/>
              <w:rPr>
                <w:rFonts w:eastAsia="Times New Roman"/>
                <w:sz w:val="15"/>
                <w:szCs w:val="15"/>
              </w:rPr>
            </w:pPr>
            <w:r w:rsidRPr="00B93EE1">
              <w:rPr>
                <w:rFonts w:eastAsia="Times New Roman"/>
                <w:color w:val="000000"/>
                <w:sz w:val="15"/>
                <w:szCs w:val="15"/>
              </w:rPr>
              <w:t>Any original three-dimensional disposition, however expressed, of the elements, at least one of which is an active element, and of some or all of the interconnections, of an integrated circuit; and includes such a three-dimensional disposition prepared for an integrated circuit intended for manufacture</w:t>
            </w:r>
          </w:p>
        </w:tc>
        <w:tc>
          <w:tcPr>
            <w:tcW w:w="2977" w:type="dxa"/>
            <w:tcBorders>
              <w:top w:val="nil"/>
              <w:bottom w:val="single" w:sz="4" w:space="0" w:color="auto"/>
            </w:tcBorders>
            <w:shd w:val="clear" w:color="auto" w:fill="C9DED4"/>
          </w:tcPr>
          <w:p w14:paraId="28C59BFA" w14:textId="77777777" w:rsidR="00120717" w:rsidRPr="00B93EE1" w:rsidRDefault="00120717" w:rsidP="00075C8B">
            <w:pPr>
              <w:keepNext/>
              <w:keepLines/>
              <w:tabs>
                <w:tab w:val="left" w:pos="567"/>
              </w:tabs>
              <w:jc w:val="left"/>
              <w:rPr>
                <w:rFonts w:eastAsia="Times New Roman"/>
                <w:color w:val="000000"/>
                <w:sz w:val="15"/>
                <w:szCs w:val="15"/>
              </w:rPr>
            </w:pPr>
            <w:r w:rsidRPr="00B93EE1">
              <w:rPr>
                <w:rFonts w:eastAsia="Times New Roman"/>
                <w:color w:val="000000"/>
                <w:sz w:val="15"/>
                <w:szCs w:val="15"/>
              </w:rPr>
              <w:t>10 years after the calendar year in which first commercially exploited if it happened within 5 calendar years of being made</w:t>
            </w:r>
          </w:p>
          <w:p w14:paraId="3FFD8F66" w14:textId="77777777" w:rsidR="00120717" w:rsidRPr="00B93EE1" w:rsidRDefault="00120717" w:rsidP="00075C8B">
            <w:pPr>
              <w:keepNext/>
              <w:keepLines/>
              <w:tabs>
                <w:tab w:val="left" w:pos="567"/>
              </w:tabs>
              <w:jc w:val="left"/>
              <w:rPr>
                <w:rFonts w:eastAsia="Times New Roman"/>
                <w:sz w:val="15"/>
                <w:szCs w:val="15"/>
              </w:rPr>
            </w:pPr>
          </w:p>
          <w:p w14:paraId="7D732420" w14:textId="77777777" w:rsidR="00120717" w:rsidRPr="00B93EE1" w:rsidRDefault="00120717" w:rsidP="00075C8B">
            <w:pPr>
              <w:keepNext/>
              <w:keepLines/>
              <w:tabs>
                <w:tab w:val="left" w:pos="567"/>
              </w:tabs>
              <w:jc w:val="left"/>
              <w:rPr>
                <w:rFonts w:eastAsia="Times New Roman"/>
                <w:sz w:val="15"/>
                <w:szCs w:val="15"/>
              </w:rPr>
            </w:pPr>
            <w:r w:rsidRPr="00B93EE1">
              <w:rPr>
                <w:rFonts w:eastAsia="Times New Roman"/>
                <w:color w:val="000000"/>
                <w:sz w:val="15"/>
                <w:szCs w:val="15"/>
              </w:rPr>
              <w:t>Other cases – 15 years after calendar year in which was made</w:t>
            </w:r>
          </w:p>
        </w:tc>
        <w:tc>
          <w:tcPr>
            <w:tcW w:w="5953" w:type="dxa"/>
            <w:tcBorders>
              <w:top w:val="nil"/>
              <w:bottom w:val="single" w:sz="4" w:space="0" w:color="auto"/>
            </w:tcBorders>
            <w:shd w:val="clear" w:color="auto" w:fill="C9DED4"/>
            <w:hideMark/>
          </w:tcPr>
          <w:p w14:paraId="453DEB4B" w14:textId="77777777" w:rsidR="00120717" w:rsidRPr="00B93EE1" w:rsidRDefault="00120717" w:rsidP="00075C8B">
            <w:pPr>
              <w:keepNext/>
              <w:keepLines/>
              <w:tabs>
                <w:tab w:val="left" w:pos="567"/>
              </w:tabs>
              <w:jc w:val="left"/>
              <w:rPr>
                <w:rFonts w:eastAsia="Times New Roman"/>
                <w:sz w:val="15"/>
                <w:szCs w:val="15"/>
              </w:rPr>
            </w:pPr>
            <w:r w:rsidRPr="00B93EE1">
              <w:rPr>
                <w:rFonts w:eastAsia="Times New Roman"/>
                <w:color w:val="000000"/>
                <w:sz w:val="15"/>
                <w:szCs w:val="15"/>
              </w:rPr>
              <w:t xml:space="preserve">Not considered infringements, </w:t>
            </w:r>
            <w:r w:rsidRPr="00B93EE1">
              <w:rPr>
                <w:rFonts w:eastAsia="Times New Roman"/>
                <w:i/>
                <w:iCs/>
                <w:color w:val="000000"/>
                <w:sz w:val="15"/>
                <w:szCs w:val="15"/>
              </w:rPr>
              <w:t>inter alia</w:t>
            </w:r>
            <w:r w:rsidRPr="00B93EE1">
              <w:rPr>
                <w:rFonts w:eastAsia="Times New Roman"/>
                <w:color w:val="000000"/>
                <w:sz w:val="15"/>
                <w:szCs w:val="15"/>
              </w:rPr>
              <w:t>: innocent commercial exploitation; copying for private use, copying for research or teaching purposes, copying for evaluation or analysis</w:t>
            </w:r>
          </w:p>
        </w:tc>
      </w:tr>
    </w:tbl>
    <w:p w14:paraId="6CEA1799" w14:textId="77777777" w:rsidR="00120717" w:rsidRPr="00B93EE1" w:rsidRDefault="00120717" w:rsidP="006B1D61">
      <w:pPr>
        <w:pStyle w:val="NoteText"/>
        <w:spacing w:before="120"/>
      </w:pPr>
      <w:r w:rsidRPr="00B93EE1">
        <w:t>Source:</w:t>
      </w:r>
      <w:r w:rsidRPr="00B93EE1">
        <w:tab/>
        <w:t>Information provided by the authorities.</w:t>
      </w:r>
    </w:p>
    <w:p w14:paraId="6B9829E9" w14:textId="77777777" w:rsidR="00120717" w:rsidRPr="00B93EE1" w:rsidRDefault="00120717" w:rsidP="005240DA">
      <w:pPr>
        <w:spacing w:after="200" w:line="276" w:lineRule="auto"/>
        <w:jc w:val="left"/>
        <w:rPr>
          <w:rFonts w:eastAsia="Times New Roman" w:cs="Times New Roman"/>
          <w:b/>
          <w:color w:val="006283"/>
          <w:szCs w:val="20"/>
          <w:lang w:eastAsia="en-GB"/>
        </w:rPr>
      </w:pPr>
      <w:r w:rsidRPr="00B93EE1">
        <w:rPr>
          <w:rFonts w:eastAsia="Times New Roman" w:cs="Times New Roman"/>
          <w:b/>
          <w:color w:val="006283"/>
          <w:szCs w:val="20"/>
          <w:lang w:eastAsia="en-GB"/>
        </w:rPr>
        <w:br w:type="page"/>
      </w:r>
    </w:p>
    <w:p w14:paraId="478CCE0C" w14:textId="4BB57A70" w:rsidR="00120717" w:rsidRPr="00B93EE1" w:rsidRDefault="00DE713E" w:rsidP="00DE713E">
      <w:pPr>
        <w:pStyle w:val="Caption"/>
        <w:rPr>
          <w:b w:val="0"/>
        </w:rPr>
      </w:pPr>
      <w:bookmarkStart w:id="268" w:name="_Toc97743455"/>
      <w:r>
        <w:lastRenderedPageBreak/>
        <w:t>Table A3.</w:t>
      </w:r>
      <w:r w:rsidR="0012793B">
        <w:fldChar w:fldCharType="begin"/>
      </w:r>
      <w:r w:rsidR="0012793B">
        <w:instrText xml:space="preserve"> SEQ Table_A3. \* ARABIC </w:instrText>
      </w:r>
      <w:r w:rsidR="0012793B">
        <w:fldChar w:fldCharType="separate"/>
      </w:r>
      <w:r>
        <w:rPr>
          <w:noProof/>
        </w:rPr>
        <w:t>3</w:t>
      </w:r>
      <w:r w:rsidR="0012793B">
        <w:rPr>
          <w:noProof/>
        </w:rPr>
        <w:fldChar w:fldCharType="end"/>
      </w:r>
      <w:r w:rsidR="00120717" w:rsidRPr="00B93EE1">
        <w:t xml:space="preserve"> Applications for and registrations of trademarks, patents, and industrial designs, 2014-20</w:t>
      </w:r>
      <w:bookmarkEnd w:id="268"/>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4"/>
        <w:gridCol w:w="1037"/>
        <w:gridCol w:w="833"/>
        <w:gridCol w:w="834"/>
        <w:gridCol w:w="833"/>
        <w:gridCol w:w="834"/>
        <w:gridCol w:w="833"/>
        <w:gridCol w:w="834"/>
        <w:gridCol w:w="833"/>
        <w:gridCol w:w="834"/>
        <w:gridCol w:w="833"/>
        <w:gridCol w:w="834"/>
        <w:gridCol w:w="833"/>
        <w:gridCol w:w="834"/>
        <w:gridCol w:w="833"/>
        <w:gridCol w:w="834"/>
      </w:tblGrid>
      <w:tr w:rsidR="00120717" w:rsidRPr="00B93EE1" w14:paraId="7B74022A" w14:textId="77777777" w:rsidTr="007A4ECB">
        <w:trPr>
          <w:trHeight w:val="288"/>
        </w:trPr>
        <w:tc>
          <w:tcPr>
            <w:tcW w:w="1464" w:type="dxa"/>
            <w:shd w:val="clear" w:color="000000" w:fill="006283"/>
            <w:tcMar>
              <w:top w:w="15" w:type="dxa"/>
              <w:left w:w="15" w:type="dxa"/>
              <w:bottom w:w="0" w:type="dxa"/>
              <w:right w:w="15" w:type="dxa"/>
            </w:tcMar>
            <w:hideMark/>
          </w:tcPr>
          <w:p w14:paraId="7FC98CAE" w14:textId="77777777" w:rsidR="00120717" w:rsidRPr="00B93EE1" w:rsidRDefault="00120717" w:rsidP="00075C8B">
            <w:pPr>
              <w:jc w:val="left"/>
              <w:rPr>
                <w:rFonts w:cs="Calibri"/>
                <w:color w:val="000000"/>
                <w:sz w:val="16"/>
                <w:szCs w:val="16"/>
              </w:rPr>
            </w:pPr>
            <w:r w:rsidRPr="00B93EE1">
              <w:rPr>
                <w:rFonts w:cs="Calibri"/>
                <w:color w:val="000000"/>
                <w:sz w:val="16"/>
                <w:szCs w:val="16"/>
              </w:rPr>
              <w:t> </w:t>
            </w:r>
          </w:p>
        </w:tc>
        <w:tc>
          <w:tcPr>
            <w:tcW w:w="1037" w:type="dxa"/>
            <w:shd w:val="clear" w:color="000000" w:fill="006283"/>
            <w:tcMar>
              <w:top w:w="15" w:type="dxa"/>
              <w:left w:w="15" w:type="dxa"/>
              <w:bottom w:w="0" w:type="dxa"/>
              <w:right w:w="15" w:type="dxa"/>
            </w:tcMar>
            <w:hideMark/>
          </w:tcPr>
          <w:p w14:paraId="7226E5BF" w14:textId="77777777" w:rsidR="00120717" w:rsidRPr="00B93EE1" w:rsidRDefault="00120717" w:rsidP="00075C8B">
            <w:pPr>
              <w:rPr>
                <w:rFonts w:cs="Calibri"/>
                <w:color w:val="000000"/>
                <w:sz w:val="16"/>
                <w:szCs w:val="16"/>
              </w:rPr>
            </w:pPr>
            <w:r w:rsidRPr="00B93EE1">
              <w:rPr>
                <w:rFonts w:cs="Calibri"/>
                <w:color w:val="000000"/>
                <w:sz w:val="16"/>
                <w:szCs w:val="16"/>
              </w:rPr>
              <w:t> </w:t>
            </w:r>
          </w:p>
        </w:tc>
        <w:tc>
          <w:tcPr>
            <w:tcW w:w="5834" w:type="dxa"/>
            <w:gridSpan w:val="7"/>
            <w:shd w:val="clear" w:color="000000" w:fill="006283"/>
            <w:noWrap/>
            <w:tcMar>
              <w:top w:w="15" w:type="dxa"/>
              <w:left w:w="15" w:type="dxa"/>
              <w:bottom w:w="0" w:type="dxa"/>
              <w:right w:w="15" w:type="dxa"/>
            </w:tcMar>
            <w:vAlign w:val="center"/>
            <w:hideMark/>
          </w:tcPr>
          <w:p w14:paraId="5948B803" w14:textId="77777777" w:rsidR="00120717" w:rsidRPr="00B93EE1" w:rsidRDefault="00120717" w:rsidP="00075C8B">
            <w:pPr>
              <w:jc w:val="center"/>
              <w:rPr>
                <w:rFonts w:cs="Calibri"/>
                <w:b/>
                <w:bCs/>
                <w:color w:val="FFFFFF"/>
                <w:sz w:val="16"/>
                <w:szCs w:val="16"/>
              </w:rPr>
            </w:pPr>
            <w:r w:rsidRPr="00B93EE1">
              <w:rPr>
                <w:rFonts w:cs="Calibri"/>
                <w:b/>
                <w:bCs/>
                <w:color w:val="FFFFFF"/>
                <w:sz w:val="16"/>
                <w:szCs w:val="16"/>
              </w:rPr>
              <w:t>Applications </w:t>
            </w:r>
          </w:p>
        </w:tc>
        <w:tc>
          <w:tcPr>
            <w:tcW w:w="5835" w:type="dxa"/>
            <w:gridSpan w:val="7"/>
            <w:shd w:val="clear" w:color="000000" w:fill="006283"/>
            <w:noWrap/>
            <w:tcMar>
              <w:top w:w="15" w:type="dxa"/>
              <w:left w:w="15" w:type="dxa"/>
              <w:bottom w:w="0" w:type="dxa"/>
              <w:right w:w="15" w:type="dxa"/>
            </w:tcMar>
            <w:vAlign w:val="center"/>
            <w:hideMark/>
          </w:tcPr>
          <w:p w14:paraId="55C82D05" w14:textId="77777777" w:rsidR="00120717" w:rsidRPr="00B93EE1" w:rsidRDefault="00120717" w:rsidP="00075C8B">
            <w:pPr>
              <w:jc w:val="center"/>
              <w:rPr>
                <w:rFonts w:cs="Calibri"/>
                <w:b/>
                <w:bCs/>
                <w:color w:val="FFFFFF"/>
                <w:sz w:val="16"/>
                <w:szCs w:val="16"/>
              </w:rPr>
            </w:pPr>
            <w:r w:rsidRPr="00B93EE1">
              <w:rPr>
                <w:rFonts w:cs="Calibri"/>
                <w:b/>
                <w:bCs/>
                <w:color w:val="FFFFFF"/>
                <w:sz w:val="16"/>
                <w:szCs w:val="16"/>
              </w:rPr>
              <w:t>Registrations </w:t>
            </w:r>
          </w:p>
        </w:tc>
      </w:tr>
      <w:tr w:rsidR="007A4ECB" w:rsidRPr="00B93EE1" w14:paraId="362D74E8" w14:textId="77777777" w:rsidTr="007A4ECB">
        <w:trPr>
          <w:trHeight w:val="300"/>
        </w:trPr>
        <w:tc>
          <w:tcPr>
            <w:tcW w:w="1464" w:type="dxa"/>
            <w:shd w:val="clear" w:color="000000" w:fill="FFFFFF"/>
            <w:tcMar>
              <w:top w:w="15" w:type="dxa"/>
              <w:left w:w="15" w:type="dxa"/>
              <w:bottom w:w="0" w:type="dxa"/>
              <w:right w:w="15" w:type="dxa"/>
            </w:tcMar>
            <w:hideMark/>
          </w:tcPr>
          <w:p w14:paraId="2C83EDEF" w14:textId="77777777" w:rsidR="00120717" w:rsidRPr="00B93EE1" w:rsidRDefault="00120717" w:rsidP="00075C8B">
            <w:pPr>
              <w:jc w:val="left"/>
              <w:rPr>
                <w:rFonts w:cs="Calibri"/>
                <w:color w:val="000000"/>
                <w:sz w:val="16"/>
                <w:szCs w:val="16"/>
              </w:rPr>
            </w:pPr>
            <w:r w:rsidRPr="00B93EE1">
              <w:rPr>
                <w:rFonts w:cs="Calibri"/>
                <w:color w:val="000000"/>
                <w:sz w:val="16"/>
                <w:szCs w:val="16"/>
              </w:rPr>
              <w:t> </w:t>
            </w:r>
          </w:p>
        </w:tc>
        <w:tc>
          <w:tcPr>
            <w:tcW w:w="1037" w:type="dxa"/>
            <w:shd w:val="clear" w:color="000000" w:fill="FFFFFF"/>
            <w:tcMar>
              <w:top w:w="15" w:type="dxa"/>
              <w:left w:w="15" w:type="dxa"/>
              <w:bottom w:w="0" w:type="dxa"/>
              <w:right w:w="15" w:type="dxa"/>
            </w:tcMar>
            <w:hideMark/>
          </w:tcPr>
          <w:p w14:paraId="5C4BBA39" w14:textId="77777777" w:rsidR="00120717" w:rsidRPr="00B93EE1" w:rsidRDefault="00120717" w:rsidP="00075C8B">
            <w:pPr>
              <w:rPr>
                <w:rFonts w:cs="Calibri"/>
                <w:color w:val="000000"/>
                <w:sz w:val="16"/>
                <w:szCs w:val="16"/>
              </w:rPr>
            </w:pPr>
            <w:r w:rsidRPr="00B93EE1">
              <w:rPr>
                <w:rFonts w:cs="Calibri"/>
                <w:color w:val="000000"/>
                <w:sz w:val="16"/>
                <w:szCs w:val="16"/>
              </w:rPr>
              <w:t> </w:t>
            </w:r>
          </w:p>
        </w:tc>
        <w:tc>
          <w:tcPr>
            <w:tcW w:w="833" w:type="dxa"/>
            <w:shd w:val="clear" w:color="000000" w:fill="FFFFFF"/>
            <w:noWrap/>
            <w:tcMar>
              <w:top w:w="15" w:type="dxa"/>
              <w:left w:w="15" w:type="dxa"/>
              <w:bottom w:w="0" w:type="dxa"/>
              <w:right w:w="15" w:type="dxa"/>
            </w:tcMar>
            <w:vAlign w:val="center"/>
            <w:hideMark/>
          </w:tcPr>
          <w:p w14:paraId="6033F2B9"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2014</w:t>
            </w:r>
          </w:p>
        </w:tc>
        <w:tc>
          <w:tcPr>
            <w:tcW w:w="834" w:type="dxa"/>
            <w:shd w:val="clear" w:color="000000" w:fill="FFFFFF"/>
            <w:noWrap/>
            <w:tcMar>
              <w:top w:w="15" w:type="dxa"/>
              <w:left w:w="15" w:type="dxa"/>
              <w:bottom w:w="0" w:type="dxa"/>
              <w:right w:w="15" w:type="dxa"/>
            </w:tcMar>
            <w:vAlign w:val="center"/>
            <w:hideMark/>
          </w:tcPr>
          <w:p w14:paraId="43F39120"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2015</w:t>
            </w:r>
          </w:p>
        </w:tc>
        <w:tc>
          <w:tcPr>
            <w:tcW w:w="833" w:type="dxa"/>
            <w:shd w:val="clear" w:color="000000" w:fill="FFFFFF"/>
            <w:noWrap/>
            <w:tcMar>
              <w:top w:w="15" w:type="dxa"/>
              <w:left w:w="15" w:type="dxa"/>
              <w:bottom w:w="0" w:type="dxa"/>
              <w:right w:w="15" w:type="dxa"/>
            </w:tcMar>
            <w:vAlign w:val="center"/>
            <w:hideMark/>
          </w:tcPr>
          <w:p w14:paraId="7213645F"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2016</w:t>
            </w:r>
          </w:p>
        </w:tc>
        <w:tc>
          <w:tcPr>
            <w:tcW w:w="834" w:type="dxa"/>
            <w:shd w:val="clear" w:color="000000" w:fill="FFFFFF"/>
            <w:noWrap/>
            <w:tcMar>
              <w:top w:w="15" w:type="dxa"/>
              <w:left w:w="15" w:type="dxa"/>
              <w:bottom w:w="0" w:type="dxa"/>
              <w:right w:w="15" w:type="dxa"/>
            </w:tcMar>
            <w:vAlign w:val="center"/>
            <w:hideMark/>
          </w:tcPr>
          <w:p w14:paraId="6CFE71FE"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2017</w:t>
            </w:r>
          </w:p>
        </w:tc>
        <w:tc>
          <w:tcPr>
            <w:tcW w:w="833" w:type="dxa"/>
            <w:shd w:val="clear" w:color="000000" w:fill="FFFFFF"/>
            <w:noWrap/>
            <w:tcMar>
              <w:top w:w="15" w:type="dxa"/>
              <w:left w:w="15" w:type="dxa"/>
              <w:bottom w:w="0" w:type="dxa"/>
              <w:right w:w="15" w:type="dxa"/>
            </w:tcMar>
            <w:vAlign w:val="center"/>
            <w:hideMark/>
          </w:tcPr>
          <w:p w14:paraId="7868033F"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2018</w:t>
            </w:r>
          </w:p>
        </w:tc>
        <w:tc>
          <w:tcPr>
            <w:tcW w:w="834" w:type="dxa"/>
            <w:shd w:val="clear" w:color="000000" w:fill="FFFFFF"/>
            <w:noWrap/>
            <w:tcMar>
              <w:top w:w="15" w:type="dxa"/>
              <w:left w:w="15" w:type="dxa"/>
              <w:bottom w:w="0" w:type="dxa"/>
              <w:right w:w="15" w:type="dxa"/>
            </w:tcMar>
            <w:vAlign w:val="center"/>
            <w:hideMark/>
          </w:tcPr>
          <w:p w14:paraId="49519055"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2019</w:t>
            </w:r>
          </w:p>
        </w:tc>
        <w:tc>
          <w:tcPr>
            <w:tcW w:w="833" w:type="dxa"/>
            <w:shd w:val="clear" w:color="000000" w:fill="FFFFFF"/>
            <w:noWrap/>
            <w:tcMar>
              <w:top w:w="15" w:type="dxa"/>
              <w:left w:w="15" w:type="dxa"/>
              <w:bottom w:w="0" w:type="dxa"/>
              <w:right w:w="15" w:type="dxa"/>
            </w:tcMar>
            <w:vAlign w:val="center"/>
            <w:hideMark/>
          </w:tcPr>
          <w:p w14:paraId="591ADDE0"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2020</w:t>
            </w:r>
          </w:p>
        </w:tc>
        <w:tc>
          <w:tcPr>
            <w:tcW w:w="834" w:type="dxa"/>
            <w:shd w:val="clear" w:color="000000" w:fill="FFFFFF"/>
            <w:noWrap/>
            <w:tcMar>
              <w:top w:w="15" w:type="dxa"/>
              <w:left w:w="15" w:type="dxa"/>
              <w:bottom w:w="0" w:type="dxa"/>
              <w:right w:w="15" w:type="dxa"/>
            </w:tcMar>
            <w:vAlign w:val="center"/>
            <w:hideMark/>
          </w:tcPr>
          <w:p w14:paraId="76BEC1C6"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2014</w:t>
            </w:r>
          </w:p>
        </w:tc>
        <w:tc>
          <w:tcPr>
            <w:tcW w:w="833" w:type="dxa"/>
            <w:shd w:val="clear" w:color="000000" w:fill="FFFFFF"/>
            <w:noWrap/>
            <w:tcMar>
              <w:top w:w="15" w:type="dxa"/>
              <w:left w:w="15" w:type="dxa"/>
              <w:bottom w:w="0" w:type="dxa"/>
              <w:right w:w="15" w:type="dxa"/>
            </w:tcMar>
            <w:vAlign w:val="center"/>
            <w:hideMark/>
          </w:tcPr>
          <w:p w14:paraId="0F1CBC3F"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2015</w:t>
            </w:r>
          </w:p>
        </w:tc>
        <w:tc>
          <w:tcPr>
            <w:tcW w:w="834" w:type="dxa"/>
            <w:shd w:val="clear" w:color="000000" w:fill="FFFFFF"/>
            <w:noWrap/>
            <w:tcMar>
              <w:top w:w="15" w:type="dxa"/>
              <w:left w:w="15" w:type="dxa"/>
              <w:bottom w:w="0" w:type="dxa"/>
              <w:right w:w="15" w:type="dxa"/>
            </w:tcMar>
            <w:vAlign w:val="center"/>
            <w:hideMark/>
          </w:tcPr>
          <w:p w14:paraId="5C6E8557"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2016</w:t>
            </w:r>
          </w:p>
        </w:tc>
        <w:tc>
          <w:tcPr>
            <w:tcW w:w="833" w:type="dxa"/>
            <w:shd w:val="clear" w:color="000000" w:fill="FFFFFF"/>
            <w:noWrap/>
            <w:tcMar>
              <w:top w:w="15" w:type="dxa"/>
              <w:left w:w="15" w:type="dxa"/>
              <w:bottom w:w="0" w:type="dxa"/>
              <w:right w:w="15" w:type="dxa"/>
            </w:tcMar>
            <w:vAlign w:val="center"/>
            <w:hideMark/>
          </w:tcPr>
          <w:p w14:paraId="16FE4D40"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2017</w:t>
            </w:r>
          </w:p>
        </w:tc>
        <w:tc>
          <w:tcPr>
            <w:tcW w:w="834" w:type="dxa"/>
            <w:shd w:val="clear" w:color="000000" w:fill="FFFFFF"/>
            <w:noWrap/>
            <w:tcMar>
              <w:top w:w="15" w:type="dxa"/>
              <w:left w:w="15" w:type="dxa"/>
              <w:bottom w:w="0" w:type="dxa"/>
              <w:right w:w="15" w:type="dxa"/>
            </w:tcMar>
            <w:vAlign w:val="center"/>
            <w:hideMark/>
          </w:tcPr>
          <w:p w14:paraId="34E64048"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2018</w:t>
            </w:r>
          </w:p>
        </w:tc>
        <w:tc>
          <w:tcPr>
            <w:tcW w:w="833" w:type="dxa"/>
            <w:shd w:val="clear" w:color="000000" w:fill="FFFFFF"/>
            <w:noWrap/>
            <w:tcMar>
              <w:top w:w="15" w:type="dxa"/>
              <w:left w:w="15" w:type="dxa"/>
              <w:bottom w:w="0" w:type="dxa"/>
              <w:right w:w="15" w:type="dxa"/>
            </w:tcMar>
            <w:vAlign w:val="center"/>
            <w:hideMark/>
          </w:tcPr>
          <w:p w14:paraId="003CCE32"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2019</w:t>
            </w:r>
          </w:p>
        </w:tc>
        <w:tc>
          <w:tcPr>
            <w:tcW w:w="834" w:type="dxa"/>
            <w:shd w:val="clear" w:color="000000" w:fill="FFFFFF"/>
            <w:noWrap/>
            <w:tcMar>
              <w:top w:w="15" w:type="dxa"/>
              <w:left w:w="15" w:type="dxa"/>
              <w:bottom w:w="0" w:type="dxa"/>
              <w:right w:w="15" w:type="dxa"/>
            </w:tcMar>
            <w:vAlign w:val="center"/>
            <w:hideMark/>
          </w:tcPr>
          <w:p w14:paraId="37BF04F1" w14:textId="77777777" w:rsidR="00120717" w:rsidRPr="00B93EE1" w:rsidRDefault="00120717" w:rsidP="00075C8B">
            <w:pPr>
              <w:ind w:right="57"/>
              <w:jc w:val="right"/>
              <w:rPr>
                <w:rFonts w:cs="Calibri"/>
                <w:b/>
                <w:bCs/>
                <w:color w:val="000000"/>
                <w:sz w:val="16"/>
                <w:szCs w:val="16"/>
              </w:rPr>
            </w:pPr>
            <w:r w:rsidRPr="00B93EE1">
              <w:rPr>
                <w:rFonts w:cs="Calibri"/>
                <w:b/>
                <w:bCs/>
                <w:color w:val="000000"/>
                <w:sz w:val="16"/>
                <w:szCs w:val="16"/>
              </w:rPr>
              <w:t>2020</w:t>
            </w:r>
          </w:p>
        </w:tc>
      </w:tr>
      <w:tr w:rsidR="007A4ECB" w:rsidRPr="00B93EE1" w14:paraId="79D4E333" w14:textId="77777777" w:rsidTr="007A4ECB">
        <w:trPr>
          <w:trHeight w:val="288"/>
        </w:trPr>
        <w:tc>
          <w:tcPr>
            <w:tcW w:w="1464" w:type="dxa"/>
            <w:vMerge w:val="restart"/>
            <w:shd w:val="clear" w:color="000000" w:fill="C9DED4"/>
            <w:tcMar>
              <w:top w:w="15" w:type="dxa"/>
              <w:left w:w="15" w:type="dxa"/>
              <w:bottom w:w="0" w:type="dxa"/>
              <w:right w:w="15" w:type="dxa"/>
            </w:tcMar>
            <w:vAlign w:val="center"/>
            <w:hideMark/>
          </w:tcPr>
          <w:p w14:paraId="08EACAF7" w14:textId="77777777" w:rsidR="00120717" w:rsidRPr="00B93EE1" w:rsidRDefault="00120717" w:rsidP="00075C8B">
            <w:pPr>
              <w:jc w:val="left"/>
              <w:rPr>
                <w:rFonts w:cs="Calibri"/>
                <w:b/>
                <w:bCs/>
                <w:color w:val="000000"/>
                <w:sz w:val="16"/>
                <w:szCs w:val="16"/>
              </w:rPr>
            </w:pPr>
            <w:proofErr w:type="spellStart"/>
            <w:r w:rsidRPr="00B93EE1">
              <w:rPr>
                <w:rFonts w:cs="Calibri"/>
                <w:b/>
                <w:bCs/>
                <w:color w:val="000000"/>
                <w:sz w:val="16"/>
                <w:szCs w:val="16"/>
              </w:rPr>
              <w:t>Trademarks</w:t>
            </w:r>
            <w:r w:rsidRPr="00B93EE1">
              <w:rPr>
                <w:rFonts w:cs="Calibri"/>
                <w:b/>
                <w:bCs/>
                <w:color w:val="000000"/>
                <w:sz w:val="16"/>
                <w:szCs w:val="16"/>
                <w:vertAlign w:val="superscript"/>
              </w:rPr>
              <w:t>a</w:t>
            </w:r>
            <w:proofErr w:type="spellEnd"/>
          </w:p>
        </w:tc>
        <w:tc>
          <w:tcPr>
            <w:tcW w:w="1037" w:type="dxa"/>
            <w:shd w:val="clear" w:color="000000" w:fill="C9DED4"/>
            <w:tcMar>
              <w:top w:w="15" w:type="dxa"/>
              <w:left w:w="15" w:type="dxa"/>
              <w:bottom w:w="0" w:type="dxa"/>
              <w:right w:w="15" w:type="dxa"/>
            </w:tcMar>
            <w:vAlign w:val="center"/>
            <w:hideMark/>
          </w:tcPr>
          <w:p w14:paraId="327921AD" w14:textId="77777777" w:rsidR="00120717" w:rsidRPr="00FF263F" w:rsidRDefault="00120717" w:rsidP="00FF263F">
            <w:pPr>
              <w:ind w:left="57"/>
              <w:rPr>
                <w:rFonts w:cs="Calibri"/>
                <w:sz w:val="16"/>
                <w:szCs w:val="16"/>
              </w:rPr>
            </w:pPr>
            <w:r w:rsidRPr="00FF263F">
              <w:rPr>
                <w:rFonts w:cs="Calibri"/>
                <w:sz w:val="16"/>
                <w:szCs w:val="16"/>
              </w:rPr>
              <w:t>Resident</w:t>
            </w:r>
          </w:p>
        </w:tc>
        <w:tc>
          <w:tcPr>
            <w:tcW w:w="833" w:type="dxa"/>
            <w:shd w:val="clear" w:color="000000" w:fill="C9DED4"/>
            <w:tcMar>
              <w:top w:w="15" w:type="dxa"/>
              <w:left w:w="15" w:type="dxa"/>
              <w:bottom w:w="0" w:type="dxa"/>
              <w:right w:w="15" w:type="dxa"/>
            </w:tcMar>
            <w:vAlign w:val="center"/>
            <w:hideMark/>
          </w:tcPr>
          <w:p w14:paraId="6C0DA94F" w14:textId="77777777" w:rsidR="00120717" w:rsidRPr="00FF263F" w:rsidRDefault="00120717" w:rsidP="00075C8B">
            <w:pPr>
              <w:ind w:right="57"/>
              <w:jc w:val="right"/>
              <w:rPr>
                <w:rFonts w:cs="Calibri"/>
                <w:sz w:val="16"/>
                <w:szCs w:val="16"/>
              </w:rPr>
            </w:pPr>
            <w:r w:rsidRPr="00FF263F">
              <w:rPr>
                <w:rFonts w:cs="Calibri"/>
                <w:sz w:val="16"/>
                <w:szCs w:val="16"/>
              </w:rPr>
              <w:t>15,650</w:t>
            </w:r>
          </w:p>
        </w:tc>
        <w:tc>
          <w:tcPr>
            <w:tcW w:w="834" w:type="dxa"/>
            <w:shd w:val="clear" w:color="000000" w:fill="C9DED4"/>
            <w:tcMar>
              <w:top w:w="15" w:type="dxa"/>
              <w:left w:w="15" w:type="dxa"/>
              <w:bottom w:w="0" w:type="dxa"/>
              <w:right w:w="15" w:type="dxa"/>
            </w:tcMar>
            <w:vAlign w:val="center"/>
            <w:hideMark/>
          </w:tcPr>
          <w:p w14:paraId="63253621" w14:textId="77777777" w:rsidR="00120717" w:rsidRPr="00FF263F" w:rsidRDefault="00120717" w:rsidP="00075C8B">
            <w:pPr>
              <w:ind w:right="57"/>
              <w:jc w:val="right"/>
              <w:rPr>
                <w:rFonts w:cs="Calibri"/>
                <w:sz w:val="16"/>
                <w:szCs w:val="16"/>
              </w:rPr>
            </w:pPr>
            <w:r w:rsidRPr="00FF263F">
              <w:rPr>
                <w:rFonts w:cs="Calibri"/>
                <w:sz w:val="16"/>
                <w:szCs w:val="16"/>
              </w:rPr>
              <w:t>15,769</w:t>
            </w:r>
          </w:p>
        </w:tc>
        <w:tc>
          <w:tcPr>
            <w:tcW w:w="833" w:type="dxa"/>
            <w:shd w:val="clear" w:color="000000" w:fill="C9DED4"/>
            <w:tcMar>
              <w:top w:w="15" w:type="dxa"/>
              <w:left w:w="15" w:type="dxa"/>
              <w:bottom w:w="0" w:type="dxa"/>
              <w:right w:w="15" w:type="dxa"/>
            </w:tcMar>
            <w:vAlign w:val="center"/>
            <w:hideMark/>
          </w:tcPr>
          <w:p w14:paraId="259A88B3" w14:textId="77777777" w:rsidR="00120717" w:rsidRPr="00FF263F" w:rsidRDefault="00120717" w:rsidP="00075C8B">
            <w:pPr>
              <w:ind w:right="57"/>
              <w:jc w:val="right"/>
              <w:rPr>
                <w:rFonts w:cs="Calibri"/>
                <w:sz w:val="16"/>
                <w:szCs w:val="16"/>
              </w:rPr>
            </w:pPr>
            <w:r w:rsidRPr="00FF263F">
              <w:rPr>
                <w:rFonts w:cs="Calibri"/>
                <w:sz w:val="16"/>
                <w:szCs w:val="16"/>
              </w:rPr>
              <w:t>16,577</w:t>
            </w:r>
          </w:p>
        </w:tc>
        <w:tc>
          <w:tcPr>
            <w:tcW w:w="834" w:type="dxa"/>
            <w:shd w:val="clear" w:color="000000" w:fill="C9DED4"/>
            <w:tcMar>
              <w:top w:w="15" w:type="dxa"/>
              <w:left w:w="15" w:type="dxa"/>
              <w:bottom w:w="0" w:type="dxa"/>
              <w:right w:w="15" w:type="dxa"/>
            </w:tcMar>
            <w:vAlign w:val="center"/>
            <w:hideMark/>
          </w:tcPr>
          <w:p w14:paraId="347B0668" w14:textId="77777777" w:rsidR="00120717" w:rsidRPr="00FF263F" w:rsidRDefault="00120717" w:rsidP="00075C8B">
            <w:pPr>
              <w:ind w:right="57"/>
              <w:jc w:val="right"/>
              <w:rPr>
                <w:rFonts w:cs="Calibri"/>
                <w:sz w:val="16"/>
                <w:szCs w:val="16"/>
              </w:rPr>
            </w:pPr>
            <w:r w:rsidRPr="00FF263F">
              <w:rPr>
                <w:rFonts w:cs="Calibri"/>
                <w:sz w:val="16"/>
                <w:szCs w:val="16"/>
              </w:rPr>
              <w:t>17,099</w:t>
            </w:r>
          </w:p>
        </w:tc>
        <w:tc>
          <w:tcPr>
            <w:tcW w:w="833" w:type="dxa"/>
            <w:shd w:val="clear" w:color="000000" w:fill="C9DED4"/>
            <w:tcMar>
              <w:top w:w="15" w:type="dxa"/>
              <w:left w:w="15" w:type="dxa"/>
              <w:bottom w:w="0" w:type="dxa"/>
              <w:right w:w="15" w:type="dxa"/>
            </w:tcMar>
            <w:vAlign w:val="center"/>
            <w:hideMark/>
          </w:tcPr>
          <w:p w14:paraId="6EB19347" w14:textId="77777777" w:rsidR="00120717" w:rsidRPr="00FF263F" w:rsidRDefault="00120717" w:rsidP="00075C8B">
            <w:pPr>
              <w:ind w:right="57"/>
              <w:jc w:val="right"/>
              <w:rPr>
                <w:rFonts w:cs="Calibri"/>
                <w:sz w:val="16"/>
                <w:szCs w:val="16"/>
              </w:rPr>
            </w:pPr>
            <w:r w:rsidRPr="00FF263F">
              <w:rPr>
                <w:rFonts w:cs="Calibri"/>
                <w:sz w:val="16"/>
                <w:szCs w:val="16"/>
              </w:rPr>
              <w:t>17,806</w:t>
            </w:r>
          </w:p>
        </w:tc>
        <w:tc>
          <w:tcPr>
            <w:tcW w:w="834" w:type="dxa"/>
            <w:shd w:val="clear" w:color="000000" w:fill="C9DED4"/>
            <w:tcMar>
              <w:top w:w="15" w:type="dxa"/>
              <w:left w:w="15" w:type="dxa"/>
              <w:bottom w:w="0" w:type="dxa"/>
              <w:right w:w="15" w:type="dxa"/>
            </w:tcMar>
            <w:vAlign w:val="center"/>
            <w:hideMark/>
          </w:tcPr>
          <w:p w14:paraId="2D6C0048" w14:textId="77777777" w:rsidR="00120717" w:rsidRPr="00FF263F" w:rsidRDefault="00120717" w:rsidP="00075C8B">
            <w:pPr>
              <w:ind w:right="57"/>
              <w:jc w:val="right"/>
              <w:rPr>
                <w:rFonts w:cs="Calibri"/>
                <w:sz w:val="16"/>
                <w:szCs w:val="16"/>
              </w:rPr>
            </w:pPr>
            <w:r w:rsidRPr="00FF263F">
              <w:rPr>
                <w:rFonts w:cs="Calibri"/>
                <w:sz w:val="16"/>
                <w:szCs w:val="16"/>
              </w:rPr>
              <w:t>18,081</w:t>
            </w:r>
          </w:p>
        </w:tc>
        <w:tc>
          <w:tcPr>
            <w:tcW w:w="833" w:type="dxa"/>
            <w:shd w:val="clear" w:color="000000" w:fill="C9DED4"/>
            <w:tcMar>
              <w:top w:w="15" w:type="dxa"/>
              <w:left w:w="15" w:type="dxa"/>
              <w:bottom w:w="0" w:type="dxa"/>
              <w:right w:w="15" w:type="dxa"/>
            </w:tcMar>
            <w:vAlign w:val="center"/>
            <w:hideMark/>
          </w:tcPr>
          <w:p w14:paraId="23539CCE" w14:textId="77777777" w:rsidR="00120717" w:rsidRPr="00FF263F" w:rsidRDefault="00120717" w:rsidP="00075C8B">
            <w:pPr>
              <w:ind w:right="57"/>
              <w:jc w:val="right"/>
              <w:rPr>
                <w:rFonts w:cs="Calibri"/>
                <w:sz w:val="16"/>
                <w:szCs w:val="16"/>
              </w:rPr>
            </w:pPr>
            <w:r w:rsidRPr="00FF263F">
              <w:rPr>
                <w:rFonts w:cs="Calibri"/>
                <w:sz w:val="16"/>
                <w:szCs w:val="16"/>
              </w:rPr>
              <w:t>22,625</w:t>
            </w:r>
          </w:p>
        </w:tc>
        <w:tc>
          <w:tcPr>
            <w:tcW w:w="834" w:type="dxa"/>
            <w:shd w:val="clear" w:color="000000" w:fill="C9DED4"/>
            <w:tcMar>
              <w:top w:w="15" w:type="dxa"/>
              <w:left w:w="15" w:type="dxa"/>
              <w:bottom w:w="0" w:type="dxa"/>
              <w:right w:w="15" w:type="dxa"/>
            </w:tcMar>
            <w:vAlign w:val="center"/>
            <w:hideMark/>
          </w:tcPr>
          <w:p w14:paraId="59B34BB9" w14:textId="77777777" w:rsidR="00120717" w:rsidRPr="00FF263F" w:rsidRDefault="00120717" w:rsidP="00075C8B">
            <w:pPr>
              <w:ind w:right="57"/>
              <w:jc w:val="right"/>
              <w:rPr>
                <w:rFonts w:cs="Calibri"/>
                <w:sz w:val="16"/>
                <w:szCs w:val="16"/>
              </w:rPr>
            </w:pPr>
            <w:r w:rsidRPr="00FF263F">
              <w:rPr>
                <w:rFonts w:cs="Calibri"/>
                <w:sz w:val="16"/>
                <w:szCs w:val="16"/>
              </w:rPr>
              <w:t>12,441</w:t>
            </w:r>
          </w:p>
        </w:tc>
        <w:tc>
          <w:tcPr>
            <w:tcW w:w="833" w:type="dxa"/>
            <w:shd w:val="clear" w:color="000000" w:fill="C9DED4"/>
            <w:tcMar>
              <w:top w:w="15" w:type="dxa"/>
              <w:left w:w="15" w:type="dxa"/>
              <w:bottom w:w="0" w:type="dxa"/>
              <w:right w:w="15" w:type="dxa"/>
            </w:tcMar>
            <w:vAlign w:val="center"/>
            <w:hideMark/>
          </w:tcPr>
          <w:p w14:paraId="4E6CDD96" w14:textId="77777777" w:rsidR="00120717" w:rsidRPr="00FF263F" w:rsidRDefault="00120717" w:rsidP="00075C8B">
            <w:pPr>
              <w:ind w:right="57"/>
              <w:jc w:val="right"/>
              <w:rPr>
                <w:rFonts w:cs="Calibri"/>
                <w:sz w:val="16"/>
                <w:szCs w:val="16"/>
              </w:rPr>
            </w:pPr>
            <w:r w:rsidRPr="00FF263F">
              <w:rPr>
                <w:rFonts w:cs="Calibri"/>
                <w:sz w:val="16"/>
                <w:szCs w:val="16"/>
              </w:rPr>
              <w:t>13,359</w:t>
            </w:r>
          </w:p>
        </w:tc>
        <w:tc>
          <w:tcPr>
            <w:tcW w:w="834" w:type="dxa"/>
            <w:shd w:val="clear" w:color="000000" w:fill="C9DED4"/>
            <w:tcMar>
              <w:top w:w="15" w:type="dxa"/>
              <w:left w:w="15" w:type="dxa"/>
              <w:bottom w:w="0" w:type="dxa"/>
              <w:right w:w="15" w:type="dxa"/>
            </w:tcMar>
            <w:vAlign w:val="center"/>
            <w:hideMark/>
          </w:tcPr>
          <w:p w14:paraId="417D941E" w14:textId="77777777" w:rsidR="00120717" w:rsidRPr="00FF263F" w:rsidRDefault="00120717" w:rsidP="00075C8B">
            <w:pPr>
              <w:ind w:right="57"/>
              <w:jc w:val="right"/>
              <w:rPr>
                <w:rFonts w:cs="Calibri"/>
                <w:sz w:val="16"/>
                <w:szCs w:val="16"/>
              </w:rPr>
            </w:pPr>
            <w:r w:rsidRPr="00FF263F">
              <w:rPr>
                <w:rFonts w:cs="Calibri"/>
                <w:sz w:val="16"/>
                <w:szCs w:val="16"/>
              </w:rPr>
              <w:t>12,840</w:t>
            </w:r>
          </w:p>
        </w:tc>
        <w:tc>
          <w:tcPr>
            <w:tcW w:w="833" w:type="dxa"/>
            <w:shd w:val="clear" w:color="000000" w:fill="C9DED4"/>
            <w:tcMar>
              <w:top w:w="15" w:type="dxa"/>
              <w:left w:w="15" w:type="dxa"/>
              <w:bottom w:w="0" w:type="dxa"/>
              <w:right w:w="15" w:type="dxa"/>
            </w:tcMar>
            <w:vAlign w:val="center"/>
            <w:hideMark/>
          </w:tcPr>
          <w:p w14:paraId="09A80776" w14:textId="77777777" w:rsidR="00120717" w:rsidRPr="00FF263F" w:rsidRDefault="00120717" w:rsidP="00075C8B">
            <w:pPr>
              <w:ind w:right="57"/>
              <w:jc w:val="right"/>
              <w:rPr>
                <w:rFonts w:cs="Calibri"/>
                <w:sz w:val="16"/>
                <w:szCs w:val="16"/>
              </w:rPr>
            </w:pPr>
            <w:r w:rsidRPr="00FF263F">
              <w:rPr>
                <w:rFonts w:cs="Calibri"/>
                <w:sz w:val="16"/>
                <w:szCs w:val="16"/>
              </w:rPr>
              <w:t>13,819</w:t>
            </w:r>
          </w:p>
        </w:tc>
        <w:tc>
          <w:tcPr>
            <w:tcW w:w="834" w:type="dxa"/>
            <w:shd w:val="clear" w:color="000000" w:fill="C9DED4"/>
            <w:tcMar>
              <w:top w:w="15" w:type="dxa"/>
              <w:left w:w="15" w:type="dxa"/>
              <w:bottom w:w="0" w:type="dxa"/>
              <w:right w:w="15" w:type="dxa"/>
            </w:tcMar>
            <w:vAlign w:val="center"/>
            <w:hideMark/>
          </w:tcPr>
          <w:p w14:paraId="0E32F510" w14:textId="77777777" w:rsidR="00120717" w:rsidRPr="00FF263F" w:rsidRDefault="00120717" w:rsidP="00075C8B">
            <w:pPr>
              <w:ind w:right="57"/>
              <w:jc w:val="right"/>
              <w:rPr>
                <w:rFonts w:cs="Calibri"/>
                <w:sz w:val="16"/>
                <w:szCs w:val="16"/>
              </w:rPr>
            </w:pPr>
            <w:r w:rsidRPr="00FF263F">
              <w:rPr>
                <w:rFonts w:cs="Calibri"/>
                <w:sz w:val="16"/>
                <w:szCs w:val="16"/>
              </w:rPr>
              <w:t>14,995</w:t>
            </w:r>
          </w:p>
        </w:tc>
        <w:tc>
          <w:tcPr>
            <w:tcW w:w="833" w:type="dxa"/>
            <w:shd w:val="clear" w:color="000000" w:fill="C9DED4"/>
            <w:tcMar>
              <w:top w:w="15" w:type="dxa"/>
              <w:left w:w="15" w:type="dxa"/>
              <w:bottom w:w="0" w:type="dxa"/>
              <w:right w:w="15" w:type="dxa"/>
            </w:tcMar>
            <w:vAlign w:val="center"/>
            <w:hideMark/>
          </w:tcPr>
          <w:p w14:paraId="53F02D52" w14:textId="77777777" w:rsidR="00120717" w:rsidRPr="00FF263F" w:rsidRDefault="00120717" w:rsidP="00075C8B">
            <w:pPr>
              <w:ind w:right="57"/>
              <w:jc w:val="right"/>
              <w:rPr>
                <w:rFonts w:cs="Calibri"/>
                <w:sz w:val="16"/>
                <w:szCs w:val="16"/>
              </w:rPr>
            </w:pPr>
            <w:r w:rsidRPr="00FF263F">
              <w:rPr>
                <w:rFonts w:cs="Calibri"/>
                <w:sz w:val="16"/>
                <w:szCs w:val="16"/>
              </w:rPr>
              <w:t>14,851</w:t>
            </w:r>
          </w:p>
        </w:tc>
        <w:tc>
          <w:tcPr>
            <w:tcW w:w="834" w:type="dxa"/>
            <w:shd w:val="clear" w:color="000000" w:fill="C9DED4"/>
            <w:tcMar>
              <w:top w:w="15" w:type="dxa"/>
              <w:left w:w="15" w:type="dxa"/>
              <w:bottom w:w="0" w:type="dxa"/>
              <w:right w:w="15" w:type="dxa"/>
            </w:tcMar>
            <w:vAlign w:val="center"/>
            <w:hideMark/>
          </w:tcPr>
          <w:p w14:paraId="400779B5" w14:textId="77777777" w:rsidR="00120717" w:rsidRPr="00FF263F" w:rsidRDefault="00120717" w:rsidP="00075C8B">
            <w:pPr>
              <w:ind w:right="57"/>
              <w:jc w:val="right"/>
              <w:rPr>
                <w:rFonts w:cs="Calibri"/>
                <w:sz w:val="16"/>
                <w:szCs w:val="16"/>
              </w:rPr>
            </w:pPr>
            <w:r w:rsidRPr="00FF263F">
              <w:rPr>
                <w:rFonts w:cs="Calibri"/>
                <w:sz w:val="16"/>
                <w:szCs w:val="16"/>
              </w:rPr>
              <w:t>16,282</w:t>
            </w:r>
          </w:p>
        </w:tc>
      </w:tr>
      <w:tr w:rsidR="00120717" w:rsidRPr="00B93EE1" w14:paraId="3A6FF0C2" w14:textId="77777777" w:rsidTr="007A4ECB">
        <w:trPr>
          <w:trHeight w:val="288"/>
        </w:trPr>
        <w:tc>
          <w:tcPr>
            <w:tcW w:w="1464" w:type="dxa"/>
            <w:vMerge/>
            <w:vAlign w:val="center"/>
            <w:hideMark/>
          </w:tcPr>
          <w:p w14:paraId="771D228C" w14:textId="77777777" w:rsidR="00120717" w:rsidRPr="00B93EE1" w:rsidRDefault="00120717" w:rsidP="00075C8B">
            <w:pPr>
              <w:rPr>
                <w:rFonts w:cs="Calibri"/>
                <w:b/>
                <w:bCs/>
                <w:color w:val="000000"/>
                <w:sz w:val="16"/>
                <w:szCs w:val="16"/>
              </w:rPr>
            </w:pPr>
          </w:p>
        </w:tc>
        <w:tc>
          <w:tcPr>
            <w:tcW w:w="1037" w:type="dxa"/>
            <w:shd w:val="clear" w:color="000000" w:fill="FFFFFF"/>
            <w:tcMar>
              <w:top w:w="15" w:type="dxa"/>
              <w:left w:w="15" w:type="dxa"/>
              <w:bottom w:w="0" w:type="dxa"/>
              <w:right w:w="15" w:type="dxa"/>
            </w:tcMar>
            <w:vAlign w:val="center"/>
            <w:hideMark/>
          </w:tcPr>
          <w:p w14:paraId="33C33AFD" w14:textId="77777777" w:rsidR="00120717" w:rsidRPr="00FF263F" w:rsidRDefault="00120717" w:rsidP="00FF263F">
            <w:pPr>
              <w:ind w:left="57"/>
              <w:jc w:val="left"/>
              <w:rPr>
                <w:rFonts w:cs="Calibri"/>
                <w:sz w:val="16"/>
                <w:szCs w:val="16"/>
              </w:rPr>
            </w:pPr>
            <w:r w:rsidRPr="00FF263F">
              <w:rPr>
                <w:rFonts w:cs="Calibri"/>
                <w:sz w:val="16"/>
                <w:szCs w:val="16"/>
              </w:rPr>
              <w:t>Non-resident</w:t>
            </w:r>
          </w:p>
        </w:tc>
        <w:tc>
          <w:tcPr>
            <w:tcW w:w="833" w:type="dxa"/>
            <w:shd w:val="clear" w:color="auto" w:fill="auto"/>
            <w:tcMar>
              <w:top w:w="15" w:type="dxa"/>
              <w:left w:w="15" w:type="dxa"/>
              <w:bottom w:w="0" w:type="dxa"/>
              <w:right w:w="15" w:type="dxa"/>
            </w:tcMar>
            <w:vAlign w:val="center"/>
            <w:hideMark/>
          </w:tcPr>
          <w:p w14:paraId="63BAC590" w14:textId="77777777" w:rsidR="00120717" w:rsidRPr="00FF263F" w:rsidRDefault="00120717" w:rsidP="00075C8B">
            <w:pPr>
              <w:ind w:right="57"/>
              <w:jc w:val="right"/>
              <w:rPr>
                <w:rFonts w:cs="Calibri"/>
                <w:sz w:val="16"/>
                <w:szCs w:val="16"/>
              </w:rPr>
            </w:pPr>
            <w:r w:rsidRPr="00FF263F">
              <w:rPr>
                <w:rFonts w:cs="Calibri"/>
                <w:sz w:val="16"/>
                <w:szCs w:val="16"/>
              </w:rPr>
              <w:t>23,955</w:t>
            </w:r>
          </w:p>
        </w:tc>
        <w:tc>
          <w:tcPr>
            <w:tcW w:w="834" w:type="dxa"/>
            <w:shd w:val="clear" w:color="auto" w:fill="auto"/>
            <w:tcMar>
              <w:top w:w="15" w:type="dxa"/>
              <w:left w:w="15" w:type="dxa"/>
              <w:bottom w:w="0" w:type="dxa"/>
              <w:right w:w="15" w:type="dxa"/>
            </w:tcMar>
            <w:vAlign w:val="center"/>
            <w:hideMark/>
          </w:tcPr>
          <w:p w14:paraId="0F3A145C" w14:textId="77777777" w:rsidR="00120717" w:rsidRPr="00FF263F" w:rsidRDefault="00120717" w:rsidP="00075C8B">
            <w:pPr>
              <w:ind w:right="57"/>
              <w:jc w:val="right"/>
              <w:rPr>
                <w:rFonts w:cs="Calibri"/>
                <w:sz w:val="16"/>
                <w:szCs w:val="16"/>
              </w:rPr>
            </w:pPr>
            <w:r w:rsidRPr="00FF263F">
              <w:rPr>
                <w:rFonts w:cs="Calibri"/>
                <w:sz w:val="16"/>
                <w:szCs w:val="16"/>
              </w:rPr>
              <w:t>26,382</w:t>
            </w:r>
          </w:p>
        </w:tc>
        <w:tc>
          <w:tcPr>
            <w:tcW w:w="833" w:type="dxa"/>
            <w:shd w:val="clear" w:color="auto" w:fill="auto"/>
            <w:tcMar>
              <w:top w:w="15" w:type="dxa"/>
              <w:left w:w="15" w:type="dxa"/>
              <w:bottom w:w="0" w:type="dxa"/>
              <w:right w:w="15" w:type="dxa"/>
            </w:tcMar>
            <w:vAlign w:val="center"/>
            <w:hideMark/>
          </w:tcPr>
          <w:p w14:paraId="422BC83E" w14:textId="77777777" w:rsidR="00120717" w:rsidRPr="00FF263F" w:rsidRDefault="00120717" w:rsidP="00075C8B">
            <w:pPr>
              <w:ind w:right="57"/>
              <w:jc w:val="right"/>
              <w:rPr>
                <w:rFonts w:cs="Calibri"/>
                <w:sz w:val="16"/>
                <w:szCs w:val="16"/>
              </w:rPr>
            </w:pPr>
            <w:r w:rsidRPr="00FF263F">
              <w:rPr>
                <w:rFonts w:cs="Calibri"/>
                <w:sz w:val="16"/>
                <w:szCs w:val="16"/>
              </w:rPr>
              <w:t>29,120</w:t>
            </w:r>
          </w:p>
        </w:tc>
        <w:tc>
          <w:tcPr>
            <w:tcW w:w="834" w:type="dxa"/>
            <w:shd w:val="clear" w:color="auto" w:fill="auto"/>
            <w:tcMar>
              <w:top w:w="15" w:type="dxa"/>
              <w:left w:w="15" w:type="dxa"/>
              <w:bottom w:w="0" w:type="dxa"/>
              <w:right w:w="15" w:type="dxa"/>
            </w:tcMar>
            <w:vAlign w:val="center"/>
            <w:hideMark/>
          </w:tcPr>
          <w:p w14:paraId="24ADBC8E" w14:textId="77777777" w:rsidR="00120717" w:rsidRPr="00FF263F" w:rsidRDefault="00120717" w:rsidP="00075C8B">
            <w:pPr>
              <w:ind w:right="57"/>
              <w:jc w:val="right"/>
              <w:rPr>
                <w:rFonts w:cs="Calibri"/>
                <w:sz w:val="16"/>
                <w:szCs w:val="16"/>
              </w:rPr>
            </w:pPr>
            <w:r w:rsidRPr="00FF263F">
              <w:rPr>
                <w:rFonts w:cs="Calibri"/>
                <w:sz w:val="16"/>
                <w:szCs w:val="16"/>
              </w:rPr>
              <w:t>30,111</w:t>
            </w:r>
          </w:p>
        </w:tc>
        <w:tc>
          <w:tcPr>
            <w:tcW w:w="833" w:type="dxa"/>
            <w:shd w:val="clear" w:color="auto" w:fill="auto"/>
            <w:tcMar>
              <w:top w:w="15" w:type="dxa"/>
              <w:left w:w="15" w:type="dxa"/>
              <w:bottom w:w="0" w:type="dxa"/>
              <w:right w:w="15" w:type="dxa"/>
            </w:tcMar>
            <w:vAlign w:val="center"/>
            <w:hideMark/>
          </w:tcPr>
          <w:p w14:paraId="382758BF" w14:textId="77777777" w:rsidR="00120717" w:rsidRPr="00FF263F" w:rsidRDefault="00120717" w:rsidP="00075C8B">
            <w:pPr>
              <w:ind w:right="57"/>
              <w:jc w:val="right"/>
              <w:rPr>
                <w:rFonts w:cs="Calibri"/>
                <w:sz w:val="16"/>
                <w:szCs w:val="16"/>
              </w:rPr>
            </w:pPr>
            <w:r w:rsidRPr="00FF263F">
              <w:rPr>
                <w:rFonts w:cs="Calibri"/>
                <w:sz w:val="16"/>
                <w:szCs w:val="16"/>
              </w:rPr>
              <w:t>32,473</w:t>
            </w:r>
          </w:p>
        </w:tc>
        <w:tc>
          <w:tcPr>
            <w:tcW w:w="834" w:type="dxa"/>
            <w:shd w:val="clear" w:color="auto" w:fill="auto"/>
            <w:tcMar>
              <w:top w:w="15" w:type="dxa"/>
              <w:left w:w="15" w:type="dxa"/>
              <w:bottom w:w="0" w:type="dxa"/>
              <w:right w:w="15" w:type="dxa"/>
            </w:tcMar>
            <w:vAlign w:val="center"/>
            <w:hideMark/>
          </w:tcPr>
          <w:p w14:paraId="588463F6" w14:textId="77777777" w:rsidR="00120717" w:rsidRPr="00FF263F" w:rsidRDefault="00120717" w:rsidP="00075C8B">
            <w:pPr>
              <w:ind w:right="57"/>
              <w:jc w:val="right"/>
              <w:rPr>
                <w:rFonts w:cs="Calibri"/>
                <w:sz w:val="16"/>
                <w:szCs w:val="16"/>
              </w:rPr>
            </w:pPr>
            <w:r w:rsidRPr="00FF263F">
              <w:rPr>
                <w:rFonts w:cs="Calibri"/>
                <w:sz w:val="16"/>
                <w:szCs w:val="16"/>
              </w:rPr>
              <w:t>32,634</w:t>
            </w:r>
          </w:p>
        </w:tc>
        <w:tc>
          <w:tcPr>
            <w:tcW w:w="833" w:type="dxa"/>
            <w:shd w:val="clear" w:color="auto" w:fill="auto"/>
            <w:tcMar>
              <w:top w:w="15" w:type="dxa"/>
              <w:left w:w="15" w:type="dxa"/>
              <w:bottom w:w="0" w:type="dxa"/>
              <w:right w:w="15" w:type="dxa"/>
            </w:tcMar>
            <w:vAlign w:val="center"/>
            <w:hideMark/>
          </w:tcPr>
          <w:p w14:paraId="69FBC6A1" w14:textId="77777777" w:rsidR="00120717" w:rsidRPr="00FF263F" w:rsidRDefault="00120717" w:rsidP="00075C8B">
            <w:pPr>
              <w:ind w:right="57"/>
              <w:jc w:val="right"/>
              <w:rPr>
                <w:rFonts w:cs="Calibri"/>
                <w:sz w:val="16"/>
                <w:szCs w:val="16"/>
              </w:rPr>
            </w:pPr>
            <w:r w:rsidRPr="00FF263F">
              <w:rPr>
                <w:rFonts w:cs="Calibri"/>
                <w:sz w:val="16"/>
                <w:szCs w:val="16"/>
              </w:rPr>
              <w:t>33,024</w:t>
            </w:r>
          </w:p>
        </w:tc>
        <w:tc>
          <w:tcPr>
            <w:tcW w:w="834" w:type="dxa"/>
            <w:shd w:val="clear" w:color="auto" w:fill="auto"/>
            <w:tcMar>
              <w:top w:w="15" w:type="dxa"/>
              <w:left w:w="15" w:type="dxa"/>
              <w:bottom w:w="0" w:type="dxa"/>
              <w:right w:w="15" w:type="dxa"/>
            </w:tcMar>
            <w:vAlign w:val="center"/>
            <w:hideMark/>
          </w:tcPr>
          <w:p w14:paraId="7B000EC3" w14:textId="77777777" w:rsidR="00120717" w:rsidRPr="00FF263F" w:rsidRDefault="00120717" w:rsidP="00075C8B">
            <w:pPr>
              <w:ind w:right="57"/>
              <w:jc w:val="right"/>
              <w:rPr>
                <w:rFonts w:cs="Calibri"/>
                <w:sz w:val="16"/>
                <w:szCs w:val="16"/>
              </w:rPr>
            </w:pPr>
            <w:r w:rsidRPr="00FF263F">
              <w:rPr>
                <w:rFonts w:cs="Calibri"/>
                <w:sz w:val="16"/>
                <w:szCs w:val="16"/>
              </w:rPr>
              <w:t>25,735</w:t>
            </w:r>
          </w:p>
        </w:tc>
        <w:tc>
          <w:tcPr>
            <w:tcW w:w="833" w:type="dxa"/>
            <w:shd w:val="clear" w:color="auto" w:fill="auto"/>
            <w:tcMar>
              <w:top w:w="15" w:type="dxa"/>
              <w:left w:w="15" w:type="dxa"/>
              <w:bottom w:w="0" w:type="dxa"/>
              <w:right w:w="15" w:type="dxa"/>
            </w:tcMar>
            <w:vAlign w:val="center"/>
            <w:hideMark/>
          </w:tcPr>
          <w:p w14:paraId="4C434DD8" w14:textId="77777777" w:rsidR="00120717" w:rsidRPr="00FF263F" w:rsidRDefault="00120717" w:rsidP="00075C8B">
            <w:pPr>
              <w:ind w:right="57"/>
              <w:jc w:val="right"/>
              <w:rPr>
                <w:rFonts w:cs="Calibri"/>
                <w:sz w:val="16"/>
                <w:szCs w:val="16"/>
              </w:rPr>
            </w:pPr>
            <w:r w:rsidRPr="00FF263F">
              <w:rPr>
                <w:rFonts w:cs="Calibri"/>
                <w:sz w:val="16"/>
                <w:szCs w:val="16"/>
              </w:rPr>
              <w:t>29,155</w:t>
            </w:r>
          </w:p>
        </w:tc>
        <w:tc>
          <w:tcPr>
            <w:tcW w:w="834" w:type="dxa"/>
            <w:shd w:val="clear" w:color="auto" w:fill="auto"/>
            <w:tcMar>
              <w:top w:w="15" w:type="dxa"/>
              <w:left w:w="15" w:type="dxa"/>
              <w:bottom w:w="0" w:type="dxa"/>
              <w:right w:w="15" w:type="dxa"/>
            </w:tcMar>
            <w:vAlign w:val="center"/>
            <w:hideMark/>
          </w:tcPr>
          <w:p w14:paraId="4D0E2CD0" w14:textId="77777777" w:rsidR="00120717" w:rsidRPr="00FF263F" w:rsidRDefault="00120717" w:rsidP="00075C8B">
            <w:pPr>
              <w:ind w:right="57"/>
              <w:jc w:val="right"/>
              <w:rPr>
                <w:rFonts w:cs="Calibri"/>
                <w:sz w:val="16"/>
                <w:szCs w:val="16"/>
              </w:rPr>
            </w:pPr>
            <w:r w:rsidRPr="00FF263F">
              <w:rPr>
                <w:rFonts w:cs="Calibri"/>
                <w:sz w:val="16"/>
                <w:szCs w:val="16"/>
              </w:rPr>
              <w:t>26,564</w:t>
            </w:r>
          </w:p>
        </w:tc>
        <w:tc>
          <w:tcPr>
            <w:tcW w:w="833" w:type="dxa"/>
            <w:shd w:val="clear" w:color="auto" w:fill="auto"/>
            <w:tcMar>
              <w:top w:w="15" w:type="dxa"/>
              <w:left w:w="15" w:type="dxa"/>
              <w:bottom w:w="0" w:type="dxa"/>
              <w:right w:w="15" w:type="dxa"/>
            </w:tcMar>
            <w:vAlign w:val="center"/>
            <w:hideMark/>
          </w:tcPr>
          <w:p w14:paraId="33D9FD22" w14:textId="77777777" w:rsidR="00120717" w:rsidRPr="00FF263F" w:rsidRDefault="00120717" w:rsidP="00075C8B">
            <w:pPr>
              <w:ind w:right="57"/>
              <w:jc w:val="right"/>
              <w:rPr>
                <w:rFonts w:cs="Calibri"/>
                <w:sz w:val="16"/>
                <w:szCs w:val="16"/>
              </w:rPr>
            </w:pPr>
            <w:r w:rsidRPr="00FF263F">
              <w:rPr>
                <w:rFonts w:cs="Calibri"/>
                <w:sz w:val="16"/>
                <w:szCs w:val="16"/>
              </w:rPr>
              <w:t>32,336</w:t>
            </w:r>
          </w:p>
        </w:tc>
        <w:tc>
          <w:tcPr>
            <w:tcW w:w="834" w:type="dxa"/>
            <w:shd w:val="clear" w:color="auto" w:fill="auto"/>
            <w:tcMar>
              <w:top w:w="15" w:type="dxa"/>
              <w:left w:w="15" w:type="dxa"/>
              <w:bottom w:w="0" w:type="dxa"/>
              <w:right w:w="15" w:type="dxa"/>
            </w:tcMar>
            <w:vAlign w:val="center"/>
            <w:hideMark/>
          </w:tcPr>
          <w:p w14:paraId="4CD0C576" w14:textId="77777777" w:rsidR="00120717" w:rsidRPr="00FF263F" w:rsidRDefault="00120717" w:rsidP="00075C8B">
            <w:pPr>
              <w:ind w:right="57"/>
              <w:jc w:val="right"/>
              <w:rPr>
                <w:rFonts w:cs="Calibri"/>
                <w:sz w:val="16"/>
                <w:szCs w:val="16"/>
              </w:rPr>
            </w:pPr>
            <w:r w:rsidRPr="00FF263F">
              <w:rPr>
                <w:rFonts w:cs="Calibri"/>
                <w:sz w:val="16"/>
                <w:szCs w:val="16"/>
              </w:rPr>
              <w:t>33,262</w:t>
            </w:r>
          </w:p>
        </w:tc>
        <w:tc>
          <w:tcPr>
            <w:tcW w:w="833" w:type="dxa"/>
            <w:shd w:val="clear" w:color="auto" w:fill="auto"/>
            <w:tcMar>
              <w:top w:w="15" w:type="dxa"/>
              <w:left w:w="15" w:type="dxa"/>
              <w:bottom w:w="0" w:type="dxa"/>
              <w:right w:w="15" w:type="dxa"/>
            </w:tcMar>
            <w:vAlign w:val="center"/>
            <w:hideMark/>
          </w:tcPr>
          <w:p w14:paraId="00341DFB" w14:textId="77777777" w:rsidR="00120717" w:rsidRPr="00FF263F" w:rsidRDefault="00120717" w:rsidP="00075C8B">
            <w:pPr>
              <w:ind w:right="57"/>
              <w:jc w:val="right"/>
              <w:rPr>
                <w:rFonts w:cs="Calibri"/>
                <w:sz w:val="16"/>
                <w:szCs w:val="16"/>
              </w:rPr>
            </w:pPr>
            <w:r w:rsidRPr="00FF263F">
              <w:rPr>
                <w:rFonts w:cs="Calibri"/>
                <w:sz w:val="16"/>
                <w:szCs w:val="16"/>
              </w:rPr>
              <w:t>34,513</w:t>
            </w:r>
          </w:p>
        </w:tc>
        <w:tc>
          <w:tcPr>
            <w:tcW w:w="834" w:type="dxa"/>
            <w:shd w:val="clear" w:color="auto" w:fill="auto"/>
            <w:tcMar>
              <w:top w:w="15" w:type="dxa"/>
              <w:left w:w="15" w:type="dxa"/>
              <w:bottom w:w="0" w:type="dxa"/>
              <w:right w:w="15" w:type="dxa"/>
            </w:tcMar>
            <w:vAlign w:val="center"/>
            <w:hideMark/>
          </w:tcPr>
          <w:p w14:paraId="6A6EDF0D" w14:textId="77777777" w:rsidR="00120717" w:rsidRPr="00FF263F" w:rsidRDefault="00120717" w:rsidP="00075C8B">
            <w:pPr>
              <w:ind w:right="57"/>
              <w:jc w:val="right"/>
              <w:rPr>
                <w:rFonts w:cs="Calibri"/>
                <w:sz w:val="16"/>
                <w:szCs w:val="16"/>
              </w:rPr>
            </w:pPr>
            <w:r w:rsidRPr="00FF263F">
              <w:rPr>
                <w:rFonts w:cs="Calibri"/>
                <w:sz w:val="16"/>
                <w:szCs w:val="16"/>
              </w:rPr>
              <w:t>34,056</w:t>
            </w:r>
          </w:p>
        </w:tc>
      </w:tr>
      <w:tr w:rsidR="007A4ECB" w:rsidRPr="00B93EE1" w14:paraId="7B671A20" w14:textId="77777777" w:rsidTr="007A4ECB">
        <w:trPr>
          <w:trHeight w:val="288"/>
        </w:trPr>
        <w:tc>
          <w:tcPr>
            <w:tcW w:w="1464" w:type="dxa"/>
            <w:vMerge/>
            <w:vAlign w:val="center"/>
            <w:hideMark/>
          </w:tcPr>
          <w:p w14:paraId="73740E14" w14:textId="77777777" w:rsidR="00120717" w:rsidRPr="00B93EE1" w:rsidRDefault="00120717" w:rsidP="00075C8B">
            <w:pPr>
              <w:rPr>
                <w:rFonts w:cs="Calibri"/>
                <w:b/>
                <w:bCs/>
                <w:color w:val="000000"/>
                <w:sz w:val="16"/>
                <w:szCs w:val="16"/>
              </w:rPr>
            </w:pPr>
          </w:p>
        </w:tc>
        <w:tc>
          <w:tcPr>
            <w:tcW w:w="1037" w:type="dxa"/>
            <w:shd w:val="clear" w:color="000000" w:fill="C9DED4"/>
            <w:tcMar>
              <w:top w:w="15" w:type="dxa"/>
              <w:left w:w="15" w:type="dxa"/>
              <w:bottom w:w="0" w:type="dxa"/>
              <w:right w:w="15" w:type="dxa"/>
            </w:tcMar>
            <w:vAlign w:val="center"/>
            <w:hideMark/>
          </w:tcPr>
          <w:p w14:paraId="464CF9AB" w14:textId="77777777" w:rsidR="00120717" w:rsidRPr="00FF263F" w:rsidRDefault="00120717" w:rsidP="00FF263F">
            <w:pPr>
              <w:ind w:left="57"/>
              <w:jc w:val="left"/>
              <w:rPr>
                <w:rFonts w:cs="Calibri"/>
                <w:sz w:val="16"/>
                <w:szCs w:val="16"/>
              </w:rPr>
            </w:pPr>
            <w:r w:rsidRPr="00FF263F">
              <w:rPr>
                <w:rFonts w:cs="Calibri"/>
                <w:sz w:val="16"/>
                <w:szCs w:val="16"/>
              </w:rPr>
              <w:t>Total</w:t>
            </w:r>
          </w:p>
        </w:tc>
        <w:tc>
          <w:tcPr>
            <w:tcW w:w="833" w:type="dxa"/>
            <w:shd w:val="clear" w:color="000000" w:fill="C9DED4"/>
            <w:tcMar>
              <w:top w:w="15" w:type="dxa"/>
              <w:left w:w="15" w:type="dxa"/>
              <w:bottom w:w="0" w:type="dxa"/>
              <w:right w:w="15" w:type="dxa"/>
            </w:tcMar>
            <w:vAlign w:val="center"/>
            <w:hideMark/>
          </w:tcPr>
          <w:p w14:paraId="1212FE40" w14:textId="77777777" w:rsidR="00120717" w:rsidRPr="00FF263F" w:rsidRDefault="00120717" w:rsidP="00075C8B">
            <w:pPr>
              <w:ind w:right="57"/>
              <w:jc w:val="right"/>
              <w:rPr>
                <w:rFonts w:cs="Calibri"/>
                <w:sz w:val="16"/>
                <w:szCs w:val="16"/>
              </w:rPr>
            </w:pPr>
            <w:r w:rsidRPr="00FF263F">
              <w:rPr>
                <w:rFonts w:cs="Calibri"/>
                <w:sz w:val="16"/>
                <w:szCs w:val="16"/>
              </w:rPr>
              <w:t>39,605</w:t>
            </w:r>
          </w:p>
        </w:tc>
        <w:tc>
          <w:tcPr>
            <w:tcW w:w="834" w:type="dxa"/>
            <w:shd w:val="clear" w:color="000000" w:fill="C9DED4"/>
            <w:tcMar>
              <w:top w:w="15" w:type="dxa"/>
              <w:left w:w="15" w:type="dxa"/>
              <w:bottom w:w="0" w:type="dxa"/>
              <w:right w:w="15" w:type="dxa"/>
            </w:tcMar>
            <w:vAlign w:val="center"/>
            <w:hideMark/>
          </w:tcPr>
          <w:p w14:paraId="7DB08AA7" w14:textId="77777777" w:rsidR="00120717" w:rsidRPr="00FF263F" w:rsidRDefault="00120717" w:rsidP="00075C8B">
            <w:pPr>
              <w:ind w:right="57"/>
              <w:jc w:val="right"/>
              <w:rPr>
                <w:rFonts w:cs="Calibri"/>
                <w:sz w:val="16"/>
                <w:szCs w:val="16"/>
              </w:rPr>
            </w:pPr>
            <w:r w:rsidRPr="00FF263F">
              <w:rPr>
                <w:rFonts w:cs="Calibri"/>
                <w:sz w:val="16"/>
                <w:szCs w:val="16"/>
              </w:rPr>
              <w:t>42,151</w:t>
            </w:r>
          </w:p>
        </w:tc>
        <w:tc>
          <w:tcPr>
            <w:tcW w:w="833" w:type="dxa"/>
            <w:shd w:val="clear" w:color="000000" w:fill="C9DED4"/>
            <w:tcMar>
              <w:top w:w="15" w:type="dxa"/>
              <w:left w:w="15" w:type="dxa"/>
              <w:bottom w:w="0" w:type="dxa"/>
              <w:right w:w="15" w:type="dxa"/>
            </w:tcMar>
            <w:vAlign w:val="center"/>
            <w:hideMark/>
          </w:tcPr>
          <w:p w14:paraId="78C42BB7" w14:textId="77777777" w:rsidR="00120717" w:rsidRPr="00FF263F" w:rsidRDefault="00120717" w:rsidP="00075C8B">
            <w:pPr>
              <w:ind w:right="57"/>
              <w:jc w:val="right"/>
              <w:rPr>
                <w:rFonts w:cs="Calibri"/>
                <w:sz w:val="16"/>
                <w:szCs w:val="16"/>
              </w:rPr>
            </w:pPr>
            <w:r w:rsidRPr="00FF263F">
              <w:rPr>
                <w:rFonts w:cs="Calibri"/>
                <w:sz w:val="16"/>
                <w:szCs w:val="16"/>
              </w:rPr>
              <w:t>45,697</w:t>
            </w:r>
          </w:p>
        </w:tc>
        <w:tc>
          <w:tcPr>
            <w:tcW w:w="834" w:type="dxa"/>
            <w:shd w:val="clear" w:color="000000" w:fill="C9DED4"/>
            <w:tcMar>
              <w:top w:w="15" w:type="dxa"/>
              <w:left w:w="15" w:type="dxa"/>
              <w:bottom w:w="0" w:type="dxa"/>
              <w:right w:w="15" w:type="dxa"/>
            </w:tcMar>
            <w:vAlign w:val="center"/>
            <w:hideMark/>
          </w:tcPr>
          <w:p w14:paraId="18CDFFD9" w14:textId="77777777" w:rsidR="00120717" w:rsidRPr="00FF263F" w:rsidRDefault="00120717" w:rsidP="00075C8B">
            <w:pPr>
              <w:ind w:right="57"/>
              <w:jc w:val="right"/>
              <w:rPr>
                <w:rFonts w:cs="Calibri"/>
                <w:sz w:val="16"/>
                <w:szCs w:val="16"/>
              </w:rPr>
            </w:pPr>
            <w:r w:rsidRPr="00FF263F">
              <w:rPr>
                <w:rFonts w:cs="Calibri"/>
                <w:sz w:val="16"/>
                <w:szCs w:val="16"/>
              </w:rPr>
              <w:t>47,210</w:t>
            </w:r>
          </w:p>
        </w:tc>
        <w:tc>
          <w:tcPr>
            <w:tcW w:w="833" w:type="dxa"/>
            <w:shd w:val="clear" w:color="000000" w:fill="C9DED4"/>
            <w:tcMar>
              <w:top w:w="15" w:type="dxa"/>
              <w:left w:w="15" w:type="dxa"/>
              <w:bottom w:w="0" w:type="dxa"/>
              <w:right w:w="15" w:type="dxa"/>
            </w:tcMar>
            <w:vAlign w:val="center"/>
            <w:hideMark/>
          </w:tcPr>
          <w:p w14:paraId="31DCDEC1" w14:textId="77777777" w:rsidR="00120717" w:rsidRPr="00FF263F" w:rsidRDefault="00120717" w:rsidP="00075C8B">
            <w:pPr>
              <w:ind w:right="57"/>
              <w:jc w:val="right"/>
              <w:rPr>
                <w:rFonts w:cs="Calibri"/>
                <w:sz w:val="16"/>
                <w:szCs w:val="16"/>
              </w:rPr>
            </w:pPr>
            <w:r w:rsidRPr="00FF263F">
              <w:rPr>
                <w:rFonts w:cs="Calibri"/>
                <w:sz w:val="16"/>
                <w:szCs w:val="16"/>
              </w:rPr>
              <w:t>50,279</w:t>
            </w:r>
          </w:p>
        </w:tc>
        <w:tc>
          <w:tcPr>
            <w:tcW w:w="834" w:type="dxa"/>
            <w:shd w:val="clear" w:color="000000" w:fill="C9DED4"/>
            <w:tcMar>
              <w:top w:w="15" w:type="dxa"/>
              <w:left w:w="15" w:type="dxa"/>
              <w:bottom w:w="0" w:type="dxa"/>
              <w:right w:w="15" w:type="dxa"/>
            </w:tcMar>
            <w:vAlign w:val="center"/>
            <w:hideMark/>
          </w:tcPr>
          <w:p w14:paraId="015A716D" w14:textId="77777777" w:rsidR="00120717" w:rsidRPr="00FF263F" w:rsidRDefault="00120717" w:rsidP="00075C8B">
            <w:pPr>
              <w:ind w:right="57"/>
              <w:jc w:val="right"/>
              <w:rPr>
                <w:rFonts w:cs="Calibri"/>
                <w:sz w:val="16"/>
                <w:szCs w:val="16"/>
              </w:rPr>
            </w:pPr>
            <w:r w:rsidRPr="00FF263F">
              <w:rPr>
                <w:rFonts w:cs="Calibri"/>
                <w:sz w:val="16"/>
                <w:szCs w:val="16"/>
              </w:rPr>
              <w:t>50,715</w:t>
            </w:r>
          </w:p>
        </w:tc>
        <w:tc>
          <w:tcPr>
            <w:tcW w:w="833" w:type="dxa"/>
            <w:shd w:val="clear" w:color="000000" w:fill="C9DED4"/>
            <w:tcMar>
              <w:top w:w="15" w:type="dxa"/>
              <w:left w:w="15" w:type="dxa"/>
              <w:bottom w:w="0" w:type="dxa"/>
              <w:right w:w="15" w:type="dxa"/>
            </w:tcMar>
            <w:vAlign w:val="center"/>
            <w:hideMark/>
          </w:tcPr>
          <w:p w14:paraId="05BE17E0" w14:textId="77777777" w:rsidR="00120717" w:rsidRPr="00FF263F" w:rsidRDefault="00120717" w:rsidP="00075C8B">
            <w:pPr>
              <w:ind w:right="57"/>
              <w:jc w:val="right"/>
              <w:rPr>
                <w:rFonts w:cs="Calibri"/>
                <w:sz w:val="16"/>
                <w:szCs w:val="16"/>
              </w:rPr>
            </w:pPr>
            <w:r w:rsidRPr="00FF263F">
              <w:rPr>
                <w:rFonts w:cs="Calibri"/>
                <w:sz w:val="16"/>
                <w:szCs w:val="16"/>
              </w:rPr>
              <w:t>55,649</w:t>
            </w:r>
          </w:p>
        </w:tc>
        <w:tc>
          <w:tcPr>
            <w:tcW w:w="834" w:type="dxa"/>
            <w:shd w:val="clear" w:color="000000" w:fill="C9DED4"/>
            <w:tcMar>
              <w:top w:w="15" w:type="dxa"/>
              <w:left w:w="15" w:type="dxa"/>
              <w:bottom w:w="0" w:type="dxa"/>
              <w:right w:w="15" w:type="dxa"/>
            </w:tcMar>
            <w:vAlign w:val="center"/>
            <w:hideMark/>
          </w:tcPr>
          <w:p w14:paraId="68A6A578" w14:textId="77777777" w:rsidR="00120717" w:rsidRPr="00FF263F" w:rsidRDefault="00120717" w:rsidP="00075C8B">
            <w:pPr>
              <w:ind w:right="57"/>
              <w:jc w:val="right"/>
              <w:rPr>
                <w:rFonts w:cs="Calibri"/>
                <w:sz w:val="16"/>
                <w:szCs w:val="16"/>
              </w:rPr>
            </w:pPr>
            <w:r w:rsidRPr="00FF263F">
              <w:rPr>
                <w:rFonts w:cs="Calibri"/>
                <w:sz w:val="16"/>
                <w:szCs w:val="16"/>
              </w:rPr>
              <w:t>38,176</w:t>
            </w:r>
          </w:p>
        </w:tc>
        <w:tc>
          <w:tcPr>
            <w:tcW w:w="833" w:type="dxa"/>
            <w:shd w:val="clear" w:color="000000" w:fill="C9DED4"/>
            <w:tcMar>
              <w:top w:w="15" w:type="dxa"/>
              <w:left w:w="15" w:type="dxa"/>
              <w:bottom w:w="0" w:type="dxa"/>
              <w:right w:w="15" w:type="dxa"/>
            </w:tcMar>
            <w:vAlign w:val="center"/>
            <w:hideMark/>
          </w:tcPr>
          <w:p w14:paraId="5C26E1AA" w14:textId="77777777" w:rsidR="00120717" w:rsidRPr="00FF263F" w:rsidRDefault="00120717" w:rsidP="00075C8B">
            <w:pPr>
              <w:ind w:right="57"/>
              <w:jc w:val="right"/>
              <w:rPr>
                <w:rFonts w:cs="Calibri"/>
                <w:sz w:val="16"/>
                <w:szCs w:val="16"/>
              </w:rPr>
            </w:pPr>
            <w:r w:rsidRPr="00FF263F">
              <w:rPr>
                <w:rFonts w:cs="Calibri"/>
                <w:sz w:val="16"/>
                <w:szCs w:val="16"/>
              </w:rPr>
              <w:t>42,514</w:t>
            </w:r>
          </w:p>
        </w:tc>
        <w:tc>
          <w:tcPr>
            <w:tcW w:w="834" w:type="dxa"/>
            <w:shd w:val="clear" w:color="000000" w:fill="C9DED4"/>
            <w:tcMar>
              <w:top w:w="15" w:type="dxa"/>
              <w:left w:w="15" w:type="dxa"/>
              <w:bottom w:w="0" w:type="dxa"/>
              <w:right w:w="15" w:type="dxa"/>
            </w:tcMar>
            <w:vAlign w:val="center"/>
            <w:hideMark/>
          </w:tcPr>
          <w:p w14:paraId="5AAC1504" w14:textId="77777777" w:rsidR="00120717" w:rsidRPr="00FF263F" w:rsidRDefault="00120717" w:rsidP="00075C8B">
            <w:pPr>
              <w:ind w:right="57"/>
              <w:jc w:val="right"/>
              <w:rPr>
                <w:rFonts w:cs="Calibri"/>
                <w:sz w:val="16"/>
                <w:szCs w:val="16"/>
              </w:rPr>
            </w:pPr>
            <w:r w:rsidRPr="00FF263F">
              <w:rPr>
                <w:rFonts w:cs="Calibri"/>
                <w:sz w:val="16"/>
                <w:szCs w:val="16"/>
              </w:rPr>
              <w:t>39,404</w:t>
            </w:r>
          </w:p>
        </w:tc>
        <w:tc>
          <w:tcPr>
            <w:tcW w:w="833" w:type="dxa"/>
            <w:shd w:val="clear" w:color="000000" w:fill="C9DED4"/>
            <w:tcMar>
              <w:top w:w="15" w:type="dxa"/>
              <w:left w:w="15" w:type="dxa"/>
              <w:bottom w:w="0" w:type="dxa"/>
              <w:right w:w="15" w:type="dxa"/>
            </w:tcMar>
            <w:vAlign w:val="center"/>
            <w:hideMark/>
          </w:tcPr>
          <w:p w14:paraId="16AF27A0" w14:textId="77777777" w:rsidR="00120717" w:rsidRPr="00FF263F" w:rsidRDefault="00120717" w:rsidP="00075C8B">
            <w:pPr>
              <w:ind w:right="57"/>
              <w:jc w:val="right"/>
              <w:rPr>
                <w:rFonts w:cs="Calibri"/>
                <w:sz w:val="16"/>
                <w:szCs w:val="16"/>
              </w:rPr>
            </w:pPr>
            <w:r w:rsidRPr="00FF263F">
              <w:rPr>
                <w:rFonts w:cs="Calibri"/>
                <w:sz w:val="16"/>
                <w:szCs w:val="16"/>
              </w:rPr>
              <w:t>46,155</w:t>
            </w:r>
          </w:p>
        </w:tc>
        <w:tc>
          <w:tcPr>
            <w:tcW w:w="834" w:type="dxa"/>
            <w:shd w:val="clear" w:color="000000" w:fill="C9DED4"/>
            <w:tcMar>
              <w:top w:w="15" w:type="dxa"/>
              <w:left w:w="15" w:type="dxa"/>
              <w:bottom w:w="0" w:type="dxa"/>
              <w:right w:w="15" w:type="dxa"/>
            </w:tcMar>
            <w:vAlign w:val="center"/>
            <w:hideMark/>
          </w:tcPr>
          <w:p w14:paraId="588FF18D" w14:textId="77777777" w:rsidR="00120717" w:rsidRPr="00FF263F" w:rsidRDefault="00120717" w:rsidP="00075C8B">
            <w:pPr>
              <w:ind w:right="57"/>
              <w:jc w:val="right"/>
              <w:rPr>
                <w:rFonts w:cs="Calibri"/>
                <w:sz w:val="16"/>
                <w:szCs w:val="16"/>
              </w:rPr>
            </w:pPr>
            <w:r w:rsidRPr="00FF263F">
              <w:rPr>
                <w:rFonts w:cs="Calibri"/>
                <w:sz w:val="16"/>
                <w:szCs w:val="16"/>
              </w:rPr>
              <w:t>48,257</w:t>
            </w:r>
          </w:p>
        </w:tc>
        <w:tc>
          <w:tcPr>
            <w:tcW w:w="833" w:type="dxa"/>
            <w:shd w:val="clear" w:color="000000" w:fill="C9DED4"/>
            <w:tcMar>
              <w:top w:w="15" w:type="dxa"/>
              <w:left w:w="15" w:type="dxa"/>
              <w:bottom w:w="0" w:type="dxa"/>
              <w:right w:w="15" w:type="dxa"/>
            </w:tcMar>
            <w:vAlign w:val="center"/>
            <w:hideMark/>
          </w:tcPr>
          <w:p w14:paraId="2532928E" w14:textId="77777777" w:rsidR="00120717" w:rsidRPr="00FF263F" w:rsidRDefault="00120717" w:rsidP="00075C8B">
            <w:pPr>
              <w:ind w:right="57"/>
              <w:jc w:val="right"/>
              <w:rPr>
                <w:rFonts w:cs="Calibri"/>
                <w:sz w:val="16"/>
                <w:szCs w:val="16"/>
              </w:rPr>
            </w:pPr>
            <w:r w:rsidRPr="00FF263F">
              <w:rPr>
                <w:rFonts w:cs="Calibri"/>
                <w:sz w:val="16"/>
                <w:szCs w:val="16"/>
              </w:rPr>
              <w:t>49,364</w:t>
            </w:r>
          </w:p>
        </w:tc>
        <w:tc>
          <w:tcPr>
            <w:tcW w:w="834" w:type="dxa"/>
            <w:shd w:val="clear" w:color="000000" w:fill="C9DED4"/>
            <w:tcMar>
              <w:top w:w="15" w:type="dxa"/>
              <w:left w:w="15" w:type="dxa"/>
              <w:bottom w:w="0" w:type="dxa"/>
              <w:right w:w="15" w:type="dxa"/>
            </w:tcMar>
            <w:vAlign w:val="center"/>
            <w:hideMark/>
          </w:tcPr>
          <w:p w14:paraId="202D0D62" w14:textId="77777777" w:rsidR="00120717" w:rsidRPr="00FF263F" w:rsidRDefault="00120717" w:rsidP="00075C8B">
            <w:pPr>
              <w:ind w:right="57"/>
              <w:jc w:val="right"/>
              <w:rPr>
                <w:rFonts w:cs="Calibri"/>
                <w:sz w:val="16"/>
                <w:szCs w:val="16"/>
              </w:rPr>
            </w:pPr>
            <w:r w:rsidRPr="00FF263F">
              <w:rPr>
                <w:rFonts w:cs="Calibri"/>
                <w:sz w:val="16"/>
                <w:szCs w:val="16"/>
              </w:rPr>
              <w:t>50,338</w:t>
            </w:r>
          </w:p>
        </w:tc>
      </w:tr>
      <w:tr w:rsidR="00120717" w:rsidRPr="00B93EE1" w14:paraId="25F1BCB8" w14:textId="77777777" w:rsidTr="007A4ECB">
        <w:trPr>
          <w:trHeight w:val="288"/>
        </w:trPr>
        <w:tc>
          <w:tcPr>
            <w:tcW w:w="1464" w:type="dxa"/>
            <w:vMerge/>
            <w:vAlign w:val="center"/>
            <w:hideMark/>
          </w:tcPr>
          <w:p w14:paraId="3D62404D" w14:textId="77777777" w:rsidR="00120717" w:rsidRPr="00B93EE1" w:rsidRDefault="00120717" w:rsidP="00075C8B">
            <w:pPr>
              <w:rPr>
                <w:rFonts w:cs="Calibri"/>
                <w:b/>
                <w:bCs/>
                <w:color w:val="000000"/>
                <w:sz w:val="16"/>
                <w:szCs w:val="16"/>
              </w:rPr>
            </w:pPr>
          </w:p>
        </w:tc>
        <w:tc>
          <w:tcPr>
            <w:tcW w:w="1037" w:type="dxa"/>
            <w:shd w:val="clear" w:color="auto" w:fill="auto"/>
            <w:tcMar>
              <w:top w:w="15" w:type="dxa"/>
              <w:left w:w="15" w:type="dxa"/>
              <w:bottom w:w="0" w:type="dxa"/>
              <w:right w:w="15" w:type="dxa"/>
            </w:tcMar>
            <w:vAlign w:val="center"/>
            <w:hideMark/>
          </w:tcPr>
          <w:p w14:paraId="7D499B6B" w14:textId="77777777" w:rsidR="00120717" w:rsidRPr="00FF263F" w:rsidRDefault="00120717" w:rsidP="00FF263F">
            <w:pPr>
              <w:ind w:left="57"/>
              <w:jc w:val="left"/>
              <w:rPr>
                <w:rFonts w:cs="Calibri"/>
                <w:sz w:val="16"/>
                <w:szCs w:val="16"/>
              </w:rPr>
            </w:pPr>
            <w:r w:rsidRPr="00FF263F">
              <w:rPr>
                <w:rFonts w:cs="Calibri"/>
                <w:sz w:val="16"/>
                <w:szCs w:val="16"/>
              </w:rPr>
              <w:t>% Non-resident</w:t>
            </w:r>
          </w:p>
        </w:tc>
        <w:tc>
          <w:tcPr>
            <w:tcW w:w="833" w:type="dxa"/>
            <w:shd w:val="clear" w:color="auto" w:fill="auto"/>
            <w:tcMar>
              <w:top w:w="15" w:type="dxa"/>
              <w:left w:w="15" w:type="dxa"/>
              <w:bottom w:w="0" w:type="dxa"/>
              <w:right w:w="15" w:type="dxa"/>
            </w:tcMar>
            <w:vAlign w:val="center"/>
            <w:hideMark/>
          </w:tcPr>
          <w:p w14:paraId="0BDC42B9" w14:textId="77777777" w:rsidR="00120717" w:rsidRPr="00FF263F" w:rsidRDefault="00120717" w:rsidP="00075C8B">
            <w:pPr>
              <w:ind w:right="57"/>
              <w:jc w:val="right"/>
              <w:rPr>
                <w:rFonts w:cs="Calibri"/>
                <w:sz w:val="16"/>
                <w:szCs w:val="16"/>
              </w:rPr>
            </w:pPr>
            <w:r w:rsidRPr="00FF263F">
              <w:rPr>
                <w:rFonts w:cs="Calibri"/>
                <w:sz w:val="16"/>
                <w:szCs w:val="16"/>
              </w:rPr>
              <w:t>60%</w:t>
            </w:r>
          </w:p>
        </w:tc>
        <w:tc>
          <w:tcPr>
            <w:tcW w:w="834" w:type="dxa"/>
            <w:shd w:val="clear" w:color="auto" w:fill="auto"/>
            <w:tcMar>
              <w:top w:w="15" w:type="dxa"/>
              <w:left w:w="15" w:type="dxa"/>
              <w:bottom w:w="0" w:type="dxa"/>
              <w:right w:w="15" w:type="dxa"/>
            </w:tcMar>
            <w:vAlign w:val="center"/>
            <w:hideMark/>
          </w:tcPr>
          <w:p w14:paraId="1BF86796" w14:textId="77777777" w:rsidR="00120717" w:rsidRPr="00FF263F" w:rsidRDefault="00120717" w:rsidP="00075C8B">
            <w:pPr>
              <w:ind w:right="57"/>
              <w:jc w:val="right"/>
              <w:rPr>
                <w:rFonts w:cs="Calibri"/>
                <w:sz w:val="16"/>
                <w:szCs w:val="16"/>
              </w:rPr>
            </w:pPr>
            <w:r w:rsidRPr="00FF263F">
              <w:rPr>
                <w:rFonts w:cs="Calibri"/>
                <w:sz w:val="16"/>
                <w:szCs w:val="16"/>
              </w:rPr>
              <w:t>63%</w:t>
            </w:r>
          </w:p>
        </w:tc>
        <w:tc>
          <w:tcPr>
            <w:tcW w:w="833" w:type="dxa"/>
            <w:shd w:val="clear" w:color="auto" w:fill="auto"/>
            <w:tcMar>
              <w:top w:w="15" w:type="dxa"/>
              <w:left w:w="15" w:type="dxa"/>
              <w:bottom w:w="0" w:type="dxa"/>
              <w:right w:w="15" w:type="dxa"/>
            </w:tcMar>
            <w:vAlign w:val="center"/>
            <w:hideMark/>
          </w:tcPr>
          <w:p w14:paraId="23AA97B2" w14:textId="77777777" w:rsidR="00120717" w:rsidRPr="00FF263F" w:rsidRDefault="00120717" w:rsidP="00075C8B">
            <w:pPr>
              <w:ind w:right="57"/>
              <w:jc w:val="right"/>
              <w:rPr>
                <w:rFonts w:cs="Calibri"/>
                <w:sz w:val="16"/>
                <w:szCs w:val="16"/>
              </w:rPr>
            </w:pPr>
            <w:r w:rsidRPr="00FF263F">
              <w:rPr>
                <w:rFonts w:cs="Calibri"/>
                <w:sz w:val="16"/>
                <w:szCs w:val="16"/>
              </w:rPr>
              <w:t>64%</w:t>
            </w:r>
          </w:p>
        </w:tc>
        <w:tc>
          <w:tcPr>
            <w:tcW w:w="834" w:type="dxa"/>
            <w:shd w:val="clear" w:color="auto" w:fill="auto"/>
            <w:tcMar>
              <w:top w:w="15" w:type="dxa"/>
              <w:left w:w="15" w:type="dxa"/>
              <w:bottom w:w="0" w:type="dxa"/>
              <w:right w:w="15" w:type="dxa"/>
            </w:tcMar>
            <w:vAlign w:val="center"/>
            <w:hideMark/>
          </w:tcPr>
          <w:p w14:paraId="628A55F6" w14:textId="77777777" w:rsidR="00120717" w:rsidRPr="00FF263F" w:rsidRDefault="00120717" w:rsidP="00075C8B">
            <w:pPr>
              <w:ind w:right="57"/>
              <w:jc w:val="right"/>
              <w:rPr>
                <w:rFonts w:cs="Calibri"/>
                <w:sz w:val="16"/>
                <w:szCs w:val="16"/>
              </w:rPr>
            </w:pPr>
            <w:r w:rsidRPr="00FF263F">
              <w:rPr>
                <w:rFonts w:cs="Calibri"/>
                <w:sz w:val="16"/>
                <w:szCs w:val="16"/>
              </w:rPr>
              <w:t>64%</w:t>
            </w:r>
          </w:p>
        </w:tc>
        <w:tc>
          <w:tcPr>
            <w:tcW w:w="833" w:type="dxa"/>
            <w:shd w:val="clear" w:color="auto" w:fill="auto"/>
            <w:tcMar>
              <w:top w:w="15" w:type="dxa"/>
              <w:left w:w="15" w:type="dxa"/>
              <w:bottom w:w="0" w:type="dxa"/>
              <w:right w:w="15" w:type="dxa"/>
            </w:tcMar>
            <w:vAlign w:val="center"/>
            <w:hideMark/>
          </w:tcPr>
          <w:p w14:paraId="7010B773" w14:textId="77777777" w:rsidR="00120717" w:rsidRPr="00FF263F" w:rsidRDefault="00120717" w:rsidP="00075C8B">
            <w:pPr>
              <w:ind w:right="57"/>
              <w:jc w:val="right"/>
              <w:rPr>
                <w:rFonts w:cs="Calibri"/>
                <w:sz w:val="16"/>
                <w:szCs w:val="16"/>
              </w:rPr>
            </w:pPr>
            <w:r w:rsidRPr="00FF263F">
              <w:rPr>
                <w:rFonts w:cs="Calibri"/>
                <w:sz w:val="16"/>
                <w:szCs w:val="16"/>
              </w:rPr>
              <w:t>65%</w:t>
            </w:r>
          </w:p>
        </w:tc>
        <w:tc>
          <w:tcPr>
            <w:tcW w:w="834" w:type="dxa"/>
            <w:shd w:val="clear" w:color="auto" w:fill="auto"/>
            <w:tcMar>
              <w:top w:w="15" w:type="dxa"/>
              <w:left w:w="15" w:type="dxa"/>
              <w:bottom w:w="0" w:type="dxa"/>
              <w:right w:w="15" w:type="dxa"/>
            </w:tcMar>
            <w:vAlign w:val="center"/>
            <w:hideMark/>
          </w:tcPr>
          <w:p w14:paraId="4C5AA4FF" w14:textId="77777777" w:rsidR="00120717" w:rsidRPr="00FF263F" w:rsidRDefault="00120717" w:rsidP="00075C8B">
            <w:pPr>
              <w:ind w:right="57"/>
              <w:jc w:val="right"/>
              <w:rPr>
                <w:rFonts w:cs="Calibri"/>
                <w:sz w:val="16"/>
                <w:szCs w:val="16"/>
              </w:rPr>
            </w:pPr>
            <w:r w:rsidRPr="00FF263F">
              <w:rPr>
                <w:rFonts w:cs="Calibri"/>
                <w:sz w:val="16"/>
                <w:szCs w:val="16"/>
              </w:rPr>
              <w:t>64%</w:t>
            </w:r>
          </w:p>
        </w:tc>
        <w:tc>
          <w:tcPr>
            <w:tcW w:w="833" w:type="dxa"/>
            <w:shd w:val="clear" w:color="auto" w:fill="auto"/>
            <w:tcMar>
              <w:top w:w="15" w:type="dxa"/>
              <w:left w:w="15" w:type="dxa"/>
              <w:bottom w:w="0" w:type="dxa"/>
              <w:right w:w="15" w:type="dxa"/>
            </w:tcMar>
            <w:vAlign w:val="center"/>
            <w:hideMark/>
          </w:tcPr>
          <w:p w14:paraId="4C78ABF8" w14:textId="77777777" w:rsidR="00120717" w:rsidRPr="00FF263F" w:rsidRDefault="00120717" w:rsidP="00075C8B">
            <w:pPr>
              <w:ind w:right="57"/>
              <w:jc w:val="right"/>
              <w:rPr>
                <w:rFonts w:cs="Calibri"/>
                <w:sz w:val="16"/>
                <w:szCs w:val="16"/>
              </w:rPr>
            </w:pPr>
            <w:r w:rsidRPr="00FF263F">
              <w:rPr>
                <w:rFonts w:cs="Calibri"/>
                <w:sz w:val="16"/>
                <w:szCs w:val="16"/>
              </w:rPr>
              <w:t>59%</w:t>
            </w:r>
          </w:p>
        </w:tc>
        <w:tc>
          <w:tcPr>
            <w:tcW w:w="834" w:type="dxa"/>
            <w:shd w:val="clear" w:color="auto" w:fill="auto"/>
            <w:tcMar>
              <w:top w:w="15" w:type="dxa"/>
              <w:left w:w="15" w:type="dxa"/>
              <w:bottom w:w="0" w:type="dxa"/>
              <w:right w:w="15" w:type="dxa"/>
            </w:tcMar>
            <w:vAlign w:val="center"/>
            <w:hideMark/>
          </w:tcPr>
          <w:p w14:paraId="4C6A210F" w14:textId="77777777" w:rsidR="00120717" w:rsidRPr="00FF263F" w:rsidRDefault="00120717" w:rsidP="00075C8B">
            <w:pPr>
              <w:ind w:right="57"/>
              <w:jc w:val="right"/>
              <w:rPr>
                <w:rFonts w:cs="Calibri"/>
                <w:sz w:val="16"/>
                <w:szCs w:val="16"/>
              </w:rPr>
            </w:pPr>
            <w:r w:rsidRPr="00FF263F">
              <w:rPr>
                <w:rFonts w:cs="Calibri"/>
                <w:sz w:val="16"/>
                <w:szCs w:val="16"/>
              </w:rPr>
              <w:t>67%</w:t>
            </w:r>
          </w:p>
        </w:tc>
        <w:tc>
          <w:tcPr>
            <w:tcW w:w="833" w:type="dxa"/>
            <w:shd w:val="clear" w:color="auto" w:fill="auto"/>
            <w:tcMar>
              <w:top w:w="15" w:type="dxa"/>
              <w:left w:w="15" w:type="dxa"/>
              <w:bottom w:w="0" w:type="dxa"/>
              <w:right w:w="15" w:type="dxa"/>
            </w:tcMar>
            <w:vAlign w:val="center"/>
            <w:hideMark/>
          </w:tcPr>
          <w:p w14:paraId="1E831FBB" w14:textId="77777777" w:rsidR="00120717" w:rsidRPr="00FF263F" w:rsidRDefault="00120717" w:rsidP="00075C8B">
            <w:pPr>
              <w:ind w:right="57"/>
              <w:jc w:val="right"/>
              <w:rPr>
                <w:rFonts w:cs="Calibri"/>
                <w:sz w:val="16"/>
                <w:szCs w:val="16"/>
              </w:rPr>
            </w:pPr>
            <w:r w:rsidRPr="00FF263F">
              <w:rPr>
                <w:rFonts w:cs="Calibri"/>
                <w:sz w:val="16"/>
                <w:szCs w:val="16"/>
              </w:rPr>
              <w:t>69%</w:t>
            </w:r>
          </w:p>
        </w:tc>
        <w:tc>
          <w:tcPr>
            <w:tcW w:w="834" w:type="dxa"/>
            <w:shd w:val="clear" w:color="auto" w:fill="auto"/>
            <w:tcMar>
              <w:top w:w="15" w:type="dxa"/>
              <w:left w:w="15" w:type="dxa"/>
              <w:bottom w:w="0" w:type="dxa"/>
              <w:right w:w="15" w:type="dxa"/>
            </w:tcMar>
            <w:vAlign w:val="center"/>
            <w:hideMark/>
          </w:tcPr>
          <w:p w14:paraId="27651643" w14:textId="77777777" w:rsidR="00120717" w:rsidRPr="00FF263F" w:rsidRDefault="00120717" w:rsidP="00075C8B">
            <w:pPr>
              <w:ind w:right="57"/>
              <w:jc w:val="right"/>
              <w:rPr>
                <w:rFonts w:cs="Calibri"/>
                <w:sz w:val="16"/>
                <w:szCs w:val="16"/>
              </w:rPr>
            </w:pPr>
            <w:r w:rsidRPr="00FF263F">
              <w:rPr>
                <w:rFonts w:cs="Calibri"/>
                <w:sz w:val="16"/>
                <w:szCs w:val="16"/>
              </w:rPr>
              <w:t>67%</w:t>
            </w:r>
          </w:p>
        </w:tc>
        <w:tc>
          <w:tcPr>
            <w:tcW w:w="833" w:type="dxa"/>
            <w:shd w:val="clear" w:color="auto" w:fill="auto"/>
            <w:tcMar>
              <w:top w:w="15" w:type="dxa"/>
              <w:left w:w="15" w:type="dxa"/>
              <w:bottom w:w="0" w:type="dxa"/>
              <w:right w:w="15" w:type="dxa"/>
            </w:tcMar>
            <w:vAlign w:val="center"/>
            <w:hideMark/>
          </w:tcPr>
          <w:p w14:paraId="6C13CD32" w14:textId="77777777" w:rsidR="00120717" w:rsidRPr="00FF263F" w:rsidRDefault="00120717" w:rsidP="00075C8B">
            <w:pPr>
              <w:ind w:right="57"/>
              <w:jc w:val="right"/>
              <w:rPr>
                <w:rFonts w:cs="Calibri"/>
                <w:sz w:val="16"/>
                <w:szCs w:val="16"/>
              </w:rPr>
            </w:pPr>
            <w:r w:rsidRPr="00FF263F">
              <w:rPr>
                <w:rFonts w:cs="Calibri"/>
                <w:sz w:val="16"/>
                <w:szCs w:val="16"/>
              </w:rPr>
              <w:t>70%</w:t>
            </w:r>
          </w:p>
        </w:tc>
        <w:tc>
          <w:tcPr>
            <w:tcW w:w="834" w:type="dxa"/>
            <w:shd w:val="clear" w:color="auto" w:fill="auto"/>
            <w:tcMar>
              <w:top w:w="15" w:type="dxa"/>
              <w:left w:w="15" w:type="dxa"/>
              <w:bottom w:w="0" w:type="dxa"/>
              <w:right w:w="15" w:type="dxa"/>
            </w:tcMar>
            <w:vAlign w:val="center"/>
            <w:hideMark/>
          </w:tcPr>
          <w:p w14:paraId="4EB3F498" w14:textId="77777777" w:rsidR="00120717" w:rsidRPr="00FF263F" w:rsidRDefault="00120717" w:rsidP="00075C8B">
            <w:pPr>
              <w:ind w:right="57"/>
              <w:jc w:val="right"/>
              <w:rPr>
                <w:rFonts w:cs="Calibri"/>
                <w:sz w:val="16"/>
                <w:szCs w:val="16"/>
              </w:rPr>
            </w:pPr>
            <w:r w:rsidRPr="00FF263F">
              <w:rPr>
                <w:rFonts w:cs="Calibri"/>
                <w:sz w:val="16"/>
                <w:szCs w:val="16"/>
              </w:rPr>
              <w:t>69%</w:t>
            </w:r>
          </w:p>
        </w:tc>
        <w:tc>
          <w:tcPr>
            <w:tcW w:w="833" w:type="dxa"/>
            <w:shd w:val="clear" w:color="auto" w:fill="auto"/>
            <w:tcMar>
              <w:top w:w="15" w:type="dxa"/>
              <w:left w:w="15" w:type="dxa"/>
              <w:bottom w:w="0" w:type="dxa"/>
              <w:right w:w="15" w:type="dxa"/>
            </w:tcMar>
            <w:vAlign w:val="center"/>
            <w:hideMark/>
          </w:tcPr>
          <w:p w14:paraId="68BB47C1" w14:textId="77777777" w:rsidR="00120717" w:rsidRPr="00FF263F" w:rsidRDefault="00120717" w:rsidP="00075C8B">
            <w:pPr>
              <w:ind w:right="57"/>
              <w:jc w:val="right"/>
              <w:rPr>
                <w:rFonts w:cs="Calibri"/>
                <w:sz w:val="16"/>
                <w:szCs w:val="16"/>
              </w:rPr>
            </w:pPr>
            <w:r w:rsidRPr="00FF263F">
              <w:rPr>
                <w:rFonts w:cs="Calibri"/>
                <w:sz w:val="16"/>
                <w:szCs w:val="16"/>
              </w:rPr>
              <w:t>70%</w:t>
            </w:r>
          </w:p>
        </w:tc>
        <w:tc>
          <w:tcPr>
            <w:tcW w:w="834" w:type="dxa"/>
            <w:shd w:val="clear" w:color="auto" w:fill="auto"/>
            <w:tcMar>
              <w:top w:w="15" w:type="dxa"/>
              <w:left w:w="15" w:type="dxa"/>
              <w:bottom w:w="0" w:type="dxa"/>
              <w:right w:w="15" w:type="dxa"/>
            </w:tcMar>
            <w:vAlign w:val="center"/>
            <w:hideMark/>
          </w:tcPr>
          <w:p w14:paraId="73BC9D76" w14:textId="77777777" w:rsidR="00120717" w:rsidRPr="00FF263F" w:rsidRDefault="00120717" w:rsidP="00075C8B">
            <w:pPr>
              <w:ind w:right="57"/>
              <w:jc w:val="right"/>
              <w:rPr>
                <w:rFonts w:cs="Calibri"/>
                <w:sz w:val="16"/>
                <w:szCs w:val="16"/>
              </w:rPr>
            </w:pPr>
            <w:r w:rsidRPr="00FF263F">
              <w:rPr>
                <w:rFonts w:cs="Calibri"/>
                <w:sz w:val="16"/>
                <w:szCs w:val="16"/>
              </w:rPr>
              <w:t>68%</w:t>
            </w:r>
          </w:p>
        </w:tc>
      </w:tr>
      <w:tr w:rsidR="007A4ECB" w:rsidRPr="00B93EE1" w14:paraId="33DFCF1D" w14:textId="77777777" w:rsidTr="007A4ECB">
        <w:trPr>
          <w:trHeight w:val="300"/>
        </w:trPr>
        <w:tc>
          <w:tcPr>
            <w:tcW w:w="1464" w:type="dxa"/>
            <w:vMerge/>
            <w:vAlign w:val="center"/>
            <w:hideMark/>
          </w:tcPr>
          <w:p w14:paraId="45E19445" w14:textId="77777777" w:rsidR="00120717" w:rsidRPr="00B93EE1" w:rsidRDefault="00120717" w:rsidP="00075C8B">
            <w:pPr>
              <w:rPr>
                <w:rFonts w:cs="Calibri"/>
                <w:b/>
                <w:bCs/>
                <w:color w:val="000000"/>
                <w:sz w:val="16"/>
                <w:szCs w:val="16"/>
              </w:rPr>
            </w:pPr>
          </w:p>
        </w:tc>
        <w:tc>
          <w:tcPr>
            <w:tcW w:w="1037" w:type="dxa"/>
            <w:shd w:val="clear" w:color="000000" w:fill="C9DED4"/>
            <w:tcMar>
              <w:top w:w="15" w:type="dxa"/>
              <w:left w:w="15" w:type="dxa"/>
              <w:bottom w:w="0" w:type="dxa"/>
              <w:right w:w="15" w:type="dxa"/>
            </w:tcMar>
            <w:vAlign w:val="center"/>
            <w:hideMark/>
          </w:tcPr>
          <w:p w14:paraId="7A01E218" w14:textId="77777777" w:rsidR="00120717" w:rsidRPr="00FF263F" w:rsidRDefault="00120717" w:rsidP="00FF263F">
            <w:pPr>
              <w:ind w:left="57"/>
              <w:jc w:val="left"/>
              <w:rPr>
                <w:rFonts w:cs="Calibri"/>
                <w:i/>
                <w:iCs/>
                <w:sz w:val="16"/>
                <w:szCs w:val="16"/>
              </w:rPr>
            </w:pPr>
            <w:r w:rsidRPr="00FF263F">
              <w:rPr>
                <w:rFonts w:cs="Calibri"/>
                <w:i/>
                <w:iCs/>
                <w:sz w:val="16"/>
                <w:szCs w:val="16"/>
              </w:rPr>
              <w:t>Abroad</w:t>
            </w:r>
          </w:p>
        </w:tc>
        <w:tc>
          <w:tcPr>
            <w:tcW w:w="833" w:type="dxa"/>
            <w:shd w:val="clear" w:color="000000" w:fill="C9DED4"/>
            <w:tcMar>
              <w:top w:w="15" w:type="dxa"/>
              <w:left w:w="15" w:type="dxa"/>
              <w:bottom w:w="0" w:type="dxa"/>
              <w:right w:w="15" w:type="dxa"/>
            </w:tcMar>
            <w:vAlign w:val="center"/>
            <w:hideMark/>
          </w:tcPr>
          <w:p w14:paraId="354BBA6A" w14:textId="77777777" w:rsidR="00120717" w:rsidRPr="00FF263F" w:rsidRDefault="00120717" w:rsidP="00075C8B">
            <w:pPr>
              <w:ind w:right="57"/>
              <w:jc w:val="right"/>
              <w:rPr>
                <w:rFonts w:cs="Calibri"/>
                <w:i/>
                <w:iCs/>
                <w:sz w:val="16"/>
                <w:szCs w:val="16"/>
              </w:rPr>
            </w:pPr>
            <w:r w:rsidRPr="00FF263F">
              <w:rPr>
                <w:rFonts w:cs="Calibri"/>
                <w:i/>
                <w:iCs/>
                <w:sz w:val="16"/>
                <w:szCs w:val="16"/>
              </w:rPr>
              <w:t>20,469</w:t>
            </w:r>
          </w:p>
        </w:tc>
        <w:tc>
          <w:tcPr>
            <w:tcW w:w="834" w:type="dxa"/>
            <w:shd w:val="clear" w:color="000000" w:fill="C9DED4"/>
            <w:tcMar>
              <w:top w:w="15" w:type="dxa"/>
              <w:left w:w="15" w:type="dxa"/>
              <w:bottom w:w="0" w:type="dxa"/>
              <w:right w:w="15" w:type="dxa"/>
            </w:tcMar>
            <w:vAlign w:val="center"/>
            <w:hideMark/>
          </w:tcPr>
          <w:p w14:paraId="353B4C8D" w14:textId="77777777" w:rsidR="00120717" w:rsidRPr="00FF263F" w:rsidRDefault="00120717" w:rsidP="00075C8B">
            <w:pPr>
              <w:ind w:right="57"/>
              <w:jc w:val="right"/>
              <w:rPr>
                <w:rFonts w:cs="Calibri"/>
                <w:i/>
                <w:iCs/>
                <w:sz w:val="16"/>
                <w:szCs w:val="16"/>
              </w:rPr>
            </w:pPr>
            <w:r w:rsidRPr="00FF263F">
              <w:rPr>
                <w:rFonts w:cs="Calibri"/>
                <w:i/>
                <w:iCs/>
                <w:sz w:val="16"/>
                <w:szCs w:val="16"/>
              </w:rPr>
              <w:t>22,500</w:t>
            </w:r>
          </w:p>
        </w:tc>
        <w:tc>
          <w:tcPr>
            <w:tcW w:w="833" w:type="dxa"/>
            <w:shd w:val="clear" w:color="000000" w:fill="C9DED4"/>
            <w:tcMar>
              <w:top w:w="15" w:type="dxa"/>
              <w:left w:w="15" w:type="dxa"/>
              <w:bottom w:w="0" w:type="dxa"/>
              <w:right w:w="15" w:type="dxa"/>
            </w:tcMar>
            <w:vAlign w:val="center"/>
            <w:hideMark/>
          </w:tcPr>
          <w:p w14:paraId="3EF4811C" w14:textId="77777777" w:rsidR="00120717" w:rsidRPr="00FF263F" w:rsidRDefault="00120717" w:rsidP="00075C8B">
            <w:pPr>
              <w:ind w:right="57"/>
              <w:jc w:val="right"/>
              <w:rPr>
                <w:rFonts w:cs="Calibri"/>
                <w:i/>
                <w:iCs/>
                <w:sz w:val="16"/>
                <w:szCs w:val="16"/>
              </w:rPr>
            </w:pPr>
            <w:r w:rsidRPr="00FF263F">
              <w:rPr>
                <w:rFonts w:cs="Calibri"/>
                <w:i/>
                <w:iCs/>
                <w:sz w:val="16"/>
                <w:szCs w:val="16"/>
              </w:rPr>
              <w:t>26,742</w:t>
            </w:r>
          </w:p>
        </w:tc>
        <w:tc>
          <w:tcPr>
            <w:tcW w:w="834" w:type="dxa"/>
            <w:shd w:val="clear" w:color="000000" w:fill="C9DED4"/>
            <w:tcMar>
              <w:top w:w="15" w:type="dxa"/>
              <w:left w:w="15" w:type="dxa"/>
              <w:bottom w:w="0" w:type="dxa"/>
              <w:right w:w="15" w:type="dxa"/>
            </w:tcMar>
            <w:vAlign w:val="center"/>
            <w:hideMark/>
          </w:tcPr>
          <w:p w14:paraId="4509D860" w14:textId="77777777" w:rsidR="00120717" w:rsidRPr="00FF263F" w:rsidRDefault="00120717" w:rsidP="00075C8B">
            <w:pPr>
              <w:ind w:right="57"/>
              <w:jc w:val="right"/>
              <w:rPr>
                <w:rFonts w:cs="Calibri"/>
                <w:i/>
                <w:iCs/>
                <w:sz w:val="16"/>
                <w:szCs w:val="16"/>
              </w:rPr>
            </w:pPr>
            <w:r w:rsidRPr="00FF263F">
              <w:rPr>
                <w:rFonts w:cs="Calibri"/>
                <w:i/>
                <w:iCs/>
                <w:sz w:val="16"/>
                <w:szCs w:val="16"/>
              </w:rPr>
              <w:t>24,171</w:t>
            </w:r>
          </w:p>
        </w:tc>
        <w:tc>
          <w:tcPr>
            <w:tcW w:w="833" w:type="dxa"/>
            <w:shd w:val="clear" w:color="000000" w:fill="C9DED4"/>
            <w:tcMar>
              <w:top w:w="15" w:type="dxa"/>
              <w:left w:w="15" w:type="dxa"/>
              <w:bottom w:w="0" w:type="dxa"/>
              <w:right w:w="15" w:type="dxa"/>
            </w:tcMar>
            <w:vAlign w:val="center"/>
            <w:hideMark/>
          </w:tcPr>
          <w:p w14:paraId="25BEC679" w14:textId="77777777" w:rsidR="00120717" w:rsidRPr="00FF263F" w:rsidRDefault="00120717" w:rsidP="00075C8B">
            <w:pPr>
              <w:ind w:right="57"/>
              <w:jc w:val="right"/>
              <w:rPr>
                <w:rFonts w:cs="Calibri"/>
                <w:i/>
                <w:iCs/>
                <w:sz w:val="16"/>
                <w:szCs w:val="16"/>
              </w:rPr>
            </w:pPr>
            <w:r w:rsidRPr="00FF263F">
              <w:rPr>
                <w:rFonts w:cs="Calibri"/>
                <w:i/>
                <w:iCs/>
                <w:sz w:val="16"/>
                <w:szCs w:val="16"/>
              </w:rPr>
              <w:t>30,100</w:t>
            </w:r>
          </w:p>
        </w:tc>
        <w:tc>
          <w:tcPr>
            <w:tcW w:w="834" w:type="dxa"/>
            <w:shd w:val="clear" w:color="000000" w:fill="C9DED4"/>
            <w:tcMar>
              <w:top w:w="15" w:type="dxa"/>
              <w:left w:w="15" w:type="dxa"/>
              <w:bottom w:w="0" w:type="dxa"/>
              <w:right w:w="15" w:type="dxa"/>
            </w:tcMar>
            <w:vAlign w:val="center"/>
            <w:hideMark/>
          </w:tcPr>
          <w:p w14:paraId="22D0E381" w14:textId="77777777" w:rsidR="00120717" w:rsidRPr="00FF263F" w:rsidRDefault="00120717" w:rsidP="00075C8B">
            <w:pPr>
              <w:ind w:right="57"/>
              <w:jc w:val="right"/>
              <w:rPr>
                <w:rFonts w:cs="Calibri"/>
                <w:i/>
                <w:iCs/>
                <w:sz w:val="16"/>
                <w:szCs w:val="16"/>
              </w:rPr>
            </w:pPr>
            <w:r w:rsidRPr="00FF263F">
              <w:rPr>
                <w:rFonts w:cs="Calibri"/>
                <w:i/>
                <w:iCs/>
                <w:sz w:val="16"/>
                <w:szCs w:val="16"/>
              </w:rPr>
              <w:t>29,784</w:t>
            </w:r>
          </w:p>
        </w:tc>
        <w:tc>
          <w:tcPr>
            <w:tcW w:w="833" w:type="dxa"/>
            <w:shd w:val="clear" w:color="000000" w:fill="C9DED4"/>
            <w:tcMar>
              <w:top w:w="15" w:type="dxa"/>
              <w:left w:w="15" w:type="dxa"/>
              <w:bottom w:w="0" w:type="dxa"/>
              <w:right w:w="15" w:type="dxa"/>
            </w:tcMar>
            <w:vAlign w:val="center"/>
            <w:hideMark/>
          </w:tcPr>
          <w:p w14:paraId="42B493A5" w14:textId="77777777" w:rsidR="00120717" w:rsidRPr="00FF263F" w:rsidRDefault="00120717" w:rsidP="00075C8B">
            <w:pPr>
              <w:ind w:right="57"/>
              <w:jc w:val="right"/>
              <w:rPr>
                <w:rFonts w:cs="Calibri"/>
                <w:i/>
                <w:iCs/>
                <w:sz w:val="16"/>
                <w:szCs w:val="16"/>
              </w:rPr>
            </w:pPr>
            <w:r w:rsidRPr="00FF263F">
              <w:rPr>
                <w:rFonts w:cs="Calibri"/>
                <w:i/>
                <w:iCs/>
                <w:sz w:val="16"/>
                <w:szCs w:val="16"/>
              </w:rPr>
              <w:t>28,191</w:t>
            </w:r>
          </w:p>
        </w:tc>
        <w:tc>
          <w:tcPr>
            <w:tcW w:w="834" w:type="dxa"/>
            <w:shd w:val="clear" w:color="000000" w:fill="C9DED4"/>
            <w:tcMar>
              <w:top w:w="15" w:type="dxa"/>
              <w:left w:w="15" w:type="dxa"/>
              <w:bottom w:w="0" w:type="dxa"/>
              <w:right w:w="15" w:type="dxa"/>
            </w:tcMar>
            <w:vAlign w:val="center"/>
            <w:hideMark/>
          </w:tcPr>
          <w:p w14:paraId="2490FB3B" w14:textId="77777777" w:rsidR="00120717" w:rsidRPr="00FF263F" w:rsidRDefault="00120717" w:rsidP="00075C8B">
            <w:pPr>
              <w:ind w:right="57"/>
              <w:jc w:val="right"/>
              <w:rPr>
                <w:rFonts w:cs="Calibri"/>
                <w:i/>
                <w:iCs/>
                <w:sz w:val="16"/>
                <w:szCs w:val="16"/>
              </w:rPr>
            </w:pPr>
            <w:r w:rsidRPr="00FF263F">
              <w:rPr>
                <w:rFonts w:cs="Calibri"/>
                <w:i/>
                <w:iCs/>
                <w:sz w:val="16"/>
                <w:szCs w:val="16"/>
              </w:rPr>
              <w:t>21,433</w:t>
            </w:r>
          </w:p>
        </w:tc>
        <w:tc>
          <w:tcPr>
            <w:tcW w:w="833" w:type="dxa"/>
            <w:shd w:val="clear" w:color="000000" w:fill="C9DED4"/>
            <w:tcMar>
              <w:top w:w="15" w:type="dxa"/>
              <w:left w:w="15" w:type="dxa"/>
              <w:bottom w:w="0" w:type="dxa"/>
              <w:right w:w="15" w:type="dxa"/>
            </w:tcMar>
            <w:vAlign w:val="center"/>
            <w:hideMark/>
          </w:tcPr>
          <w:p w14:paraId="6902DB8D" w14:textId="77777777" w:rsidR="00120717" w:rsidRPr="00FF263F" w:rsidRDefault="00120717" w:rsidP="00075C8B">
            <w:pPr>
              <w:ind w:right="57"/>
              <w:jc w:val="right"/>
              <w:rPr>
                <w:rFonts w:cs="Calibri"/>
                <w:i/>
                <w:iCs/>
                <w:sz w:val="16"/>
                <w:szCs w:val="16"/>
              </w:rPr>
            </w:pPr>
            <w:r w:rsidRPr="00FF263F">
              <w:rPr>
                <w:rFonts w:cs="Calibri"/>
                <w:i/>
                <w:iCs/>
                <w:sz w:val="16"/>
                <w:szCs w:val="16"/>
              </w:rPr>
              <w:t>23,503</w:t>
            </w:r>
          </w:p>
        </w:tc>
        <w:tc>
          <w:tcPr>
            <w:tcW w:w="834" w:type="dxa"/>
            <w:shd w:val="clear" w:color="000000" w:fill="C9DED4"/>
            <w:tcMar>
              <w:top w:w="15" w:type="dxa"/>
              <w:left w:w="15" w:type="dxa"/>
              <w:bottom w:w="0" w:type="dxa"/>
              <w:right w:w="15" w:type="dxa"/>
            </w:tcMar>
            <w:vAlign w:val="center"/>
            <w:hideMark/>
          </w:tcPr>
          <w:p w14:paraId="2DAD9740" w14:textId="77777777" w:rsidR="00120717" w:rsidRPr="00FF263F" w:rsidRDefault="00120717" w:rsidP="00075C8B">
            <w:pPr>
              <w:ind w:right="57"/>
              <w:jc w:val="right"/>
              <w:rPr>
                <w:rFonts w:cs="Calibri"/>
                <w:i/>
                <w:iCs/>
                <w:sz w:val="16"/>
                <w:szCs w:val="16"/>
              </w:rPr>
            </w:pPr>
            <w:r w:rsidRPr="00FF263F">
              <w:rPr>
                <w:rFonts w:cs="Calibri"/>
                <w:i/>
                <w:iCs/>
                <w:sz w:val="16"/>
                <w:szCs w:val="16"/>
              </w:rPr>
              <w:t>22,243</w:t>
            </w:r>
          </w:p>
        </w:tc>
        <w:tc>
          <w:tcPr>
            <w:tcW w:w="833" w:type="dxa"/>
            <w:shd w:val="clear" w:color="000000" w:fill="C9DED4"/>
            <w:tcMar>
              <w:top w:w="15" w:type="dxa"/>
              <w:left w:w="15" w:type="dxa"/>
              <w:bottom w:w="0" w:type="dxa"/>
              <w:right w:w="15" w:type="dxa"/>
            </w:tcMar>
            <w:vAlign w:val="center"/>
            <w:hideMark/>
          </w:tcPr>
          <w:p w14:paraId="779042B8" w14:textId="77777777" w:rsidR="00120717" w:rsidRPr="00FF263F" w:rsidRDefault="00120717" w:rsidP="00075C8B">
            <w:pPr>
              <w:ind w:right="57"/>
              <w:jc w:val="right"/>
              <w:rPr>
                <w:rFonts w:cs="Calibri"/>
                <w:i/>
                <w:iCs/>
                <w:sz w:val="16"/>
                <w:szCs w:val="16"/>
              </w:rPr>
            </w:pPr>
            <w:r w:rsidRPr="00FF263F">
              <w:rPr>
                <w:rFonts w:cs="Calibri"/>
                <w:i/>
                <w:iCs/>
                <w:sz w:val="16"/>
                <w:szCs w:val="16"/>
              </w:rPr>
              <w:t>23,990</w:t>
            </w:r>
          </w:p>
        </w:tc>
        <w:tc>
          <w:tcPr>
            <w:tcW w:w="834" w:type="dxa"/>
            <w:shd w:val="clear" w:color="000000" w:fill="C9DED4"/>
            <w:tcMar>
              <w:top w:w="15" w:type="dxa"/>
              <w:left w:w="15" w:type="dxa"/>
              <w:bottom w:w="0" w:type="dxa"/>
              <w:right w:w="15" w:type="dxa"/>
            </w:tcMar>
            <w:vAlign w:val="center"/>
            <w:hideMark/>
          </w:tcPr>
          <w:p w14:paraId="745C9031" w14:textId="77777777" w:rsidR="00120717" w:rsidRPr="00FF263F" w:rsidRDefault="00120717" w:rsidP="00075C8B">
            <w:pPr>
              <w:ind w:right="57"/>
              <w:jc w:val="right"/>
              <w:rPr>
                <w:rFonts w:cs="Calibri"/>
                <w:i/>
                <w:iCs/>
                <w:sz w:val="16"/>
                <w:szCs w:val="16"/>
              </w:rPr>
            </w:pPr>
            <w:r w:rsidRPr="00FF263F">
              <w:rPr>
                <w:rFonts w:cs="Calibri"/>
                <w:i/>
                <w:iCs/>
                <w:sz w:val="16"/>
                <w:szCs w:val="16"/>
              </w:rPr>
              <w:t>26,939</w:t>
            </w:r>
          </w:p>
        </w:tc>
        <w:tc>
          <w:tcPr>
            <w:tcW w:w="833" w:type="dxa"/>
            <w:shd w:val="clear" w:color="000000" w:fill="C9DED4"/>
            <w:tcMar>
              <w:top w:w="15" w:type="dxa"/>
              <w:left w:w="15" w:type="dxa"/>
              <w:bottom w:w="0" w:type="dxa"/>
              <w:right w:w="15" w:type="dxa"/>
            </w:tcMar>
            <w:vAlign w:val="center"/>
            <w:hideMark/>
          </w:tcPr>
          <w:p w14:paraId="1E1491AD" w14:textId="77777777" w:rsidR="00120717" w:rsidRPr="00FF263F" w:rsidRDefault="00120717" w:rsidP="00075C8B">
            <w:pPr>
              <w:ind w:right="57"/>
              <w:jc w:val="right"/>
              <w:rPr>
                <w:rFonts w:cs="Calibri"/>
                <w:i/>
                <w:iCs/>
                <w:sz w:val="16"/>
                <w:szCs w:val="16"/>
              </w:rPr>
            </w:pPr>
            <w:r w:rsidRPr="00FF263F">
              <w:rPr>
                <w:rFonts w:cs="Calibri"/>
                <w:i/>
                <w:iCs/>
                <w:sz w:val="16"/>
                <w:szCs w:val="16"/>
              </w:rPr>
              <w:t>30,691</w:t>
            </w:r>
          </w:p>
        </w:tc>
        <w:tc>
          <w:tcPr>
            <w:tcW w:w="834" w:type="dxa"/>
            <w:shd w:val="clear" w:color="000000" w:fill="C9DED4"/>
            <w:tcMar>
              <w:top w:w="15" w:type="dxa"/>
              <w:left w:w="15" w:type="dxa"/>
              <w:bottom w:w="0" w:type="dxa"/>
              <w:right w:w="15" w:type="dxa"/>
            </w:tcMar>
            <w:vAlign w:val="center"/>
            <w:hideMark/>
          </w:tcPr>
          <w:p w14:paraId="162566A7" w14:textId="77777777" w:rsidR="00120717" w:rsidRPr="00FF263F" w:rsidRDefault="00120717" w:rsidP="00075C8B">
            <w:pPr>
              <w:ind w:right="57"/>
              <w:jc w:val="right"/>
              <w:rPr>
                <w:rFonts w:cs="Calibri"/>
                <w:i/>
                <w:iCs/>
                <w:sz w:val="16"/>
                <w:szCs w:val="16"/>
              </w:rPr>
            </w:pPr>
            <w:r w:rsidRPr="00FF263F">
              <w:rPr>
                <w:rFonts w:cs="Calibri"/>
                <w:i/>
                <w:iCs/>
                <w:sz w:val="16"/>
                <w:szCs w:val="16"/>
              </w:rPr>
              <w:t>27,594</w:t>
            </w:r>
          </w:p>
        </w:tc>
      </w:tr>
      <w:tr w:rsidR="00120717" w:rsidRPr="00B93EE1" w14:paraId="4D41C6AD" w14:textId="77777777" w:rsidTr="007A4ECB">
        <w:trPr>
          <w:trHeight w:val="288"/>
        </w:trPr>
        <w:tc>
          <w:tcPr>
            <w:tcW w:w="1464" w:type="dxa"/>
            <w:vMerge w:val="restart"/>
            <w:shd w:val="clear" w:color="000000" w:fill="C9DED4"/>
            <w:tcMar>
              <w:top w:w="15" w:type="dxa"/>
              <w:left w:w="15" w:type="dxa"/>
              <w:bottom w:w="0" w:type="dxa"/>
              <w:right w:w="15" w:type="dxa"/>
            </w:tcMar>
            <w:vAlign w:val="center"/>
            <w:hideMark/>
          </w:tcPr>
          <w:p w14:paraId="2C195916" w14:textId="77777777" w:rsidR="00120717" w:rsidRPr="00B93EE1" w:rsidRDefault="00120717" w:rsidP="00075C8B">
            <w:pPr>
              <w:jc w:val="left"/>
              <w:rPr>
                <w:rFonts w:cs="Calibri"/>
                <w:b/>
                <w:bCs/>
                <w:color w:val="000000"/>
                <w:sz w:val="16"/>
                <w:szCs w:val="16"/>
              </w:rPr>
            </w:pPr>
            <w:r w:rsidRPr="00B93EE1">
              <w:rPr>
                <w:rFonts w:cs="Calibri"/>
                <w:b/>
                <w:bCs/>
                <w:color w:val="000000"/>
                <w:sz w:val="16"/>
                <w:szCs w:val="16"/>
              </w:rPr>
              <w:t>Patents</w:t>
            </w:r>
          </w:p>
        </w:tc>
        <w:tc>
          <w:tcPr>
            <w:tcW w:w="1037" w:type="dxa"/>
            <w:shd w:val="clear" w:color="auto" w:fill="auto"/>
            <w:tcMar>
              <w:top w:w="15" w:type="dxa"/>
              <w:left w:w="15" w:type="dxa"/>
              <w:bottom w:w="0" w:type="dxa"/>
              <w:right w:w="15" w:type="dxa"/>
            </w:tcMar>
            <w:vAlign w:val="center"/>
            <w:hideMark/>
          </w:tcPr>
          <w:p w14:paraId="637B7AC1" w14:textId="77777777" w:rsidR="00120717" w:rsidRPr="00FF263F" w:rsidRDefault="00120717" w:rsidP="00FF263F">
            <w:pPr>
              <w:ind w:left="57"/>
              <w:rPr>
                <w:rFonts w:cs="Calibri"/>
                <w:sz w:val="16"/>
                <w:szCs w:val="16"/>
              </w:rPr>
            </w:pPr>
            <w:r w:rsidRPr="00FF263F">
              <w:rPr>
                <w:rFonts w:cs="Calibri"/>
                <w:sz w:val="16"/>
                <w:szCs w:val="16"/>
              </w:rPr>
              <w:t>Resident</w:t>
            </w:r>
          </w:p>
        </w:tc>
        <w:tc>
          <w:tcPr>
            <w:tcW w:w="833" w:type="dxa"/>
            <w:shd w:val="clear" w:color="000000" w:fill="FAFAFA"/>
            <w:tcMar>
              <w:top w:w="15" w:type="dxa"/>
              <w:left w:w="15" w:type="dxa"/>
              <w:bottom w:w="0" w:type="dxa"/>
              <w:right w:w="15" w:type="dxa"/>
            </w:tcMar>
            <w:vAlign w:val="center"/>
            <w:hideMark/>
          </w:tcPr>
          <w:p w14:paraId="13212F2F" w14:textId="77777777" w:rsidR="00120717" w:rsidRPr="00FF263F" w:rsidRDefault="00120717" w:rsidP="00075C8B">
            <w:pPr>
              <w:ind w:right="57"/>
              <w:jc w:val="right"/>
              <w:rPr>
                <w:rFonts w:cs="Calibri"/>
                <w:sz w:val="16"/>
                <w:szCs w:val="16"/>
              </w:rPr>
            </w:pPr>
            <w:r w:rsidRPr="00FF263F">
              <w:rPr>
                <w:rFonts w:cs="Calibri"/>
                <w:sz w:val="16"/>
                <w:szCs w:val="16"/>
              </w:rPr>
              <w:t>1,636</w:t>
            </w:r>
          </w:p>
        </w:tc>
        <w:tc>
          <w:tcPr>
            <w:tcW w:w="834" w:type="dxa"/>
            <w:shd w:val="clear" w:color="000000" w:fill="FAFAFA"/>
            <w:tcMar>
              <w:top w:w="15" w:type="dxa"/>
              <w:left w:w="15" w:type="dxa"/>
              <w:bottom w:w="0" w:type="dxa"/>
              <w:right w:w="15" w:type="dxa"/>
            </w:tcMar>
            <w:vAlign w:val="center"/>
            <w:hideMark/>
          </w:tcPr>
          <w:p w14:paraId="7B1BD538" w14:textId="77777777" w:rsidR="00120717" w:rsidRPr="00FF263F" w:rsidRDefault="00120717" w:rsidP="00075C8B">
            <w:pPr>
              <w:ind w:right="57"/>
              <w:jc w:val="right"/>
              <w:rPr>
                <w:rFonts w:cs="Calibri"/>
                <w:sz w:val="16"/>
                <w:szCs w:val="16"/>
              </w:rPr>
            </w:pPr>
            <w:r w:rsidRPr="00FF263F">
              <w:rPr>
                <w:rFonts w:cs="Calibri"/>
                <w:sz w:val="16"/>
                <w:szCs w:val="16"/>
              </w:rPr>
              <w:t>1,184</w:t>
            </w:r>
          </w:p>
        </w:tc>
        <w:tc>
          <w:tcPr>
            <w:tcW w:w="833" w:type="dxa"/>
            <w:shd w:val="clear" w:color="000000" w:fill="FAFAFA"/>
            <w:tcMar>
              <w:top w:w="15" w:type="dxa"/>
              <w:left w:w="15" w:type="dxa"/>
              <w:bottom w:w="0" w:type="dxa"/>
              <w:right w:w="15" w:type="dxa"/>
            </w:tcMar>
            <w:vAlign w:val="center"/>
            <w:hideMark/>
          </w:tcPr>
          <w:p w14:paraId="75CFB98E" w14:textId="77777777" w:rsidR="00120717" w:rsidRPr="00FF263F" w:rsidRDefault="00120717" w:rsidP="00075C8B">
            <w:pPr>
              <w:ind w:right="57"/>
              <w:jc w:val="right"/>
              <w:rPr>
                <w:rFonts w:cs="Calibri"/>
                <w:sz w:val="16"/>
                <w:szCs w:val="16"/>
              </w:rPr>
            </w:pPr>
            <w:r w:rsidRPr="00FF263F">
              <w:rPr>
                <w:rFonts w:cs="Calibri"/>
                <w:sz w:val="16"/>
                <w:szCs w:val="16"/>
              </w:rPr>
              <w:t>1,075</w:t>
            </w:r>
          </w:p>
        </w:tc>
        <w:tc>
          <w:tcPr>
            <w:tcW w:w="834" w:type="dxa"/>
            <w:shd w:val="clear" w:color="000000" w:fill="FAFAFA"/>
            <w:tcMar>
              <w:top w:w="15" w:type="dxa"/>
              <w:left w:w="15" w:type="dxa"/>
              <w:bottom w:w="0" w:type="dxa"/>
              <w:right w:w="15" w:type="dxa"/>
            </w:tcMar>
            <w:vAlign w:val="center"/>
            <w:hideMark/>
          </w:tcPr>
          <w:p w14:paraId="3D0E724C" w14:textId="77777777" w:rsidR="00120717" w:rsidRPr="00FF263F" w:rsidRDefault="00120717" w:rsidP="00075C8B">
            <w:pPr>
              <w:ind w:right="57"/>
              <w:jc w:val="right"/>
              <w:rPr>
                <w:rFonts w:cs="Calibri"/>
                <w:sz w:val="16"/>
                <w:szCs w:val="16"/>
              </w:rPr>
            </w:pPr>
            <w:r w:rsidRPr="00FF263F">
              <w:rPr>
                <w:rFonts w:cs="Calibri"/>
                <w:sz w:val="16"/>
                <w:szCs w:val="16"/>
              </w:rPr>
              <w:t>1,014</w:t>
            </w:r>
          </w:p>
        </w:tc>
        <w:tc>
          <w:tcPr>
            <w:tcW w:w="833" w:type="dxa"/>
            <w:shd w:val="clear" w:color="000000" w:fill="FAFAFA"/>
            <w:tcMar>
              <w:top w:w="15" w:type="dxa"/>
              <w:left w:w="15" w:type="dxa"/>
              <w:bottom w:w="0" w:type="dxa"/>
              <w:right w:w="15" w:type="dxa"/>
            </w:tcMar>
            <w:vAlign w:val="center"/>
            <w:hideMark/>
          </w:tcPr>
          <w:p w14:paraId="6E43B53C" w14:textId="77777777" w:rsidR="00120717" w:rsidRPr="00FF263F" w:rsidRDefault="00120717" w:rsidP="00075C8B">
            <w:pPr>
              <w:ind w:right="57"/>
              <w:jc w:val="right"/>
              <w:rPr>
                <w:rFonts w:cs="Calibri"/>
                <w:sz w:val="16"/>
                <w:szCs w:val="16"/>
              </w:rPr>
            </w:pPr>
            <w:r w:rsidRPr="00FF263F">
              <w:rPr>
                <w:rFonts w:cs="Calibri"/>
                <w:sz w:val="16"/>
                <w:szCs w:val="16"/>
              </w:rPr>
              <w:t>1,017</w:t>
            </w:r>
          </w:p>
        </w:tc>
        <w:tc>
          <w:tcPr>
            <w:tcW w:w="834" w:type="dxa"/>
            <w:shd w:val="clear" w:color="000000" w:fill="FAFAFA"/>
            <w:tcMar>
              <w:top w:w="15" w:type="dxa"/>
              <w:left w:w="15" w:type="dxa"/>
              <w:bottom w:w="0" w:type="dxa"/>
              <w:right w:w="15" w:type="dxa"/>
            </w:tcMar>
            <w:vAlign w:val="center"/>
            <w:hideMark/>
          </w:tcPr>
          <w:p w14:paraId="368CA0A7" w14:textId="77777777" w:rsidR="00120717" w:rsidRPr="00FF263F" w:rsidRDefault="00120717" w:rsidP="00075C8B">
            <w:pPr>
              <w:ind w:right="57"/>
              <w:jc w:val="right"/>
              <w:rPr>
                <w:rFonts w:cs="Calibri"/>
                <w:sz w:val="16"/>
                <w:szCs w:val="16"/>
              </w:rPr>
            </w:pPr>
            <w:r w:rsidRPr="00FF263F">
              <w:rPr>
                <w:rFonts w:cs="Calibri"/>
                <w:sz w:val="16"/>
                <w:szCs w:val="16"/>
              </w:rPr>
              <w:t>324</w:t>
            </w:r>
          </w:p>
        </w:tc>
        <w:tc>
          <w:tcPr>
            <w:tcW w:w="833" w:type="dxa"/>
            <w:shd w:val="clear" w:color="000000" w:fill="FAFAFA"/>
            <w:tcMar>
              <w:top w:w="15" w:type="dxa"/>
              <w:left w:w="15" w:type="dxa"/>
              <w:bottom w:w="0" w:type="dxa"/>
              <w:right w:w="15" w:type="dxa"/>
            </w:tcMar>
            <w:vAlign w:val="center"/>
            <w:hideMark/>
          </w:tcPr>
          <w:p w14:paraId="4BFC0933" w14:textId="77777777" w:rsidR="00120717" w:rsidRPr="00FF263F" w:rsidRDefault="00120717" w:rsidP="00075C8B">
            <w:pPr>
              <w:ind w:right="57"/>
              <w:jc w:val="right"/>
              <w:rPr>
                <w:rFonts w:cs="Calibri"/>
                <w:sz w:val="16"/>
                <w:szCs w:val="16"/>
              </w:rPr>
            </w:pPr>
            <w:r w:rsidRPr="00FF263F">
              <w:rPr>
                <w:rFonts w:cs="Calibri"/>
                <w:sz w:val="16"/>
                <w:szCs w:val="16"/>
              </w:rPr>
              <w:t>348</w:t>
            </w:r>
          </w:p>
        </w:tc>
        <w:tc>
          <w:tcPr>
            <w:tcW w:w="834" w:type="dxa"/>
            <w:shd w:val="clear" w:color="auto" w:fill="auto"/>
            <w:tcMar>
              <w:top w:w="15" w:type="dxa"/>
              <w:left w:w="15" w:type="dxa"/>
              <w:bottom w:w="0" w:type="dxa"/>
              <w:right w:w="15" w:type="dxa"/>
            </w:tcMar>
            <w:vAlign w:val="center"/>
            <w:hideMark/>
          </w:tcPr>
          <w:p w14:paraId="1EF9BDE6" w14:textId="77777777" w:rsidR="00120717" w:rsidRPr="00FF263F" w:rsidRDefault="00120717" w:rsidP="00075C8B">
            <w:pPr>
              <w:ind w:right="57"/>
              <w:jc w:val="right"/>
              <w:rPr>
                <w:rFonts w:cs="Calibri"/>
                <w:sz w:val="16"/>
                <w:szCs w:val="16"/>
              </w:rPr>
            </w:pPr>
            <w:r w:rsidRPr="00FF263F">
              <w:rPr>
                <w:rFonts w:cs="Calibri"/>
                <w:sz w:val="16"/>
                <w:szCs w:val="16"/>
              </w:rPr>
              <w:t>389</w:t>
            </w:r>
          </w:p>
        </w:tc>
        <w:tc>
          <w:tcPr>
            <w:tcW w:w="833" w:type="dxa"/>
            <w:shd w:val="clear" w:color="auto" w:fill="auto"/>
            <w:tcMar>
              <w:top w:w="15" w:type="dxa"/>
              <w:left w:w="15" w:type="dxa"/>
              <w:bottom w:w="0" w:type="dxa"/>
              <w:right w:w="15" w:type="dxa"/>
            </w:tcMar>
            <w:vAlign w:val="center"/>
            <w:hideMark/>
          </w:tcPr>
          <w:p w14:paraId="6DF6E842" w14:textId="77777777" w:rsidR="00120717" w:rsidRPr="00FF263F" w:rsidRDefault="00120717" w:rsidP="00075C8B">
            <w:pPr>
              <w:ind w:right="57"/>
              <w:jc w:val="right"/>
              <w:rPr>
                <w:rFonts w:cs="Calibri"/>
                <w:sz w:val="16"/>
                <w:szCs w:val="16"/>
              </w:rPr>
            </w:pPr>
            <w:r w:rsidRPr="00FF263F">
              <w:rPr>
                <w:rFonts w:cs="Calibri"/>
                <w:sz w:val="16"/>
                <w:szCs w:val="16"/>
              </w:rPr>
              <w:t>344</w:t>
            </w:r>
          </w:p>
        </w:tc>
        <w:tc>
          <w:tcPr>
            <w:tcW w:w="834" w:type="dxa"/>
            <w:shd w:val="clear" w:color="auto" w:fill="auto"/>
            <w:tcMar>
              <w:top w:w="15" w:type="dxa"/>
              <w:left w:w="15" w:type="dxa"/>
              <w:bottom w:w="0" w:type="dxa"/>
              <w:right w:w="15" w:type="dxa"/>
            </w:tcMar>
            <w:vAlign w:val="center"/>
            <w:hideMark/>
          </w:tcPr>
          <w:p w14:paraId="343925A9" w14:textId="77777777" w:rsidR="00120717" w:rsidRPr="00FF263F" w:rsidRDefault="00120717" w:rsidP="00075C8B">
            <w:pPr>
              <w:ind w:right="57"/>
              <w:jc w:val="right"/>
              <w:rPr>
                <w:rFonts w:cs="Calibri"/>
                <w:sz w:val="16"/>
                <w:szCs w:val="16"/>
              </w:rPr>
            </w:pPr>
            <w:r w:rsidRPr="00FF263F">
              <w:rPr>
                <w:rFonts w:cs="Calibri"/>
                <w:sz w:val="16"/>
                <w:szCs w:val="16"/>
              </w:rPr>
              <w:t>304</w:t>
            </w:r>
          </w:p>
        </w:tc>
        <w:tc>
          <w:tcPr>
            <w:tcW w:w="833" w:type="dxa"/>
            <w:shd w:val="clear" w:color="auto" w:fill="auto"/>
            <w:tcMar>
              <w:top w:w="15" w:type="dxa"/>
              <w:left w:w="15" w:type="dxa"/>
              <w:bottom w:w="0" w:type="dxa"/>
              <w:right w:w="15" w:type="dxa"/>
            </w:tcMar>
            <w:vAlign w:val="center"/>
            <w:hideMark/>
          </w:tcPr>
          <w:p w14:paraId="0F669DA3" w14:textId="77777777" w:rsidR="00120717" w:rsidRPr="00FF263F" w:rsidRDefault="00120717" w:rsidP="00075C8B">
            <w:pPr>
              <w:ind w:right="57"/>
              <w:jc w:val="right"/>
              <w:rPr>
                <w:rFonts w:cs="Calibri"/>
                <w:sz w:val="16"/>
                <w:szCs w:val="16"/>
              </w:rPr>
            </w:pPr>
            <w:r w:rsidRPr="00FF263F">
              <w:rPr>
                <w:rFonts w:cs="Calibri"/>
                <w:sz w:val="16"/>
                <w:szCs w:val="16"/>
              </w:rPr>
              <w:t>177</w:t>
            </w:r>
          </w:p>
        </w:tc>
        <w:tc>
          <w:tcPr>
            <w:tcW w:w="834" w:type="dxa"/>
            <w:shd w:val="clear" w:color="auto" w:fill="auto"/>
            <w:tcMar>
              <w:top w:w="15" w:type="dxa"/>
              <w:left w:w="15" w:type="dxa"/>
              <w:bottom w:w="0" w:type="dxa"/>
              <w:right w:w="15" w:type="dxa"/>
            </w:tcMar>
            <w:vAlign w:val="center"/>
            <w:hideMark/>
          </w:tcPr>
          <w:p w14:paraId="6EBA3680" w14:textId="77777777" w:rsidR="00120717" w:rsidRPr="00FF263F" w:rsidRDefault="00120717" w:rsidP="00075C8B">
            <w:pPr>
              <w:ind w:right="57"/>
              <w:jc w:val="right"/>
              <w:rPr>
                <w:rFonts w:cs="Calibri"/>
                <w:sz w:val="16"/>
                <w:szCs w:val="16"/>
              </w:rPr>
            </w:pPr>
            <w:r w:rsidRPr="00FF263F">
              <w:rPr>
                <w:rFonts w:cs="Calibri"/>
                <w:sz w:val="16"/>
                <w:szCs w:val="16"/>
              </w:rPr>
              <w:t>82</w:t>
            </w:r>
          </w:p>
        </w:tc>
        <w:tc>
          <w:tcPr>
            <w:tcW w:w="833" w:type="dxa"/>
            <w:shd w:val="clear" w:color="auto" w:fill="auto"/>
            <w:tcMar>
              <w:top w:w="15" w:type="dxa"/>
              <w:left w:w="15" w:type="dxa"/>
              <w:bottom w:w="0" w:type="dxa"/>
              <w:right w:w="15" w:type="dxa"/>
            </w:tcMar>
            <w:vAlign w:val="center"/>
            <w:hideMark/>
          </w:tcPr>
          <w:p w14:paraId="78C9C6DB" w14:textId="77777777" w:rsidR="00120717" w:rsidRPr="00FF263F" w:rsidRDefault="00120717" w:rsidP="00075C8B">
            <w:pPr>
              <w:ind w:right="57"/>
              <w:jc w:val="right"/>
              <w:rPr>
                <w:rFonts w:cs="Calibri"/>
                <w:sz w:val="16"/>
                <w:szCs w:val="16"/>
              </w:rPr>
            </w:pPr>
            <w:r w:rsidRPr="00FF263F">
              <w:rPr>
                <w:rFonts w:cs="Calibri"/>
                <w:sz w:val="16"/>
                <w:szCs w:val="16"/>
              </w:rPr>
              <w:t>94</w:t>
            </w:r>
          </w:p>
        </w:tc>
        <w:tc>
          <w:tcPr>
            <w:tcW w:w="834" w:type="dxa"/>
            <w:shd w:val="clear" w:color="auto" w:fill="auto"/>
            <w:tcMar>
              <w:top w:w="15" w:type="dxa"/>
              <w:left w:w="15" w:type="dxa"/>
              <w:bottom w:w="0" w:type="dxa"/>
              <w:right w:w="15" w:type="dxa"/>
            </w:tcMar>
            <w:vAlign w:val="center"/>
            <w:hideMark/>
          </w:tcPr>
          <w:p w14:paraId="6FDEB139" w14:textId="77777777" w:rsidR="00120717" w:rsidRPr="00FF263F" w:rsidRDefault="00120717" w:rsidP="00075C8B">
            <w:pPr>
              <w:ind w:right="57"/>
              <w:jc w:val="right"/>
              <w:rPr>
                <w:rFonts w:cs="Calibri"/>
                <w:sz w:val="16"/>
                <w:szCs w:val="16"/>
              </w:rPr>
            </w:pPr>
            <w:r w:rsidRPr="00FF263F">
              <w:rPr>
                <w:rFonts w:cs="Calibri"/>
                <w:sz w:val="16"/>
                <w:szCs w:val="16"/>
              </w:rPr>
              <w:t>71</w:t>
            </w:r>
          </w:p>
        </w:tc>
      </w:tr>
      <w:tr w:rsidR="007A4ECB" w:rsidRPr="00B93EE1" w14:paraId="13F5A08B" w14:textId="77777777" w:rsidTr="007A4ECB">
        <w:trPr>
          <w:trHeight w:val="288"/>
        </w:trPr>
        <w:tc>
          <w:tcPr>
            <w:tcW w:w="1464" w:type="dxa"/>
            <w:vMerge/>
            <w:vAlign w:val="center"/>
            <w:hideMark/>
          </w:tcPr>
          <w:p w14:paraId="6F6FB522" w14:textId="77777777" w:rsidR="00120717" w:rsidRPr="00B93EE1" w:rsidRDefault="00120717" w:rsidP="00075C8B">
            <w:pPr>
              <w:rPr>
                <w:rFonts w:cs="Calibri"/>
                <w:b/>
                <w:bCs/>
                <w:color w:val="000000"/>
                <w:sz w:val="16"/>
                <w:szCs w:val="16"/>
              </w:rPr>
            </w:pPr>
          </w:p>
        </w:tc>
        <w:tc>
          <w:tcPr>
            <w:tcW w:w="1037" w:type="dxa"/>
            <w:shd w:val="clear" w:color="000000" w:fill="C9DED4"/>
            <w:tcMar>
              <w:top w:w="15" w:type="dxa"/>
              <w:left w:w="15" w:type="dxa"/>
              <w:bottom w:w="0" w:type="dxa"/>
              <w:right w:w="15" w:type="dxa"/>
            </w:tcMar>
            <w:vAlign w:val="center"/>
            <w:hideMark/>
          </w:tcPr>
          <w:p w14:paraId="2B84D4D6" w14:textId="77777777" w:rsidR="00120717" w:rsidRPr="00FF263F" w:rsidRDefault="00120717" w:rsidP="00FF263F">
            <w:pPr>
              <w:ind w:left="57"/>
              <w:jc w:val="left"/>
              <w:rPr>
                <w:rFonts w:cs="Calibri"/>
                <w:sz w:val="16"/>
                <w:szCs w:val="16"/>
              </w:rPr>
            </w:pPr>
            <w:r w:rsidRPr="00FF263F">
              <w:rPr>
                <w:rFonts w:cs="Calibri"/>
                <w:sz w:val="16"/>
                <w:szCs w:val="16"/>
              </w:rPr>
              <w:t>Non-resident</w:t>
            </w:r>
          </w:p>
        </w:tc>
        <w:tc>
          <w:tcPr>
            <w:tcW w:w="833" w:type="dxa"/>
            <w:shd w:val="clear" w:color="000000" w:fill="C9DED4"/>
            <w:tcMar>
              <w:top w:w="15" w:type="dxa"/>
              <w:left w:w="15" w:type="dxa"/>
              <w:bottom w:w="0" w:type="dxa"/>
              <w:right w:w="15" w:type="dxa"/>
            </w:tcMar>
            <w:vAlign w:val="center"/>
            <w:hideMark/>
          </w:tcPr>
          <w:p w14:paraId="21E5D668" w14:textId="77777777" w:rsidR="00120717" w:rsidRPr="00FF263F" w:rsidRDefault="00120717" w:rsidP="00075C8B">
            <w:pPr>
              <w:ind w:right="57"/>
              <w:jc w:val="right"/>
              <w:rPr>
                <w:rFonts w:cs="Calibri"/>
                <w:sz w:val="16"/>
                <w:szCs w:val="16"/>
              </w:rPr>
            </w:pPr>
            <w:r w:rsidRPr="00FF263F">
              <w:rPr>
                <w:rFonts w:cs="Calibri"/>
                <w:sz w:val="16"/>
                <w:szCs w:val="16"/>
              </w:rPr>
              <w:t>6,092</w:t>
            </w:r>
          </w:p>
        </w:tc>
        <w:tc>
          <w:tcPr>
            <w:tcW w:w="834" w:type="dxa"/>
            <w:shd w:val="clear" w:color="000000" w:fill="C9DED4"/>
            <w:tcMar>
              <w:top w:w="15" w:type="dxa"/>
              <w:left w:w="15" w:type="dxa"/>
              <w:bottom w:w="0" w:type="dxa"/>
              <w:right w:w="15" w:type="dxa"/>
            </w:tcMar>
            <w:vAlign w:val="center"/>
            <w:hideMark/>
          </w:tcPr>
          <w:p w14:paraId="095F2442" w14:textId="77777777" w:rsidR="00120717" w:rsidRPr="00FF263F" w:rsidRDefault="00120717" w:rsidP="00075C8B">
            <w:pPr>
              <w:ind w:right="57"/>
              <w:jc w:val="right"/>
              <w:rPr>
                <w:rFonts w:cs="Calibri"/>
                <w:sz w:val="16"/>
                <w:szCs w:val="16"/>
              </w:rPr>
            </w:pPr>
            <w:r w:rsidRPr="00FF263F">
              <w:rPr>
                <w:rFonts w:cs="Calibri"/>
                <w:sz w:val="16"/>
                <w:szCs w:val="16"/>
              </w:rPr>
              <w:t>5,317</w:t>
            </w:r>
          </w:p>
        </w:tc>
        <w:tc>
          <w:tcPr>
            <w:tcW w:w="833" w:type="dxa"/>
            <w:shd w:val="clear" w:color="000000" w:fill="C9DED4"/>
            <w:tcMar>
              <w:top w:w="15" w:type="dxa"/>
              <w:left w:w="15" w:type="dxa"/>
              <w:bottom w:w="0" w:type="dxa"/>
              <w:right w:w="15" w:type="dxa"/>
            </w:tcMar>
            <w:vAlign w:val="center"/>
            <w:hideMark/>
          </w:tcPr>
          <w:p w14:paraId="21FEAE9A" w14:textId="77777777" w:rsidR="00120717" w:rsidRPr="00FF263F" w:rsidRDefault="00120717" w:rsidP="00075C8B">
            <w:pPr>
              <w:ind w:right="57"/>
              <w:jc w:val="right"/>
              <w:rPr>
                <w:rFonts w:cs="Calibri"/>
                <w:sz w:val="16"/>
                <w:szCs w:val="16"/>
              </w:rPr>
            </w:pPr>
            <w:r w:rsidRPr="00FF263F">
              <w:rPr>
                <w:rFonts w:cs="Calibri"/>
                <w:sz w:val="16"/>
                <w:szCs w:val="16"/>
              </w:rPr>
              <w:t>5,311</w:t>
            </w:r>
          </w:p>
        </w:tc>
        <w:tc>
          <w:tcPr>
            <w:tcW w:w="834" w:type="dxa"/>
            <w:shd w:val="clear" w:color="000000" w:fill="C9DED4"/>
            <w:tcMar>
              <w:top w:w="15" w:type="dxa"/>
              <w:left w:w="15" w:type="dxa"/>
              <w:bottom w:w="0" w:type="dxa"/>
              <w:right w:w="15" w:type="dxa"/>
            </w:tcMar>
            <w:vAlign w:val="center"/>
            <w:hideMark/>
          </w:tcPr>
          <w:p w14:paraId="427D0D62" w14:textId="77777777" w:rsidR="00120717" w:rsidRPr="00FF263F" w:rsidRDefault="00120717" w:rsidP="00075C8B">
            <w:pPr>
              <w:ind w:right="57"/>
              <w:jc w:val="right"/>
              <w:rPr>
                <w:rFonts w:cs="Calibri"/>
                <w:sz w:val="16"/>
                <w:szCs w:val="16"/>
              </w:rPr>
            </w:pPr>
            <w:r w:rsidRPr="00FF263F">
              <w:rPr>
                <w:rFonts w:cs="Calibri"/>
                <w:sz w:val="16"/>
                <w:szCs w:val="16"/>
              </w:rPr>
              <w:t>5,146</w:t>
            </w:r>
          </w:p>
        </w:tc>
        <w:tc>
          <w:tcPr>
            <w:tcW w:w="833" w:type="dxa"/>
            <w:shd w:val="clear" w:color="000000" w:fill="C9DED4"/>
            <w:tcMar>
              <w:top w:w="15" w:type="dxa"/>
              <w:left w:w="15" w:type="dxa"/>
              <w:bottom w:w="0" w:type="dxa"/>
              <w:right w:w="15" w:type="dxa"/>
            </w:tcMar>
            <w:vAlign w:val="center"/>
            <w:hideMark/>
          </w:tcPr>
          <w:p w14:paraId="52772E5C" w14:textId="77777777" w:rsidR="00120717" w:rsidRPr="00FF263F" w:rsidRDefault="00120717" w:rsidP="00075C8B">
            <w:pPr>
              <w:ind w:right="57"/>
              <w:jc w:val="right"/>
              <w:rPr>
                <w:rFonts w:cs="Calibri"/>
                <w:sz w:val="16"/>
                <w:szCs w:val="16"/>
              </w:rPr>
            </w:pPr>
            <w:r w:rsidRPr="00FF263F">
              <w:rPr>
                <w:rFonts w:cs="Calibri"/>
                <w:sz w:val="16"/>
                <w:szCs w:val="16"/>
              </w:rPr>
              <w:t>5,221</w:t>
            </w:r>
          </w:p>
        </w:tc>
        <w:tc>
          <w:tcPr>
            <w:tcW w:w="834" w:type="dxa"/>
            <w:shd w:val="clear" w:color="000000" w:fill="C9DED4"/>
            <w:tcMar>
              <w:top w:w="15" w:type="dxa"/>
              <w:left w:w="15" w:type="dxa"/>
              <w:bottom w:w="0" w:type="dxa"/>
              <w:right w:w="15" w:type="dxa"/>
            </w:tcMar>
            <w:vAlign w:val="center"/>
            <w:hideMark/>
          </w:tcPr>
          <w:p w14:paraId="413A5D62" w14:textId="77777777" w:rsidR="00120717" w:rsidRPr="00FF263F" w:rsidRDefault="00120717" w:rsidP="00075C8B">
            <w:pPr>
              <w:ind w:right="57"/>
              <w:jc w:val="right"/>
              <w:rPr>
                <w:rFonts w:cs="Calibri"/>
                <w:sz w:val="16"/>
                <w:szCs w:val="16"/>
              </w:rPr>
            </w:pPr>
            <w:r w:rsidRPr="00FF263F">
              <w:rPr>
                <w:rFonts w:cs="Calibri"/>
                <w:sz w:val="16"/>
                <w:szCs w:val="16"/>
              </w:rPr>
              <w:t>5,690</w:t>
            </w:r>
          </w:p>
        </w:tc>
        <w:tc>
          <w:tcPr>
            <w:tcW w:w="833" w:type="dxa"/>
            <w:shd w:val="clear" w:color="000000" w:fill="C9DED4"/>
            <w:tcMar>
              <w:top w:w="15" w:type="dxa"/>
              <w:left w:w="15" w:type="dxa"/>
              <w:bottom w:w="0" w:type="dxa"/>
              <w:right w:w="15" w:type="dxa"/>
            </w:tcMar>
            <w:vAlign w:val="center"/>
            <w:hideMark/>
          </w:tcPr>
          <w:p w14:paraId="771D49E5" w14:textId="77777777" w:rsidR="00120717" w:rsidRPr="00FF263F" w:rsidRDefault="00120717" w:rsidP="00075C8B">
            <w:pPr>
              <w:ind w:right="57"/>
              <w:jc w:val="right"/>
              <w:rPr>
                <w:rFonts w:cs="Calibri"/>
                <w:sz w:val="16"/>
                <w:szCs w:val="16"/>
              </w:rPr>
            </w:pPr>
            <w:r w:rsidRPr="00FF263F">
              <w:rPr>
                <w:rFonts w:cs="Calibri"/>
                <w:sz w:val="16"/>
                <w:szCs w:val="16"/>
              </w:rPr>
              <w:t>5,417</w:t>
            </w:r>
          </w:p>
        </w:tc>
        <w:tc>
          <w:tcPr>
            <w:tcW w:w="834" w:type="dxa"/>
            <w:shd w:val="clear" w:color="000000" w:fill="C9DED4"/>
            <w:tcMar>
              <w:top w:w="15" w:type="dxa"/>
              <w:left w:w="15" w:type="dxa"/>
              <w:bottom w:w="0" w:type="dxa"/>
              <w:right w:w="15" w:type="dxa"/>
            </w:tcMar>
            <w:vAlign w:val="center"/>
            <w:hideMark/>
          </w:tcPr>
          <w:p w14:paraId="39A8D977" w14:textId="77777777" w:rsidR="00120717" w:rsidRPr="00FF263F" w:rsidRDefault="00120717" w:rsidP="00075C8B">
            <w:pPr>
              <w:ind w:right="57"/>
              <w:jc w:val="right"/>
              <w:rPr>
                <w:rFonts w:cs="Calibri"/>
                <w:sz w:val="16"/>
                <w:szCs w:val="16"/>
              </w:rPr>
            </w:pPr>
            <w:r w:rsidRPr="00FF263F">
              <w:rPr>
                <w:rFonts w:cs="Calibri"/>
                <w:sz w:val="16"/>
                <w:szCs w:val="16"/>
              </w:rPr>
              <w:t>4,288</w:t>
            </w:r>
          </w:p>
        </w:tc>
        <w:tc>
          <w:tcPr>
            <w:tcW w:w="833" w:type="dxa"/>
            <w:shd w:val="clear" w:color="000000" w:fill="C9DED4"/>
            <w:tcMar>
              <w:top w:w="15" w:type="dxa"/>
              <w:left w:w="15" w:type="dxa"/>
              <w:bottom w:w="0" w:type="dxa"/>
              <w:right w:w="15" w:type="dxa"/>
            </w:tcMar>
            <w:vAlign w:val="center"/>
            <w:hideMark/>
          </w:tcPr>
          <w:p w14:paraId="1DAB8D10" w14:textId="77777777" w:rsidR="00120717" w:rsidRPr="00FF263F" w:rsidRDefault="00120717" w:rsidP="00075C8B">
            <w:pPr>
              <w:ind w:right="57"/>
              <w:jc w:val="right"/>
              <w:rPr>
                <w:rFonts w:cs="Calibri"/>
                <w:sz w:val="16"/>
                <w:szCs w:val="16"/>
              </w:rPr>
            </w:pPr>
            <w:r w:rsidRPr="00FF263F">
              <w:rPr>
                <w:rFonts w:cs="Calibri"/>
                <w:sz w:val="16"/>
                <w:szCs w:val="16"/>
              </w:rPr>
              <w:t>3,915</w:t>
            </w:r>
          </w:p>
        </w:tc>
        <w:tc>
          <w:tcPr>
            <w:tcW w:w="834" w:type="dxa"/>
            <w:shd w:val="clear" w:color="000000" w:fill="C9DED4"/>
            <w:tcMar>
              <w:top w:w="15" w:type="dxa"/>
              <w:left w:w="15" w:type="dxa"/>
              <w:bottom w:w="0" w:type="dxa"/>
              <w:right w:w="15" w:type="dxa"/>
            </w:tcMar>
            <w:vAlign w:val="center"/>
            <w:hideMark/>
          </w:tcPr>
          <w:p w14:paraId="594F68B1" w14:textId="77777777" w:rsidR="00120717" w:rsidRPr="00FF263F" w:rsidRDefault="00120717" w:rsidP="00075C8B">
            <w:pPr>
              <w:ind w:right="57"/>
              <w:jc w:val="right"/>
              <w:rPr>
                <w:rFonts w:cs="Calibri"/>
                <w:sz w:val="16"/>
                <w:szCs w:val="16"/>
              </w:rPr>
            </w:pPr>
            <w:r w:rsidRPr="00FF263F">
              <w:rPr>
                <w:rFonts w:cs="Calibri"/>
                <w:sz w:val="16"/>
                <w:szCs w:val="16"/>
              </w:rPr>
              <w:t>3,606</w:t>
            </w:r>
          </w:p>
        </w:tc>
        <w:tc>
          <w:tcPr>
            <w:tcW w:w="833" w:type="dxa"/>
            <w:shd w:val="clear" w:color="000000" w:fill="C9DED4"/>
            <w:tcMar>
              <w:top w:w="15" w:type="dxa"/>
              <w:left w:w="15" w:type="dxa"/>
              <w:bottom w:w="0" w:type="dxa"/>
              <w:right w:w="15" w:type="dxa"/>
            </w:tcMar>
            <w:vAlign w:val="center"/>
            <w:hideMark/>
          </w:tcPr>
          <w:p w14:paraId="56702BE3" w14:textId="77777777" w:rsidR="00120717" w:rsidRPr="00FF263F" w:rsidRDefault="00120717" w:rsidP="00075C8B">
            <w:pPr>
              <w:ind w:right="57"/>
              <w:jc w:val="right"/>
              <w:rPr>
                <w:rFonts w:cs="Calibri"/>
                <w:sz w:val="16"/>
                <w:szCs w:val="16"/>
              </w:rPr>
            </w:pPr>
            <w:r w:rsidRPr="00FF263F">
              <w:rPr>
                <w:rFonts w:cs="Calibri"/>
                <w:sz w:val="16"/>
                <w:szCs w:val="16"/>
              </w:rPr>
              <w:t>2,253</w:t>
            </w:r>
          </w:p>
        </w:tc>
        <w:tc>
          <w:tcPr>
            <w:tcW w:w="834" w:type="dxa"/>
            <w:shd w:val="clear" w:color="000000" w:fill="C9DED4"/>
            <w:tcMar>
              <w:top w:w="15" w:type="dxa"/>
              <w:left w:w="15" w:type="dxa"/>
              <w:bottom w:w="0" w:type="dxa"/>
              <w:right w:w="15" w:type="dxa"/>
            </w:tcMar>
            <w:vAlign w:val="center"/>
            <w:hideMark/>
          </w:tcPr>
          <w:p w14:paraId="28507849" w14:textId="77777777" w:rsidR="00120717" w:rsidRPr="00FF263F" w:rsidRDefault="00120717" w:rsidP="00075C8B">
            <w:pPr>
              <w:ind w:right="57"/>
              <w:jc w:val="right"/>
              <w:rPr>
                <w:rFonts w:cs="Calibri"/>
                <w:sz w:val="16"/>
                <w:szCs w:val="16"/>
              </w:rPr>
            </w:pPr>
            <w:r w:rsidRPr="00FF263F">
              <w:rPr>
                <w:rFonts w:cs="Calibri"/>
                <w:sz w:val="16"/>
                <w:szCs w:val="16"/>
              </w:rPr>
              <w:t>1,957</w:t>
            </w:r>
          </w:p>
        </w:tc>
        <w:tc>
          <w:tcPr>
            <w:tcW w:w="833" w:type="dxa"/>
            <w:shd w:val="clear" w:color="000000" w:fill="C9DED4"/>
            <w:tcMar>
              <w:top w:w="15" w:type="dxa"/>
              <w:left w:w="15" w:type="dxa"/>
              <w:bottom w:w="0" w:type="dxa"/>
              <w:right w:w="15" w:type="dxa"/>
            </w:tcMar>
            <w:vAlign w:val="center"/>
            <w:hideMark/>
          </w:tcPr>
          <w:p w14:paraId="322353AC" w14:textId="77777777" w:rsidR="00120717" w:rsidRPr="00FF263F" w:rsidRDefault="00120717" w:rsidP="00075C8B">
            <w:pPr>
              <w:ind w:right="57"/>
              <w:jc w:val="right"/>
              <w:rPr>
                <w:rFonts w:cs="Calibri"/>
                <w:sz w:val="16"/>
                <w:szCs w:val="16"/>
              </w:rPr>
            </w:pPr>
            <w:r w:rsidRPr="00FF263F">
              <w:rPr>
                <w:rFonts w:cs="Calibri"/>
                <w:sz w:val="16"/>
                <w:szCs w:val="16"/>
              </w:rPr>
              <w:t>1,548</w:t>
            </w:r>
          </w:p>
        </w:tc>
        <w:tc>
          <w:tcPr>
            <w:tcW w:w="834" w:type="dxa"/>
            <w:shd w:val="clear" w:color="000000" w:fill="C9DED4"/>
            <w:tcMar>
              <w:top w:w="15" w:type="dxa"/>
              <w:left w:w="15" w:type="dxa"/>
              <w:bottom w:w="0" w:type="dxa"/>
              <w:right w:w="15" w:type="dxa"/>
            </w:tcMar>
            <w:vAlign w:val="center"/>
            <w:hideMark/>
          </w:tcPr>
          <w:p w14:paraId="104DCE72" w14:textId="77777777" w:rsidR="00120717" w:rsidRPr="00FF263F" w:rsidRDefault="00120717" w:rsidP="00075C8B">
            <w:pPr>
              <w:ind w:right="57"/>
              <w:jc w:val="right"/>
              <w:rPr>
                <w:rFonts w:cs="Calibri"/>
                <w:sz w:val="16"/>
                <w:szCs w:val="16"/>
              </w:rPr>
            </w:pPr>
            <w:r w:rsidRPr="00FF263F">
              <w:rPr>
                <w:rFonts w:cs="Calibri"/>
                <w:sz w:val="16"/>
                <w:szCs w:val="16"/>
              </w:rPr>
              <w:t>1,770</w:t>
            </w:r>
          </w:p>
        </w:tc>
      </w:tr>
      <w:tr w:rsidR="007A4ECB" w:rsidRPr="00B93EE1" w14:paraId="4A154823" w14:textId="77777777" w:rsidTr="007A4ECB">
        <w:trPr>
          <w:trHeight w:val="288"/>
        </w:trPr>
        <w:tc>
          <w:tcPr>
            <w:tcW w:w="1464" w:type="dxa"/>
            <w:vMerge/>
            <w:vAlign w:val="center"/>
            <w:hideMark/>
          </w:tcPr>
          <w:p w14:paraId="511C9FA7" w14:textId="77777777" w:rsidR="00120717" w:rsidRPr="00B93EE1" w:rsidRDefault="00120717" w:rsidP="00075C8B">
            <w:pPr>
              <w:rPr>
                <w:rFonts w:cs="Calibri"/>
                <w:b/>
                <w:bCs/>
                <w:color w:val="000000"/>
                <w:sz w:val="16"/>
                <w:szCs w:val="16"/>
              </w:rPr>
            </w:pPr>
          </w:p>
        </w:tc>
        <w:tc>
          <w:tcPr>
            <w:tcW w:w="1037" w:type="dxa"/>
            <w:shd w:val="clear" w:color="auto" w:fill="auto"/>
            <w:tcMar>
              <w:top w:w="15" w:type="dxa"/>
              <w:left w:w="15" w:type="dxa"/>
              <w:bottom w:w="0" w:type="dxa"/>
              <w:right w:w="15" w:type="dxa"/>
            </w:tcMar>
            <w:vAlign w:val="center"/>
            <w:hideMark/>
          </w:tcPr>
          <w:p w14:paraId="5225BB7C" w14:textId="77777777" w:rsidR="00120717" w:rsidRPr="00FF263F" w:rsidRDefault="00120717" w:rsidP="00FF263F">
            <w:pPr>
              <w:ind w:left="57"/>
              <w:jc w:val="left"/>
              <w:rPr>
                <w:rFonts w:cs="Calibri"/>
                <w:sz w:val="16"/>
                <w:szCs w:val="16"/>
              </w:rPr>
            </w:pPr>
            <w:r w:rsidRPr="00FF263F">
              <w:rPr>
                <w:rFonts w:cs="Calibri"/>
                <w:sz w:val="16"/>
                <w:szCs w:val="16"/>
              </w:rPr>
              <w:t>Total</w:t>
            </w:r>
          </w:p>
        </w:tc>
        <w:tc>
          <w:tcPr>
            <w:tcW w:w="833" w:type="dxa"/>
            <w:shd w:val="clear" w:color="000000" w:fill="FAFAFA"/>
            <w:tcMar>
              <w:top w:w="15" w:type="dxa"/>
              <w:left w:w="15" w:type="dxa"/>
              <w:bottom w:w="0" w:type="dxa"/>
              <w:right w:w="15" w:type="dxa"/>
            </w:tcMar>
            <w:vAlign w:val="center"/>
            <w:hideMark/>
          </w:tcPr>
          <w:p w14:paraId="0C965A85" w14:textId="77777777" w:rsidR="00120717" w:rsidRPr="00FF263F" w:rsidRDefault="00120717" w:rsidP="00075C8B">
            <w:pPr>
              <w:ind w:right="57"/>
              <w:jc w:val="right"/>
              <w:rPr>
                <w:rFonts w:cs="Calibri"/>
                <w:sz w:val="16"/>
                <w:szCs w:val="16"/>
              </w:rPr>
            </w:pPr>
            <w:r w:rsidRPr="00FF263F">
              <w:rPr>
                <w:rFonts w:cs="Calibri"/>
                <w:sz w:val="16"/>
                <w:szCs w:val="16"/>
              </w:rPr>
              <w:t>7,728</w:t>
            </w:r>
          </w:p>
        </w:tc>
        <w:tc>
          <w:tcPr>
            <w:tcW w:w="834" w:type="dxa"/>
            <w:shd w:val="clear" w:color="000000" w:fill="FAFAFA"/>
            <w:tcMar>
              <w:top w:w="15" w:type="dxa"/>
              <w:left w:w="15" w:type="dxa"/>
              <w:bottom w:w="0" w:type="dxa"/>
              <w:right w:w="15" w:type="dxa"/>
            </w:tcMar>
            <w:vAlign w:val="center"/>
            <w:hideMark/>
          </w:tcPr>
          <w:p w14:paraId="7F1B44F4" w14:textId="77777777" w:rsidR="00120717" w:rsidRPr="00FF263F" w:rsidRDefault="00120717" w:rsidP="00075C8B">
            <w:pPr>
              <w:ind w:right="57"/>
              <w:jc w:val="right"/>
              <w:rPr>
                <w:rFonts w:cs="Calibri"/>
                <w:sz w:val="16"/>
                <w:szCs w:val="16"/>
              </w:rPr>
            </w:pPr>
            <w:r w:rsidRPr="00FF263F">
              <w:rPr>
                <w:rFonts w:cs="Calibri"/>
                <w:sz w:val="16"/>
                <w:szCs w:val="16"/>
              </w:rPr>
              <w:t>6,501</w:t>
            </w:r>
          </w:p>
        </w:tc>
        <w:tc>
          <w:tcPr>
            <w:tcW w:w="833" w:type="dxa"/>
            <w:shd w:val="clear" w:color="000000" w:fill="FAFAFA"/>
            <w:tcMar>
              <w:top w:w="15" w:type="dxa"/>
              <w:left w:w="15" w:type="dxa"/>
              <w:bottom w:w="0" w:type="dxa"/>
              <w:right w:w="15" w:type="dxa"/>
            </w:tcMar>
            <w:vAlign w:val="center"/>
            <w:hideMark/>
          </w:tcPr>
          <w:p w14:paraId="54313E06" w14:textId="77777777" w:rsidR="00120717" w:rsidRPr="00FF263F" w:rsidRDefault="00120717" w:rsidP="00075C8B">
            <w:pPr>
              <w:ind w:right="57"/>
              <w:jc w:val="right"/>
              <w:rPr>
                <w:rFonts w:cs="Calibri"/>
                <w:sz w:val="16"/>
                <w:szCs w:val="16"/>
              </w:rPr>
            </w:pPr>
            <w:r w:rsidRPr="00FF263F">
              <w:rPr>
                <w:rFonts w:cs="Calibri"/>
                <w:sz w:val="16"/>
                <w:szCs w:val="16"/>
              </w:rPr>
              <w:t>6,386</w:t>
            </w:r>
          </w:p>
        </w:tc>
        <w:tc>
          <w:tcPr>
            <w:tcW w:w="834" w:type="dxa"/>
            <w:shd w:val="clear" w:color="000000" w:fill="FAFAFA"/>
            <w:tcMar>
              <w:top w:w="15" w:type="dxa"/>
              <w:left w:w="15" w:type="dxa"/>
              <w:bottom w:w="0" w:type="dxa"/>
              <w:right w:w="15" w:type="dxa"/>
            </w:tcMar>
            <w:vAlign w:val="center"/>
            <w:hideMark/>
          </w:tcPr>
          <w:p w14:paraId="00254FEA" w14:textId="77777777" w:rsidR="00120717" w:rsidRPr="00FF263F" w:rsidRDefault="00120717" w:rsidP="00075C8B">
            <w:pPr>
              <w:ind w:right="57"/>
              <w:jc w:val="right"/>
              <w:rPr>
                <w:rFonts w:cs="Calibri"/>
                <w:sz w:val="16"/>
                <w:szCs w:val="16"/>
              </w:rPr>
            </w:pPr>
            <w:r w:rsidRPr="00FF263F">
              <w:rPr>
                <w:rFonts w:cs="Calibri"/>
                <w:sz w:val="16"/>
                <w:szCs w:val="16"/>
              </w:rPr>
              <w:t>6,160</w:t>
            </w:r>
          </w:p>
        </w:tc>
        <w:tc>
          <w:tcPr>
            <w:tcW w:w="833" w:type="dxa"/>
            <w:shd w:val="clear" w:color="000000" w:fill="FAFAFA"/>
            <w:tcMar>
              <w:top w:w="15" w:type="dxa"/>
              <w:left w:w="15" w:type="dxa"/>
              <w:bottom w:w="0" w:type="dxa"/>
              <w:right w:w="15" w:type="dxa"/>
            </w:tcMar>
            <w:vAlign w:val="center"/>
            <w:hideMark/>
          </w:tcPr>
          <w:p w14:paraId="32776E6B" w14:textId="77777777" w:rsidR="00120717" w:rsidRPr="00FF263F" w:rsidRDefault="00120717" w:rsidP="00075C8B">
            <w:pPr>
              <w:ind w:right="57"/>
              <w:jc w:val="right"/>
              <w:rPr>
                <w:rFonts w:cs="Calibri"/>
                <w:sz w:val="16"/>
                <w:szCs w:val="16"/>
              </w:rPr>
            </w:pPr>
            <w:r w:rsidRPr="00FF263F">
              <w:rPr>
                <w:rFonts w:cs="Calibri"/>
                <w:sz w:val="16"/>
                <w:szCs w:val="16"/>
              </w:rPr>
              <w:t>6,238</w:t>
            </w:r>
          </w:p>
        </w:tc>
        <w:tc>
          <w:tcPr>
            <w:tcW w:w="834" w:type="dxa"/>
            <w:shd w:val="clear" w:color="000000" w:fill="FAFAFA"/>
            <w:tcMar>
              <w:top w:w="15" w:type="dxa"/>
              <w:left w:w="15" w:type="dxa"/>
              <w:bottom w:w="0" w:type="dxa"/>
              <w:right w:w="15" w:type="dxa"/>
            </w:tcMar>
            <w:vAlign w:val="center"/>
            <w:hideMark/>
          </w:tcPr>
          <w:p w14:paraId="2AD3D15F" w14:textId="77777777" w:rsidR="00120717" w:rsidRPr="00FF263F" w:rsidRDefault="00120717" w:rsidP="00075C8B">
            <w:pPr>
              <w:ind w:right="57"/>
              <w:jc w:val="right"/>
              <w:rPr>
                <w:rFonts w:cs="Calibri"/>
                <w:sz w:val="16"/>
                <w:szCs w:val="16"/>
              </w:rPr>
            </w:pPr>
            <w:r w:rsidRPr="00FF263F">
              <w:rPr>
                <w:rFonts w:cs="Calibri"/>
                <w:sz w:val="16"/>
                <w:szCs w:val="16"/>
              </w:rPr>
              <w:t>6,014</w:t>
            </w:r>
          </w:p>
        </w:tc>
        <w:tc>
          <w:tcPr>
            <w:tcW w:w="833" w:type="dxa"/>
            <w:shd w:val="clear" w:color="000000" w:fill="FAFAFA"/>
            <w:tcMar>
              <w:top w:w="15" w:type="dxa"/>
              <w:left w:w="15" w:type="dxa"/>
              <w:bottom w:w="0" w:type="dxa"/>
              <w:right w:w="15" w:type="dxa"/>
            </w:tcMar>
            <w:vAlign w:val="center"/>
            <w:hideMark/>
          </w:tcPr>
          <w:p w14:paraId="1B13EADA" w14:textId="77777777" w:rsidR="00120717" w:rsidRPr="00FF263F" w:rsidRDefault="00120717" w:rsidP="00075C8B">
            <w:pPr>
              <w:ind w:right="57"/>
              <w:jc w:val="right"/>
              <w:rPr>
                <w:rFonts w:cs="Calibri"/>
                <w:sz w:val="16"/>
                <w:szCs w:val="16"/>
              </w:rPr>
            </w:pPr>
            <w:r w:rsidRPr="00FF263F">
              <w:rPr>
                <w:rFonts w:cs="Calibri"/>
                <w:sz w:val="16"/>
                <w:szCs w:val="16"/>
              </w:rPr>
              <w:t>5,765</w:t>
            </w:r>
          </w:p>
        </w:tc>
        <w:tc>
          <w:tcPr>
            <w:tcW w:w="834" w:type="dxa"/>
            <w:shd w:val="clear" w:color="000000" w:fill="FAFAFA"/>
            <w:tcMar>
              <w:top w:w="15" w:type="dxa"/>
              <w:left w:w="15" w:type="dxa"/>
              <w:bottom w:w="0" w:type="dxa"/>
              <w:right w:w="15" w:type="dxa"/>
            </w:tcMar>
            <w:vAlign w:val="center"/>
            <w:hideMark/>
          </w:tcPr>
          <w:p w14:paraId="66256FA8" w14:textId="77777777" w:rsidR="00120717" w:rsidRPr="00FF263F" w:rsidRDefault="00120717" w:rsidP="00075C8B">
            <w:pPr>
              <w:ind w:right="57"/>
              <w:jc w:val="right"/>
              <w:rPr>
                <w:rFonts w:cs="Calibri"/>
                <w:sz w:val="16"/>
                <w:szCs w:val="16"/>
              </w:rPr>
            </w:pPr>
            <w:r w:rsidRPr="00FF263F">
              <w:rPr>
                <w:rFonts w:cs="Calibri"/>
                <w:sz w:val="16"/>
                <w:szCs w:val="16"/>
              </w:rPr>
              <w:t>4,677</w:t>
            </w:r>
          </w:p>
        </w:tc>
        <w:tc>
          <w:tcPr>
            <w:tcW w:w="833" w:type="dxa"/>
            <w:shd w:val="clear" w:color="000000" w:fill="FAFAFA"/>
            <w:tcMar>
              <w:top w:w="15" w:type="dxa"/>
              <w:left w:w="15" w:type="dxa"/>
              <w:bottom w:w="0" w:type="dxa"/>
              <w:right w:w="15" w:type="dxa"/>
            </w:tcMar>
            <w:vAlign w:val="center"/>
            <w:hideMark/>
          </w:tcPr>
          <w:p w14:paraId="45395E4B" w14:textId="77777777" w:rsidR="00120717" w:rsidRPr="00FF263F" w:rsidRDefault="00120717" w:rsidP="00075C8B">
            <w:pPr>
              <w:ind w:right="57"/>
              <w:jc w:val="right"/>
              <w:rPr>
                <w:rFonts w:cs="Calibri"/>
                <w:sz w:val="16"/>
                <w:szCs w:val="16"/>
              </w:rPr>
            </w:pPr>
            <w:r w:rsidRPr="00FF263F">
              <w:rPr>
                <w:rFonts w:cs="Calibri"/>
                <w:sz w:val="16"/>
                <w:szCs w:val="16"/>
              </w:rPr>
              <w:t>4,259</w:t>
            </w:r>
          </w:p>
        </w:tc>
        <w:tc>
          <w:tcPr>
            <w:tcW w:w="834" w:type="dxa"/>
            <w:shd w:val="clear" w:color="000000" w:fill="FAFAFA"/>
            <w:tcMar>
              <w:top w:w="15" w:type="dxa"/>
              <w:left w:w="15" w:type="dxa"/>
              <w:bottom w:w="0" w:type="dxa"/>
              <w:right w:w="15" w:type="dxa"/>
            </w:tcMar>
            <w:vAlign w:val="center"/>
            <w:hideMark/>
          </w:tcPr>
          <w:p w14:paraId="44E32A0E" w14:textId="77777777" w:rsidR="00120717" w:rsidRPr="00FF263F" w:rsidRDefault="00120717" w:rsidP="00075C8B">
            <w:pPr>
              <w:ind w:right="57"/>
              <w:jc w:val="right"/>
              <w:rPr>
                <w:rFonts w:cs="Calibri"/>
                <w:sz w:val="16"/>
                <w:szCs w:val="16"/>
              </w:rPr>
            </w:pPr>
            <w:r w:rsidRPr="00FF263F">
              <w:rPr>
                <w:rFonts w:cs="Calibri"/>
                <w:sz w:val="16"/>
                <w:szCs w:val="16"/>
              </w:rPr>
              <w:t>3,910</w:t>
            </w:r>
          </w:p>
        </w:tc>
        <w:tc>
          <w:tcPr>
            <w:tcW w:w="833" w:type="dxa"/>
            <w:shd w:val="clear" w:color="000000" w:fill="FAFAFA"/>
            <w:tcMar>
              <w:top w:w="15" w:type="dxa"/>
              <w:left w:w="15" w:type="dxa"/>
              <w:bottom w:w="0" w:type="dxa"/>
              <w:right w:w="15" w:type="dxa"/>
            </w:tcMar>
            <w:vAlign w:val="center"/>
            <w:hideMark/>
          </w:tcPr>
          <w:p w14:paraId="59D12783" w14:textId="77777777" w:rsidR="00120717" w:rsidRPr="00FF263F" w:rsidRDefault="00120717" w:rsidP="00075C8B">
            <w:pPr>
              <w:ind w:right="57"/>
              <w:jc w:val="right"/>
              <w:rPr>
                <w:rFonts w:cs="Calibri"/>
                <w:sz w:val="16"/>
                <w:szCs w:val="16"/>
              </w:rPr>
            </w:pPr>
            <w:r w:rsidRPr="00FF263F">
              <w:rPr>
                <w:rFonts w:cs="Calibri"/>
                <w:sz w:val="16"/>
                <w:szCs w:val="16"/>
              </w:rPr>
              <w:t>2,430</w:t>
            </w:r>
          </w:p>
        </w:tc>
        <w:tc>
          <w:tcPr>
            <w:tcW w:w="834" w:type="dxa"/>
            <w:shd w:val="clear" w:color="000000" w:fill="FAFAFA"/>
            <w:tcMar>
              <w:top w:w="15" w:type="dxa"/>
              <w:left w:w="15" w:type="dxa"/>
              <w:bottom w:w="0" w:type="dxa"/>
              <w:right w:w="15" w:type="dxa"/>
            </w:tcMar>
            <w:vAlign w:val="center"/>
            <w:hideMark/>
          </w:tcPr>
          <w:p w14:paraId="47E5B0EB" w14:textId="77777777" w:rsidR="00120717" w:rsidRPr="00FF263F" w:rsidRDefault="00120717" w:rsidP="00075C8B">
            <w:pPr>
              <w:ind w:right="57"/>
              <w:jc w:val="right"/>
              <w:rPr>
                <w:rFonts w:cs="Calibri"/>
                <w:sz w:val="16"/>
                <w:szCs w:val="16"/>
              </w:rPr>
            </w:pPr>
            <w:r w:rsidRPr="00FF263F">
              <w:rPr>
                <w:rFonts w:cs="Calibri"/>
                <w:sz w:val="16"/>
                <w:szCs w:val="16"/>
              </w:rPr>
              <w:t>2,039</w:t>
            </w:r>
          </w:p>
        </w:tc>
        <w:tc>
          <w:tcPr>
            <w:tcW w:w="833" w:type="dxa"/>
            <w:shd w:val="clear" w:color="000000" w:fill="FAFAFA"/>
            <w:tcMar>
              <w:top w:w="15" w:type="dxa"/>
              <w:left w:w="15" w:type="dxa"/>
              <w:bottom w:w="0" w:type="dxa"/>
              <w:right w:w="15" w:type="dxa"/>
            </w:tcMar>
            <w:vAlign w:val="center"/>
            <w:hideMark/>
          </w:tcPr>
          <w:p w14:paraId="51C10987" w14:textId="77777777" w:rsidR="00120717" w:rsidRPr="00FF263F" w:rsidRDefault="00120717" w:rsidP="00075C8B">
            <w:pPr>
              <w:ind w:right="57"/>
              <w:jc w:val="right"/>
              <w:rPr>
                <w:rFonts w:cs="Calibri"/>
                <w:sz w:val="16"/>
                <w:szCs w:val="16"/>
              </w:rPr>
            </w:pPr>
            <w:r w:rsidRPr="00FF263F">
              <w:rPr>
                <w:rFonts w:cs="Calibri"/>
                <w:sz w:val="16"/>
                <w:szCs w:val="16"/>
              </w:rPr>
              <w:t>1,642</w:t>
            </w:r>
          </w:p>
        </w:tc>
        <w:tc>
          <w:tcPr>
            <w:tcW w:w="834" w:type="dxa"/>
            <w:shd w:val="clear" w:color="000000" w:fill="FAFAFA"/>
            <w:tcMar>
              <w:top w:w="15" w:type="dxa"/>
              <w:left w:w="15" w:type="dxa"/>
              <w:bottom w:w="0" w:type="dxa"/>
              <w:right w:w="15" w:type="dxa"/>
            </w:tcMar>
            <w:vAlign w:val="center"/>
            <w:hideMark/>
          </w:tcPr>
          <w:p w14:paraId="759757EE" w14:textId="77777777" w:rsidR="00120717" w:rsidRPr="00FF263F" w:rsidRDefault="00120717" w:rsidP="00075C8B">
            <w:pPr>
              <w:ind w:right="57"/>
              <w:jc w:val="right"/>
              <w:rPr>
                <w:rFonts w:cs="Calibri"/>
                <w:sz w:val="16"/>
                <w:szCs w:val="16"/>
              </w:rPr>
            </w:pPr>
            <w:r w:rsidRPr="00FF263F">
              <w:rPr>
                <w:rFonts w:cs="Calibri"/>
                <w:sz w:val="16"/>
                <w:szCs w:val="16"/>
              </w:rPr>
              <w:t>1,841</w:t>
            </w:r>
          </w:p>
        </w:tc>
      </w:tr>
      <w:tr w:rsidR="007A4ECB" w:rsidRPr="00B93EE1" w14:paraId="0E70FE68" w14:textId="77777777" w:rsidTr="007A4ECB">
        <w:trPr>
          <w:trHeight w:val="288"/>
        </w:trPr>
        <w:tc>
          <w:tcPr>
            <w:tcW w:w="1464" w:type="dxa"/>
            <w:vMerge/>
            <w:vAlign w:val="center"/>
            <w:hideMark/>
          </w:tcPr>
          <w:p w14:paraId="2D7D382A" w14:textId="77777777" w:rsidR="00120717" w:rsidRPr="00B93EE1" w:rsidRDefault="00120717" w:rsidP="00075C8B">
            <w:pPr>
              <w:rPr>
                <w:rFonts w:cs="Calibri"/>
                <w:b/>
                <w:bCs/>
                <w:color w:val="000000"/>
                <w:sz w:val="16"/>
                <w:szCs w:val="16"/>
              </w:rPr>
            </w:pPr>
          </w:p>
        </w:tc>
        <w:tc>
          <w:tcPr>
            <w:tcW w:w="1037" w:type="dxa"/>
            <w:shd w:val="clear" w:color="000000" w:fill="C9DED4"/>
            <w:tcMar>
              <w:top w:w="15" w:type="dxa"/>
              <w:left w:w="15" w:type="dxa"/>
              <w:bottom w:w="0" w:type="dxa"/>
              <w:right w:w="15" w:type="dxa"/>
            </w:tcMar>
            <w:vAlign w:val="center"/>
            <w:hideMark/>
          </w:tcPr>
          <w:p w14:paraId="37E067BE" w14:textId="77777777" w:rsidR="00120717" w:rsidRPr="00FF263F" w:rsidRDefault="00120717" w:rsidP="00FF263F">
            <w:pPr>
              <w:ind w:left="57"/>
              <w:jc w:val="left"/>
              <w:rPr>
                <w:rFonts w:cs="Calibri"/>
                <w:sz w:val="16"/>
                <w:szCs w:val="16"/>
              </w:rPr>
            </w:pPr>
            <w:r w:rsidRPr="00FF263F">
              <w:rPr>
                <w:rFonts w:cs="Calibri"/>
                <w:sz w:val="16"/>
                <w:szCs w:val="16"/>
              </w:rPr>
              <w:t>% Non-resident</w:t>
            </w:r>
          </w:p>
        </w:tc>
        <w:tc>
          <w:tcPr>
            <w:tcW w:w="833" w:type="dxa"/>
            <w:shd w:val="clear" w:color="000000" w:fill="C9DED4"/>
            <w:tcMar>
              <w:top w:w="15" w:type="dxa"/>
              <w:left w:w="15" w:type="dxa"/>
              <w:bottom w:w="0" w:type="dxa"/>
              <w:right w:w="15" w:type="dxa"/>
            </w:tcMar>
            <w:vAlign w:val="center"/>
            <w:hideMark/>
          </w:tcPr>
          <w:p w14:paraId="36F8BE9D" w14:textId="77777777" w:rsidR="00120717" w:rsidRPr="00FF263F" w:rsidRDefault="00120717" w:rsidP="00075C8B">
            <w:pPr>
              <w:ind w:right="57"/>
              <w:jc w:val="right"/>
              <w:rPr>
                <w:rFonts w:cs="Calibri"/>
                <w:sz w:val="16"/>
                <w:szCs w:val="16"/>
              </w:rPr>
            </w:pPr>
            <w:r w:rsidRPr="00FF263F">
              <w:rPr>
                <w:rFonts w:cs="Calibri"/>
                <w:sz w:val="16"/>
                <w:szCs w:val="16"/>
              </w:rPr>
              <w:t>79%</w:t>
            </w:r>
          </w:p>
        </w:tc>
        <w:tc>
          <w:tcPr>
            <w:tcW w:w="834" w:type="dxa"/>
            <w:shd w:val="clear" w:color="000000" w:fill="C9DED4"/>
            <w:tcMar>
              <w:top w:w="15" w:type="dxa"/>
              <w:left w:w="15" w:type="dxa"/>
              <w:bottom w:w="0" w:type="dxa"/>
              <w:right w:w="15" w:type="dxa"/>
            </w:tcMar>
            <w:vAlign w:val="center"/>
            <w:hideMark/>
          </w:tcPr>
          <w:p w14:paraId="7FB557A9" w14:textId="77777777" w:rsidR="00120717" w:rsidRPr="00FF263F" w:rsidRDefault="00120717" w:rsidP="00075C8B">
            <w:pPr>
              <w:ind w:right="57"/>
              <w:jc w:val="right"/>
              <w:rPr>
                <w:rFonts w:cs="Calibri"/>
                <w:sz w:val="16"/>
                <w:szCs w:val="16"/>
              </w:rPr>
            </w:pPr>
            <w:r w:rsidRPr="00FF263F">
              <w:rPr>
                <w:rFonts w:cs="Calibri"/>
                <w:sz w:val="16"/>
                <w:szCs w:val="16"/>
              </w:rPr>
              <w:t>82%</w:t>
            </w:r>
          </w:p>
        </w:tc>
        <w:tc>
          <w:tcPr>
            <w:tcW w:w="833" w:type="dxa"/>
            <w:shd w:val="clear" w:color="000000" w:fill="C9DED4"/>
            <w:tcMar>
              <w:top w:w="15" w:type="dxa"/>
              <w:left w:w="15" w:type="dxa"/>
              <w:bottom w:w="0" w:type="dxa"/>
              <w:right w:w="15" w:type="dxa"/>
            </w:tcMar>
            <w:vAlign w:val="center"/>
            <w:hideMark/>
          </w:tcPr>
          <w:p w14:paraId="6AF0EB4C" w14:textId="77777777" w:rsidR="00120717" w:rsidRPr="00FF263F" w:rsidRDefault="00120717" w:rsidP="00075C8B">
            <w:pPr>
              <w:ind w:right="57"/>
              <w:jc w:val="right"/>
              <w:rPr>
                <w:rFonts w:cs="Calibri"/>
                <w:sz w:val="16"/>
                <w:szCs w:val="16"/>
              </w:rPr>
            </w:pPr>
            <w:r w:rsidRPr="00FF263F">
              <w:rPr>
                <w:rFonts w:cs="Calibri"/>
                <w:sz w:val="16"/>
                <w:szCs w:val="16"/>
              </w:rPr>
              <w:t>83%</w:t>
            </w:r>
          </w:p>
        </w:tc>
        <w:tc>
          <w:tcPr>
            <w:tcW w:w="834" w:type="dxa"/>
            <w:shd w:val="clear" w:color="000000" w:fill="C9DED4"/>
            <w:tcMar>
              <w:top w:w="15" w:type="dxa"/>
              <w:left w:w="15" w:type="dxa"/>
              <w:bottom w:w="0" w:type="dxa"/>
              <w:right w:w="15" w:type="dxa"/>
            </w:tcMar>
            <w:vAlign w:val="center"/>
            <w:hideMark/>
          </w:tcPr>
          <w:p w14:paraId="377FBB05" w14:textId="77777777" w:rsidR="00120717" w:rsidRPr="00FF263F" w:rsidRDefault="00120717" w:rsidP="00075C8B">
            <w:pPr>
              <w:ind w:right="57"/>
              <w:jc w:val="right"/>
              <w:rPr>
                <w:rFonts w:cs="Calibri"/>
                <w:sz w:val="16"/>
                <w:szCs w:val="16"/>
              </w:rPr>
            </w:pPr>
            <w:r w:rsidRPr="00FF263F">
              <w:rPr>
                <w:rFonts w:cs="Calibri"/>
                <w:sz w:val="16"/>
                <w:szCs w:val="16"/>
              </w:rPr>
              <w:t>84%</w:t>
            </w:r>
          </w:p>
        </w:tc>
        <w:tc>
          <w:tcPr>
            <w:tcW w:w="833" w:type="dxa"/>
            <w:shd w:val="clear" w:color="000000" w:fill="C9DED4"/>
            <w:tcMar>
              <w:top w:w="15" w:type="dxa"/>
              <w:left w:w="15" w:type="dxa"/>
              <w:bottom w:w="0" w:type="dxa"/>
              <w:right w:w="15" w:type="dxa"/>
            </w:tcMar>
            <w:vAlign w:val="center"/>
            <w:hideMark/>
          </w:tcPr>
          <w:p w14:paraId="3A3684C3" w14:textId="77777777" w:rsidR="00120717" w:rsidRPr="00FF263F" w:rsidRDefault="00120717" w:rsidP="00075C8B">
            <w:pPr>
              <w:ind w:right="57"/>
              <w:jc w:val="right"/>
              <w:rPr>
                <w:rFonts w:cs="Calibri"/>
                <w:sz w:val="16"/>
                <w:szCs w:val="16"/>
              </w:rPr>
            </w:pPr>
            <w:r w:rsidRPr="00FF263F">
              <w:rPr>
                <w:rFonts w:cs="Calibri"/>
                <w:sz w:val="16"/>
                <w:szCs w:val="16"/>
              </w:rPr>
              <w:t>84%</w:t>
            </w:r>
          </w:p>
        </w:tc>
        <w:tc>
          <w:tcPr>
            <w:tcW w:w="834" w:type="dxa"/>
            <w:shd w:val="clear" w:color="000000" w:fill="C9DED4"/>
            <w:tcMar>
              <w:top w:w="15" w:type="dxa"/>
              <w:left w:w="15" w:type="dxa"/>
              <w:bottom w:w="0" w:type="dxa"/>
              <w:right w:w="15" w:type="dxa"/>
            </w:tcMar>
            <w:vAlign w:val="center"/>
            <w:hideMark/>
          </w:tcPr>
          <w:p w14:paraId="588FED6D" w14:textId="77777777" w:rsidR="00120717" w:rsidRPr="00FF263F" w:rsidRDefault="00120717" w:rsidP="00075C8B">
            <w:pPr>
              <w:ind w:right="57"/>
              <w:jc w:val="right"/>
              <w:rPr>
                <w:rFonts w:cs="Calibri"/>
                <w:sz w:val="16"/>
                <w:szCs w:val="16"/>
              </w:rPr>
            </w:pPr>
            <w:r w:rsidRPr="00FF263F">
              <w:rPr>
                <w:rFonts w:cs="Calibri"/>
                <w:sz w:val="16"/>
                <w:szCs w:val="16"/>
              </w:rPr>
              <w:t>95%</w:t>
            </w:r>
          </w:p>
        </w:tc>
        <w:tc>
          <w:tcPr>
            <w:tcW w:w="833" w:type="dxa"/>
            <w:shd w:val="clear" w:color="000000" w:fill="C9DED4"/>
            <w:tcMar>
              <w:top w:w="15" w:type="dxa"/>
              <w:left w:w="15" w:type="dxa"/>
              <w:bottom w:w="0" w:type="dxa"/>
              <w:right w:w="15" w:type="dxa"/>
            </w:tcMar>
            <w:vAlign w:val="center"/>
            <w:hideMark/>
          </w:tcPr>
          <w:p w14:paraId="24945E78" w14:textId="77777777" w:rsidR="00120717" w:rsidRPr="00FF263F" w:rsidRDefault="00120717" w:rsidP="00075C8B">
            <w:pPr>
              <w:ind w:right="57"/>
              <w:jc w:val="right"/>
              <w:rPr>
                <w:rFonts w:cs="Calibri"/>
                <w:sz w:val="16"/>
                <w:szCs w:val="16"/>
              </w:rPr>
            </w:pPr>
            <w:r w:rsidRPr="00FF263F">
              <w:rPr>
                <w:rFonts w:cs="Calibri"/>
                <w:sz w:val="16"/>
                <w:szCs w:val="16"/>
              </w:rPr>
              <w:t>94%</w:t>
            </w:r>
          </w:p>
        </w:tc>
        <w:tc>
          <w:tcPr>
            <w:tcW w:w="834" w:type="dxa"/>
            <w:shd w:val="clear" w:color="000000" w:fill="C9DED4"/>
            <w:tcMar>
              <w:top w:w="15" w:type="dxa"/>
              <w:left w:w="15" w:type="dxa"/>
              <w:bottom w:w="0" w:type="dxa"/>
              <w:right w:w="15" w:type="dxa"/>
            </w:tcMar>
            <w:vAlign w:val="center"/>
            <w:hideMark/>
          </w:tcPr>
          <w:p w14:paraId="6AF8DC56" w14:textId="77777777" w:rsidR="00120717" w:rsidRPr="00FF263F" w:rsidRDefault="00120717" w:rsidP="00075C8B">
            <w:pPr>
              <w:ind w:right="57"/>
              <w:jc w:val="right"/>
              <w:rPr>
                <w:rFonts w:cs="Calibri"/>
                <w:sz w:val="16"/>
                <w:szCs w:val="16"/>
              </w:rPr>
            </w:pPr>
            <w:r w:rsidRPr="00FF263F">
              <w:rPr>
                <w:rFonts w:cs="Calibri"/>
                <w:sz w:val="16"/>
                <w:szCs w:val="16"/>
              </w:rPr>
              <w:t>92%</w:t>
            </w:r>
          </w:p>
        </w:tc>
        <w:tc>
          <w:tcPr>
            <w:tcW w:w="833" w:type="dxa"/>
            <w:shd w:val="clear" w:color="000000" w:fill="C9DED4"/>
            <w:tcMar>
              <w:top w:w="15" w:type="dxa"/>
              <w:left w:w="15" w:type="dxa"/>
              <w:bottom w:w="0" w:type="dxa"/>
              <w:right w:w="15" w:type="dxa"/>
            </w:tcMar>
            <w:vAlign w:val="center"/>
            <w:hideMark/>
          </w:tcPr>
          <w:p w14:paraId="6829B8AA" w14:textId="77777777" w:rsidR="00120717" w:rsidRPr="00FF263F" w:rsidRDefault="00120717" w:rsidP="00075C8B">
            <w:pPr>
              <w:ind w:right="57"/>
              <w:jc w:val="right"/>
              <w:rPr>
                <w:rFonts w:cs="Calibri"/>
                <w:sz w:val="16"/>
                <w:szCs w:val="16"/>
              </w:rPr>
            </w:pPr>
            <w:r w:rsidRPr="00FF263F">
              <w:rPr>
                <w:rFonts w:cs="Calibri"/>
                <w:sz w:val="16"/>
                <w:szCs w:val="16"/>
              </w:rPr>
              <w:t>92%</w:t>
            </w:r>
          </w:p>
        </w:tc>
        <w:tc>
          <w:tcPr>
            <w:tcW w:w="834" w:type="dxa"/>
            <w:shd w:val="clear" w:color="000000" w:fill="C9DED4"/>
            <w:tcMar>
              <w:top w:w="15" w:type="dxa"/>
              <w:left w:w="15" w:type="dxa"/>
              <w:bottom w:w="0" w:type="dxa"/>
              <w:right w:w="15" w:type="dxa"/>
            </w:tcMar>
            <w:vAlign w:val="center"/>
            <w:hideMark/>
          </w:tcPr>
          <w:p w14:paraId="239E417A" w14:textId="77777777" w:rsidR="00120717" w:rsidRPr="00FF263F" w:rsidRDefault="00120717" w:rsidP="00075C8B">
            <w:pPr>
              <w:ind w:right="57"/>
              <w:jc w:val="right"/>
              <w:rPr>
                <w:rFonts w:cs="Calibri"/>
                <w:sz w:val="16"/>
                <w:szCs w:val="16"/>
              </w:rPr>
            </w:pPr>
            <w:r w:rsidRPr="00FF263F">
              <w:rPr>
                <w:rFonts w:cs="Calibri"/>
                <w:sz w:val="16"/>
                <w:szCs w:val="16"/>
              </w:rPr>
              <w:t>92%</w:t>
            </w:r>
          </w:p>
        </w:tc>
        <w:tc>
          <w:tcPr>
            <w:tcW w:w="833" w:type="dxa"/>
            <w:shd w:val="clear" w:color="000000" w:fill="C9DED4"/>
            <w:tcMar>
              <w:top w:w="15" w:type="dxa"/>
              <w:left w:w="15" w:type="dxa"/>
              <w:bottom w:w="0" w:type="dxa"/>
              <w:right w:w="15" w:type="dxa"/>
            </w:tcMar>
            <w:vAlign w:val="center"/>
            <w:hideMark/>
          </w:tcPr>
          <w:p w14:paraId="0942B87F" w14:textId="77777777" w:rsidR="00120717" w:rsidRPr="00FF263F" w:rsidRDefault="00120717" w:rsidP="00075C8B">
            <w:pPr>
              <w:ind w:right="57"/>
              <w:jc w:val="right"/>
              <w:rPr>
                <w:rFonts w:cs="Calibri"/>
                <w:sz w:val="16"/>
                <w:szCs w:val="16"/>
              </w:rPr>
            </w:pPr>
            <w:r w:rsidRPr="00FF263F">
              <w:rPr>
                <w:rFonts w:cs="Calibri"/>
                <w:sz w:val="16"/>
                <w:szCs w:val="16"/>
              </w:rPr>
              <w:t>93%</w:t>
            </w:r>
          </w:p>
        </w:tc>
        <w:tc>
          <w:tcPr>
            <w:tcW w:w="834" w:type="dxa"/>
            <w:shd w:val="clear" w:color="000000" w:fill="C9DED4"/>
            <w:tcMar>
              <w:top w:w="15" w:type="dxa"/>
              <w:left w:w="15" w:type="dxa"/>
              <w:bottom w:w="0" w:type="dxa"/>
              <w:right w:w="15" w:type="dxa"/>
            </w:tcMar>
            <w:vAlign w:val="center"/>
            <w:hideMark/>
          </w:tcPr>
          <w:p w14:paraId="5FAC8513" w14:textId="77777777" w:rsidR="00120717" w:rsidRPr="00FF263F" w:rsidRDefault="00120717" w:rsidP="00075C8B">
            <w:pPr>
              <w:ind w:right="57"/>
              <w:jc w:val="right"/>
              <w:rPr>
                <w:rFonts w:cs="Calibri"/>
                <w:sz w:val="16"/>
                <w:szCs w:val="16"/>
              </w:rPr>
            </w:pPr>
            <w:r w:rsidRPr="00FF263F">
              <w:rPr>
                <w:rFonts w:cs="Calibri"/>
                <w:sz w:val="16"/>
                <w:szCs w:val="16"/>
              </w:rPr>
              <w:t>96%</w:t>
            </w:r>
          </w:p>
        </w:tc>
        <w:tc>
          <w:tcPr>
            <w:tcW w:w="833" w:type="dxa"/>
            <w:shd w:val="clear" w:color="000000" w:fill="C9DED4"/>
            <w:tcMar>
              <w:top w:w="15" w:type="dxa"/>
              <w:left w:w="15" w:type="dxa"/>
              <w:bottom w:w="0" w:type="dxa"/>
              <w:right w:w="15" w:type="dxa"/>
            </w:tcMar>
            <w:vAlign w:val="center"/>
            <w:hideMark/>
          </w:tcPr>
          <w:p w14:paraId="787A18CB" w14:textId="77777777" w:rsidR="00120717" w:rsidRPr="00FF263F" w:rsidRDefault="00120717" w:rsidP="00075C8B">
            <w:pPr>
              <w:ind w:right="57"/>
              <w:jc w:val="right"/>
              <w:rPr>
                <w:rFonts w:cs="Calibri"/>
                <w:sz w:val="16"/>
                <w:szCs w:val="16"/>
              </w:rPr>
            </w:pPr>
            <w:r w:rsidRPr="00FF263F">
              <w:rPr>
                <w:rFonts w:cs="Calibri"/>
                <w:sz w:val="16"/>
                <w:szCs w:val="16"/>
              </w:rPr>
              <w:t>94%</w:t>
            </w:r>
          </w:p>
        </w:tc>
        <w:tc>
          <w:tcPr>
            <w:tcW w:w="834" w:type="dxa"/>
            <w:shd w:val="clear" w:color="000000" w:fill="C9DED4"/>
            <w:tcMar>
              <w:top w:w="15" w:type="dxa"/>
              <w:left w:w="15" w:type="dxa"/>
              <w:bottom w:w="0" w:type="dxa"/>
              <w:right w:w="15" w:type="dxa"/>
            </w:tcMar>
            <w:vAlign w:val="center"/>
            <w:hideMark/>
          </w:tcPr>
          <w:p w14:paraId="7F161D5A" w14:textId="77777777" w:rsidR="00120717" w:rsidRPr="00FF263F" w:rsidRDefault="00120717" w:rsidP="00075C8B">
            <w:pPr>
              <w:ind w:right="57"/>
              <w:jc w:val="right"/>
              <w:rPr>
                <w:rFonts w:cs="Calibri"/>
                <w:sz w:val="16"/>
                <w:szCs w:val="16"/>
              </w:rPr>
            </w:pPr>
            <w:r w:rsidRPr="00FF263F">
              <w:rPr>
                <w:rFonts w:cs="Calibri"/>
                <w:sz w:val="16"/>
                <w:szCs w:val="16"/>
              </w:rPr>
              <w:t>96%</w:t>
            </w:r>
          </w:p>
        </w:tc>
      </w:tr>
      <w:tr w:rsidR="00120717" w:rsidRPr="00B93EE1" w14:paraId="0CE5EF5D" w14:textId="77777777" w:rsidTr="007A4ECB">
        <w:trPr>
          <w:trHeight w:val="300"/>
        </w:trPr>
        <w:tc>
          <w:tcPr>
            <w:tcW w:w="1464" w:type="dxa"/>
            <w:vMerge/>
            <w:vAlign w:val="center"/>
            <w:hideMark/>
          </w:tcPr>
          <w:p w14:paraId="1FDCA73D" w14:textId="77777777" w:rsidR="00120717" w:rsidRPr="00B93EE1" w:rsidRDefault="00120717" w:rsidP="00075C8B">
            <w:pPr>
              <w:rPr>
                <w:rFonts w:cs="Calibri"/>
                <w:b/>
                <w:bCs/>
                <w:color w:val="000000"/>
                <w:sz w:val="16"/>
                <w:szCs w:val="16"/>
              </w:rPr>
            </w:pPr>
          </w:p>
        </w:tc>
        <w:tc>
          <w:tcPr>
            <w:tcW w:w="1037" w:type="dxa"/>
            <w:shd w:val="clear" w:color="000000" w:fill="FFFFFF"/>
            <w:tcMar>
              <w:top w:w="15" w:type="dxa"/>
              <w:left w:w="15" w:type="dxa"/>
              <w:bottom w:w="0" w:type="dxa"/>
              <w:right w:w="15" w:type="dxa"/>
            </w:tcMar>
            <w:vAlign w:val="center"/>
            <w:hideMark/>
          </w:tcPr>
          <w:p w14:paraId="6F087F43" w14:textId="77777777" w:rsidR="00120717" w:rsidRPr="00FF263F" w:rsidRDefault="00120717" w:rsidP="00FF263F">
            <w:pPr>
              <w:ind w:left="57"/>
              <w:jc w:val="left"/>
              <w:rPr>
                <w:rFonts w:cs="Calibri"/>
                <w:i/>
                <w:iCs/>
                <w:sz w:val="16"/>
                <w:szCs w:val="16"/>
              </w:rPr>
            </w:pPr>
            <w:r w:rsidRPr="00FF263F">
              <w:rPr>
                <w:rFonts w:cs="Calibri"/>
                <w:i/>
                <w:iCs/>
                <w:sz w:val="16"/>
                <w:szCs w:val="16"/>
              </w:rPr>
              <w:t>Abroad</w:t>
            </w:r>
          </w:p>
        </w:tc>
        <w:tc>
          <w:tcPr>
            <w:tcW w:w="833" w:type="dxa"/>
            <w:shd w:val="clear" w:color="000000" w:fill="FAFAFA"/>
            <w:tcMar>
              <w:top w:w="15" w:type="dxa"/>
              <w:left w:w="15" w:type="dxa"/>
              <w:bottom w:w="0" w:type="dxa"/>
              <w:right w:w="15" w:type="dxa"/>
            </w:tcMar>
            <w:vAlign w:val="center"/>
            <w:hideMark/>
          </w:tcPr>
          <w:p w14:paraId="34071EB5" w14:textId="77777777" w:rsidR="00120717" w:rsidRPr="00FF263F" w:rsidRDefault="00120717" w:rsidP="00075C8B">
            <w:pPr>
              <w:ind w:right="57"/>
              <w:jc w:val="right"/>
              <w:rPr>
                <w:rFonts w:cs="Calibri"/>
                <w:i/>
                <w:iCs/>
                <w:sz w:val="16"/>
                <w:szCs w:val="16"/>
              </w:rPr>
            </w:pPr>
            <w:r w:rsidRPr="00FF263F">
              <w:rPr>
                <w:rFonts w:cs="Calibri"/>
                <w:i/>
                <w:iCs/>
                <w:sz w:val="16"/>
                <w:szCs w:val="16"/>
              </w:rPr>
              <w:t>1,793</w:t>
            </w:r>
          </w:p>
        </w:tc>
        <w:tc>
          <w:tcPr>
            <w:tcW w:w="834" w:type="dxa"/>
            <w:shd w:val="clear" w:color="000000" w:fill="FAFAFA"/>
            <w:tcMar>
              <w:top w:w="15" w:type="dxa"/>
              <w:left w:w="15" w:type="dxa"/>
              <w:bottom w:w="0" w:type="dxa"/>
              <w:right w:w="15" w:type="dxa"/>
            </w:tcMar>
            <w:vAlign w:val="center"/>
            <w:hideMark/>
          </w:tcPr>
          <w:p w14:paraId="1031D8DA" w14:textId="77777777" w:rsidR="00120717" w:rsidRPr="00FF263F" w:rsidRDefault="00120717" w:rsidP="00075C8B">
            <w:pPr>
              <w:ind w:right="57"/>
              <w:jc w:val="right"/>
              <w:rPr>
                <w:rFonts w:cs="Calibri"/>
                <w:i/>
                <w:iCs/>
                <w:sz w:val="16"/>
                <w:szCs w:val="16"/>
              </w:rPr>
            </w:pPr>
            <w:r w:rsidRPr="00FF263F">
              <w:rPr>
                <w:rFonts w:cs="Calibri"/>
                <w:i/>
                <w:iCs/>
                <w:sz w:val="16"/>
                <w:szCs w:val="16"/>
              </w:rPr>
              <w:t>2,103</w:t>
            </w:r>
          </w:p>
        </w:tc>
        <w:tc>
          <w:tcPr>
            <w:tcW w:w="833" w:type="dxa"/>
            <w:shd w:val="clear" w:color="000000" w:fill="FAFAFA"/>
            <w:tcMar>
              <w:top w:w="15" w:type="dxa"/>
              <w:left w:w="15" w:type="dxa"/>
              <w:bottom w:w="0" w:type="dxa"/>
              <w:right w:w="15" w:type="dxa"/>
            </w:tcMar>
            <w:vAlign w:val="center"/>
            <w:hideMark/>
          </w:tcPr>
          <w:p w14:paraId="6358E787" w14:textId="77777777" w:rsidR="00120717" w:rsidRPr="00FF263F" w:rsidRDefault="00120717" w:rsidP="00075C8B">
            <w:pPr>
              <w:ind w:right="57"/>
              <w:jc w:val="right"/>
              <w:rPr>
                <w:rFonts w:cs="Calibri"/>
                <w:i/>
                <w:iCs/>
                <w:sz w:val="16"/>
                <w:szCs w:val="16"/>
              </w:rPr>
            </w:pPr>
            <w:r w:rsidRPr="00FF263F">
              <w:rPr>
                <w:rFonts w:cs="Calibri"/>
                <w:i/>
                <w:iCs/>
                <w:sz w:val="16"/>
                <w:szCs w:val="16"/>
              </w:rPr>
              <w:t>1,988</w:t>
            </w:r>
          </w:p>
        </w:tc>
        <w:tc>
          <w:tcPr>
            <w:tcW w:w="834" w:type="dxa"/>
            <w:shd w:val="clear" w:color="000000" w:fill="FAFAFA"/>
            <w:tcMar>
              <w:top w:w="15" w:type="dxa"/>
              <w:left w:w="15" w:type="dxa"/>
              <w:bottom w:w="0" w:type="dxa"/>
              <w:right w:w="15" w:type="dxa"/>
            </w:tcMar>
            <w:vAlign w:val="center"/>
            <w:hideMark/>
          </w:tcPr>
          <w:p w14:paraId="64B7190E" w14:textId="77777777" w:rsidR="00120717" w:rsidRPr="00FF263F" w:rsidRDefault="00120717" w:rsidP="00075C8B">
            <w:pPr>
              <w:ind w:right="57"/>
              <w:jc w:val="right"/>
              <w:rPr>
                <w:rFonts w:cs="Calibri"/>
                <w:i/>
                <w:iCs/>
                <w:sz w:val="16"/>
                <w:szCs w:val="16"/>
              </w:rPr>
            </w:pPr>
            <w:r w:rsidRPr="00FF263F">
              <w:rPr>
                <w:rFonts w:cs="Calibri"/>
                <w:i/>
                <w:iCs/>
                <w:sz w:val="16"/>
                <w:szCs w:val="16"/>
              </w:rPr>
              <w:t>2,169</w:t>
            </w:r>
          </w:p>
        </w:tc>
        <w:tc>
          <w:tcPr>
            <w:tcW w:w="833" w:type="dxa"/>
            <w:shd w:val="clear" w:color="000000" w:fill="FAFAFA"/>
            <w:tcMar>
              <w:top w:w="15" w:type="dxa"/>
              <w:left w:w="15" w:type="dxa"/>
              <w:bottom w:w="0" w:type="dxa"/>
              <w:right w:w="15" w:type="dxa"/>
            </w:tcMar>
            <w:vAlign w:val="center"/>
            <w:hideMark/>
          </w:tcPr>
          <w:p w14:paraId="5F492751" w14:textId="77777777" w:rsidR="00120717" w:rsidRPr="00FF263F" w:rsidRDefault="00120717" w:rsidP="00075C8B">
            <w:pPr>
              <w:ind w:right="57"/>
              <w:jc w:val="right"/>
              <w:rPr>
                <w:rFonts w:cs="Calibri"/>
                <w:i/>
                <w:iCs/>
                <w:sz w:val="16"/>
                <w:szCs w:val="16"/>
              </w:rPr>
            </w:pPr>
            <w:r w:rsidRPr="00FF263F">
              <w:rPr>
                <w:rFonts w:cs="Calibri"/>
                <w:i/>
                <w:iCs/>
                <w:sz w:val="16"/>
                <w:szCs w:val="16"/>
              </w:rPr>
              <w:t>2,022</w:t>
            </w:r>
          </w:p>
        </w:tc>
        <w:tc>
          <w:tcPr>
            <w:tcW w:w="834" w:type="dxa"/>
            <w:shd w:val="clear" w:color="000000" w:fill="FAFAFA"/>
            <w:tcMar>
              <w:top w:w="15" w:type="dxa"/>
              <w:left w:w="15" w:type="dxa"/>
              <w:bottom w:w="0" w:type="dxa"/>
              <w:right w:w="15" w:type="dxa"/>
            </w:tcMar>
            <w:vAlign w:val="center"/>
            <w:hideMark/>
          </w:tcPr>
          <w:p w14:paraId="14764A96" w14:textId="77777777" w:rsidR="00120717" w:rsidRPr="00FF263F" w:rsidRDefault="00120717" w:rsidP="00075C8B">
            <w:pPr>
              <w:ind w:right="57"/>
              <w:jc w:val="right"/>
              <w:rPr>
                <w:rFonts w:cs="Calibri"/>
                <w:i/>
                <w:iCs/>
                <w:sz w:val="16"/>
                <w:szCs w:val="16"/>
              </w:rPr>
            </w:pPr>
            <w:r w:rsidRPr="00FF263F">
              <w:rPr>
                <w:rFonts w:cs="Calibri"/>
                <w:i/>
                <w:iCs/>
                <w:sz w:val="16"/>
                <w:szCs w:val="16"/>
              </w:rPr>
              <w:t>1,849</w:t>
            </w:r>
          </w:p>
        </w:tc>
        <w:tc>
          <w:tcPr>
            <w:tcW w:w="833" w:type="dxa"/>
            <w:shd w:val="clear" w:color="000000" w:fill="FAFAFA"/>
            <w:tcMar>
              <w:top w:w="15" w:type="dxa"/>
              <w:left w:w="15" w:type="dxa"/>
              <w:bottom w:w="0" w:type="dxa"/>
              <w:right w:w="15" w:type="dxa"/>
            </w:tcMar>
            <w:vAlign w:val="center"/>
            <w:hideMark/>
          </w:tcPr>
          <w:p w14:paraId="19180F25" w14:textId="77777777" w:rsidR="00120717" w:rsidRPr="00FF263F" w:rsidRDefault="00120717" w:rsidP="00075C8B">
            <w:pPr>
              <w:ind w:right="57"/>
              <w:jc w:val="right"/>
              <w:rPr>
                <w:rFonts w:cs="Calibri"/>
                <w:i/>
                <w:iCs/>
                <w:sz w:val="16"/>
                <w:szCs w:val="16"/>
              </w:rPr>
            </w:pPr>
            <w:r w:rsidRPr="00FF263F">
              <w:rPr>
                <w:rFonts w:cs="Calibri"/>
                <w:i/>
                <w:iCs/>
                <w:sz w:val="16"/>
                <w:szCs w:val="16"/>
              </w:rPr>
              <w:t>2,029</w:t>
            </w:r>
          </w:p>
        </w:tc>
        <w:tc>
          <w:tcPr>
            <w:tcW w:w="834" w:type="dxa"/>
            <w:shd w:val="clear" w:color="auto" w:fill="auto"/>
            <w:tcMar>
              <w:top w:w="15" w:type="dxa"/>
              <w:left w:w="15" w:type="dxa"/>
              <w:bottom w:w="0" w:type="dxa"/>
              <w:right w:w="15" w:type="dxa"/>
            </w:tcMar>
            <w:vAlign w:val="center"/>
            <w:hideMark/>
          </w:tcPr>
          <w:p w14:paraId="4B09D030" w14:textId="77777777" w:rsidR="00120717" w:rsidRPr="00FF263F" w:rsidRDefault="00120717" w:rsidP="00075C8B">
            <w:pPr>
              <w:ind w:right="57"/>
              <w:jc w:val="right"/>
              <w:rPr>
                <w:rFonts w:cs="Calibri"/>
                <w:i/>
                <w:iCs/>
                <w:sz w:val="16"/>
                <w:szCs w:val="16"/>
              </w:rPr>
            </w:pPr>
            <w:r w:rsidRPr="00FF263F">
              <w:rPr>
                <w:rFonts w:cs="Calibri"/>
                <w:i/>
                <w:iCs/>
                <w:sz w:val="16"/>
                <w:szCs w:val="16"/>
              </w:rPr>
              <w:t>786</w:t>
            </w:r>
          </w:p>
        </w:tc>
        <w:tc>
          <w:tcPr>
            <w:tcW w:w="833" w:type="dxa"/>
            <w:shd w:val="clear" w:color="auto" w:fill="auto"/>
            <w:tcMar>
              <w:top w:w="15" w:type="dxa"/>
              <w:left w:w="15" w:type="dxa"/>
              <w:bottom w:w="0" w:type="dxa"/>
              <w:right w:w="15" w:type="dxa"/>
            </w:tcMar>
            <w:vAlign w:val="center"/>
            <w:hideMark/>
          </w:tcPr>
          <w:p w14:paraId="5284A1CB" w14:textId="77777777" w:rsidR="00120717" w:rsidRPr="00FF263F" w:rsidRDefault="00120717" w:rsidP="00075C8B">
            <w:pPr>
              <w:ind w:right="57"/>
              <w:jc w:val="right"/>
              <w:rPr>
                <w:rFonts w:cs="Calibri"/>
                <w:i/>
                <w:iCs/>
                <w:sz w:val="16"/>
                <w:szCs w:val="16"/>
              </w:rPr>
            </w:pPr>
            <w:r w:rsidRPr="00FF263F">
              <w:rPr>
                <w:rFonts w:cs="Calibri"/>
                <w:i/>
                <w:iCs/>
                <w:sz w:val="16"/>
                <w:szCs w:val="16"/>
              </w:rPr>
              <w:t>799</w:t>
            </w:r>
          </w:p>
        </w:tc>
        <w:tc>
          <w:tcPr>
            <w:tcW w:w="834" w:type="dxa"/>
            <w:shd w:val="clear" w:color="auto" w:fill="auto"/>
            <w:tcMar>
              <w:top w:w="15" w:type="dxa"/>
              <w:left w:w="15" w:type="dxa"/>
              <w:bottom w:w="0" w:type="dxa"/>
              <w:right w:w="15" w:type="dxa"/>
            </w:tcMar>
            <w:vAlign w:val="center"/>
            <w:hideMark/>
          </w:tcPr>
          <w:p w14:paraId="453FD937" w14:textId="77777777" w:rsidR="00120717" w:rsidRPr="00FF263F" w:rsidRDefault="00120717" w:rsidP="00075C8B">
            <w:pPr>
              <w:ind w:right="57"/>
              <w:jc w:val="right"/>
              <w:rPr>
                <w:rFonts w:cs="Calibri"/>
                <w:i/>
                <w:iCs/>
                <w:sz w:val="16"/>
                <w:szCs w:val="16"/>
              </w:rPr>
            </w:pPr>
            <w:r w:rsidRPr="00FF263F">
              <w:rPr>
                <w:rFonts w:cs="Calibri"/>
                <w:i/>
                <w:iCs/>
                <w:sz w:val="16"/>
                <w:szCs w:val="16"/>
              </w:rPr>
              <w:t>966</w:t>
            </w:r>
          </w:p>
        </w:tc>
        <w:tc>
          <w:tcPr>
            <w:tcW w:w="833" w:type="dxa"/>
            <w:shd w:val="clear" w:color="auto" w:fill="auto"/>
            <w:tcMar>
              <w:top w:w="15" w:type="dxa"/>
              <w:left w:w="15" w:type="dxa"/>
              <w:bottom w:w="0" w:type="dxa"/>
              <w:right w:w="15" w:type="dxa"/>
            </w:tcMar>
            <w:vAlign w:val="center"/>
            <w:hideMark/>
          </w:tcPr>
          <w:p w14:paraId="3D7CDF1C" w14:textId="77777777" w:rsidR="00120717" w:rsidRPr="00FF263F" w:rsidRDefault="00120717" w:rsidP="00075C8B">
            <w:pPr>
              <w:ind w:right="57"/>
              <w:jc w:val="right"/>
              <w:rPr>
                <w:rFonts w:cs="Calibri"/>
                <w:i/>
                <w:iCs/>
                <w:sz w:val="16"/>
                <w:szCs w:val="16"/>
              </w:rPr>
            </w:pPr>
            <w:r w:rsidRPr="00FF263F">
              <w:rPr>
                <w:rFonts w:cs="Calibri"/>
                <w:i/>
                <w:iCs/>
                <w:sz w:val="16"/>
                <w:szCs w:val="16"/>
              </w:rPr>
              <w:t>989</w:t>
            </w:r>
          </w:p>
        </w:tc>
        <w:tc>
          <w:tcPr>
            <w:tcW w:w="834" w:type="dxa"/>
            <w:shd w:val="clear" w:color="auto" w:fill="auto"/>
            <w:tcMar>
              <w:top w:w="15" w:type="dxa"/>
              <w:left w:w="15" w:type="dxa"/>
              <w:bottom w:w="0" w:type="dxa"/>
              <w:right w:w="15" w:type="dxa"/>
            </w:tcMar>
            <w:vAlign w:val="center"/>
            <w:hideMark/>
          </w:tcPr>
          <w:p w14:paraId="7A87FDA0" w14:textId="77777777" w:rsidR="00120717" w:rsidRPr="00FF263F" w:rsidRDefault="00120717" w:rsidP="00075C8B">
            <w:pPr>
              <w:ind w:right="57"/>
              <w:jc w:val="right"/>
              <w:rPr>
                <w:rFonts w:cs="Calibri"/>
                <w:i/>
                <w:iCs/>
                <w:sz w:val="16"/>
                <w:szCs w:val="16"/>
              </w:rPr>
            </w:pPr>
            <w:r w:rsidRPr="00FF263F">
              <w:rPr>
                <w:rFonts w:cs="Calibri"/>
                <w:i/>
                <w:iCs/>
                <w:sz w:val="16"/>
                <w:szCs w:val="16"/>
              </w:rPr>
              <w:t>1,154</w:t>
            </w:r>
          </w:p>
        </w:tc>
        <w:tc>
          <w:tcPr>
            <w:tcW w:w="833" w:type="dxa"/>
            <w:shd w:val="clear" w:color="auto" w:fill="auto"/>
            <w:tcMar>
              <w:top w:w="15" w:type="dxa"/>
              <w:left w:w="15" w:type="dxa"/>
              <w:bottom w:w="0" w:type="dxa"/>
              <w:right w:w="15" w:type="dxa"/>
            </w:tcMar>
            <w:vAlign w:val="center"/>
            <w:hideMark/>
          </w:tcPr>
          <w:p w14:paraId="4E19D5C4" w14:textId="77777777" w:rsidR="00120717" w:rsidRPr="00FF263F" w:rsidRDefault="00120717" w:rsidP="00075C8B">
            <w:pPr>
              <w:ind w:right="57"/>
              <w:jc w:val="right"/>
              <w:rPr>
                <w:rFonts w:cs="Calibri"/>
                <w:i/>
                <w:iCs/>
                <w:sz w:val="16"/>
                <w:szCs w:val="16"/>
              </w:rPr>
            </w:pPr>
            <w:r w:rsidRPr="00FF263F">
              <w:rPr>
                <w:rFonts w:cs="Calibri"/>
                <w:i/>
                <w:iCs/>
                <w:sz w:val="16"/>
                <w:szCs w:val="16"/>
              </w:rPr>
              <w:t>1,066</w:t>
            </w:r>
          </w:p>
        </w:tc>
        <w:tc>
          <w:tcPr>
            <w:tcW w:w="834" w:type="dxa"/>
            <w:shd w:val="clear" w:color="auto" w:fill="auto"/>
            <w:tcMar>
              <w:top w:w="15" w:type="dxa"/>
              <w:left w:w="15" w:type="dxa"/>
              <w:bottom w:w="0" w:type="dxa"/>
              <w:right w:w="15" w:type="dxa"/>
            </w:tcMar>
            <w:vAlign w:val="center"/>
            <w:hideMark/>
          </w:tcPr>
          <w:p w14:paraId="502A96BF" w14:textId="77777777" w:rsidR="00120717" w:rsidRPr="00FF263F" w:rsidRDefault="00120717" w:rsidP="00075C8B">
            <w:pPr>
              <w:ind w:right="57"/>
              <w:jc w:val="right"/>
              <w:rPr>
                <w:rFonts w:cs="Calibri"/>
                <w:i/>
                <w:iCs/>
                <w:sz w:val="16"/>
                <w:szCs w:val="16"/>
              </w:rPr>
            </w:pPr>
            <w:r w:rsidRPr="00FF263F">
              <w:rPr>
                <w:rFonts w:cs="Calibri"/>
                <w:i/>
                <w:iCs/>
                <w:sz w:val="16"/>
                <w:szCs w:val="16"/>
              </w:rPr>
              <w:t>1,239</w:t>
            </w:r>
          </w:p>
        </w:tc>
      </w:tr>
      <w:tr w:rsidR="007A4ECB" w:rsidRPr="00B93EE1" w14:paraId="2777B1D0" w14:textId="77777777" w:rsidTr="007A4ECB">
        <w:trPr>
          <w:trHeight w:val="288"/>
        </w:trPr>
        <w:tc>
          <w:tcPr>
            <w:tcW w:w="1464" w:type="dxa"/>
            <w:vMerge w:val="restart"/>
            <w:shd w:val="clear" w:color="000000" w:fill="C9DED4"/>
            <w:tcMar>
              <w:top w:w="15" w:type="dxa"/>
              <w:left w:w="15" w:type="dxa"/>
              <w:bottom w:w="0" w:type="dxa"/>
              <w:right w:w="15" w:type="dxa"/>
            </w:tcMar>
            <w:vAlign w:val="center"/>
            <w:hideMark/>
          </w:tcPr>
          <w:p w14:paraId="6C1C6B52" w14:textId="77777777" w:rsidR="00120717" w:rsidRPr="00B93EE1" w:rsidRDefault="00120717" w:rsidP="00075C8B">
            <w:pPr>
              <w:jc w:val="left"/>
              <w:rPr>
                <w:rFonts w:cs="Calibri"/>
                <w:b/>
                <w:bCs/>
                <w:color w:val="000000"/>
                <w:sz w:val="16"/>
                <w:szCs w:val="16"/>
              </w:rPr>
            </w:pPr>
            <w:r w:rsidRPr="00B93EE1">
              <w:rPr>
                <w:rFonts w:cs="Calibri"/>
                <w:b/>
                <w:bCs/>
                <w:color w:val="000000"/>
                <w:sz w:val="16"/>
                <w:szCs w:val="16"/>
              </w:rPr>
              <w:t xml:space="preserve">Industrial </w:t>
            </w:r>
            <w:proofErr w:type="spellStart"/>
            <w:r w:rsidRPr="00B93EE1">
              <w:rPr>
                <w:rFonts w:cs="Calibri"/>
                <w:b/>
                <w:bCs/>
                <w:color w:val="000000"/>
                <w:sz w:val="16"/>
                <w:szCs w:val="16"/>
              </w:rPr>
              <w:t>Designs</w:t>
            </w:r>
            <w:r w:rsidRPr="00B93EE1">
              <w:rPr>
                <w:rFonts w:cs="Calibri"/>
                <w:b/>
                <w:bCs/>
                <w:color w:val="000000"/>
                <w:sz w:val="16"/>
                <w:szCs w:val="16"/>
                <w:vertAlign w:val="superscript"/>
              </w:rPr>
              <w:t>b</w:t>
            </w:r>
            <w:proofErr w:type="spellEnd"/>
          </w:p>
        </w:tc>
        <w:tc>
          <w:tcPr>
            <w:tcW w:w="1037" w:type="dxa"/>
            <w:shd w:val="clear" w:color="000000" w:fill="C9DED4"/>
            <w:tcMar>
              <w:top w:w="15" w:type="dxa"/>
              <w:left w:w="15" w:type="dxa"/>
              <w:bottom w:w="0" w:type="dxa"/>
              <w:right w:w="15" w:type="dxa"/>
            </w:tcMar>
            <w:vAlign w:val="center"/>
            <w:hideMark/>
          </w:tcPr>
          <w:p w14:paraId="194E0CE5" w14:textId="77777777" w:rsidR="00120717" w:rsidRPr="00FF263F" w:rsidRDefault="00120717" w:rsidP="00FF263F">
            <w:pPr>
              <w:ind w:left="57"/>
              <w:rPr>
                <w:rFonts w:cs="Calibri"/>
                <w:sz w:val="16"/>
                <w:szCs w:val="16"/>
              </w:rPr>
            </w:pPr>
            <w:r w:rsidRPr="00FF263F">
              <w:rPr>
                <w:rFonts w:cs="Calibri"/>
                <w:sz w:val="16"/>
                <w:szCs w:val="16"/>
              </w:rPr>
              <w:t>Resident</w:t>
            </w:r>
          </w:p>
        </w:tc>
        <w:tc>
          <w:tcPr>
            <w:tcW w:w="833" w:type="dxa"/>
            <w:shd w:val="clear" w:color="000000" w:fill="C9DED4"/>
            <w:tcMar>
              <w:top w:w="15" w:type="dxa"/>
              <w:left w:w="15" w:type="dxa"/>
              <w:bottom w:w="0" w:type="dxa"/>
              <w:right w:w="15" w:type="dxa"/>
            </w:tcMar>
            <w:vAlign w:val="center"/>
            <w:hideMark/>
          </w:tcPr>
          <w:p w14:paraId="62517A71" w14:textId="77777777" w:rsidR="00120717" w:rsidRPr="00FF263F" w:rsidRDefault="00120717" w:rsidP="00075C8B">
            <w:pPr>
              <w:ind w:right="57"/>
              <w:jc w:val="right"/>
              <w:rPr>
                <w:rFonts w:cs="Calibri"/>
                <w:sz w:val="16"/>
                <w:szCs w:val="16"/>
              </w:rPr>
            </w:pPr>
            <w:r w:rsidRPr="00FF263F">
              <w:rPr>
                <w:rFonts w:cs="Calibri"/>
                <w:sz w:val="16"/>
                <w:szCs w:val="16"/>
              </w:rPr>
              <w:t>400</w:t>
            </w:r>
          </w:p>
        </w:tc>
        <w:tc>
          <w:tcPr>
            <w:tcW w:w="834" w:type="dxa"/>
            <w:shd w:val="clear" w:color="000000" w:fill="C9DED4"/>
            <w:tcMar>
              <w:top w:w="15" w:type="dxa"/>
              <w:left w:w="15" w:type="dxa"/>
              <w:bottom w:w="0" w:type="dxa"/>
              <w:right w:w="15" w:type="dxa"/>
            </w:tcMar>
            <w:vAlign w:val="center"/>
            <w:hideMark/>
          </w:tcPr>
          <w:p w14:paraId="6AD3254D" w14:textId="77777777" w:rsidR="00120717" w:rsidRPr="00FF263F" w:rsidRDefault="00120717" w:rsidP="00075C8B">
            <w:pPr>
              <w:ind w:right="57"/>
              <w:jc w:val="right"/>
              <w:rPr>
                <w:rFonts w:cs="Calibri"/>
                <w:sz w:val="16"/>
                <w:szCs w:val="16"/>
              </w:rPr>
            </w:pPr>
            <w:r w:rsidRPr="00FF263F">
              <w:rPr>
                <w:rFonts w:cs="Calibri"/>
                <w:sz w:val="16"/>
                <w:szCs w:val="16"/>
              </w:rPr>
              <w:t>345</w:t>
            </w:r>
          </w:p>
        </w:tc>
        <w:tc>
          <w:tcPr>
            <w:tcW w:w="833" w:type="dxa"/>
            <w:shd w:val="clear" w:color="000000" w:fill="C9DED4"/>
            <w:tcMar>
              <w:top w:w="15" w:type="dxa"/>
              <w:left w:w="15" w:type="dxa"/>
              <w:bottom w:w="0" w:type="dxa"/>
              <w:right w:w="15" w:type="dxa"/>
            </w:tcMar>
            <w:vAlign w:val="center"/>
            <w:hideMark/>
          </w:tcPr>
          <w:p w14:paraId="414AFC86" w14:textId="77777777" w:rsidR="00120717" w:rsidRPr="00FF263F" w:rsidRDefault="00120717" w:rsidP="00075C8B">
            <w:pPr>
              <w:ind w:right="57"/>
              <w:jc w:val="right"/>
              <w:rPr>
                <w:rFonts w:cs="Calibri"/>
                <w:sz w:val="16"/>
                <w:szCs w:val="16"/>
              </w:rPr>
            </w:pPr>
            <w:r w:rsidRPr="00FF263F">
              <w:rPr>
                <w:rFonts w:cs="Calibri"/>
                <w:sz w:val="16"/>
                <w:szCs w:val="16"/>
              </w:rPr>
              <w:t>358</w:t>
            </w:r>
          </w:p>
        </w:tc>
        <w:tc>
          <w:tcPr>
            <w:tcW w:w="834" w:type="dxa"/>
            <w:shd w:val="clear" w:color="000000" w:fill="C9DED4"/>
            <w:tcMar>
              <w:top w:w="15" w:type="dxa"/>
              <w:left w:w="15" w:type="dxa"/>
              <w:bottom w:w="0" w:type="dxa"/>
              <w:right w:w="15" w:type="dxa"/>
            </w:tcMar>
            <w:vAlign w:val="center"/>
            <w:hideMark/>
          </w:tcPr>
          <w:p w14:paraId="74C67CC3" w14:textId="77777777" w:rsidR="00120717" w:rsidRPr="00FF263F" w:rsidRDefault="00120717" w:rsidP="00075C8B">
            <w:pPr>
              <w:ind w:right="57"/>
              <w:jc w:val="right"/>
              <w:rPr>
                <w:rFonts w:cs="Calibri"/>
                <w:sz w:val="16"/>
                <w:szCs w:val="16"/>
              </w:rPr>
            </w:pPr>
            <w:r w:rsidRPr="00FF263F">
              <w:rPr>
                <w:rFonts w:cs="Calibri"/>
                <w:sz w:val="16"/>
                <w:szCs w:val="16"/>
              </w:rPr>
              <w:t>343</w:t>
            </w:r>
          </w:p>
        </w:tc>
        <w:tc>
          <w:tcPr>
            <w:tcW w:w="833" w:type="dxa"/>
            <w:shd w:val="clear" w:color="000000" w:fill="C9DED4"/>
            <w:tcMar>
              <w:top w:w="15" w:type="dxa"/>
              <w:left w:w="15" w:type="dxa"/>
              <w:bottom w:w="0" w:type="dxa"/>
              <w:right w:w="15" w:type="dxa"/>
            </w:tcMar>
            <w:vAlign w:val="center"/>
            <w:hideMark/>
          </w:tcPr>
          <w:p w14:paraId="7DAD4E1B" w14:textId="77777777" w:rsidR="00120717" w:rsidRPr="00FF263F" w:rsidRDefault="00120717" w:rsidP="00075C8B">
            <w:pPr>
              <w:ind w:right="57"/>
              <w:jc w:val="right"/>
              <w:rPr>
                <w:rFonts w:cs="Calibri"/>
                <w:sz w:val="16"/>
                <w:szCs w:val="16"/>
              </w:rPr>
            </w:pPr>
            <w:r w:rsidRPr="00FF263F">
              <w:rPr>
                <w:rFonts w:cs="Calibri"/>
                <w:sz w:val="16"/>
                <w:szCs w:val="16"/>
              </w:rPr>
              <w:t>463</w:t>
            </w:r>
          </w:p>
        </w:tc>
        <w:tc>
          <w:tcPr>
            <w:tcW w:w="834" w:type="dxa"/>
            <w:shd w:val="clear" w:color="000000" w:fill="C9DED4"/>
            <w:tcMar>
              <w:top w:w="15" w:type="dxa"/>
              <w:left w:w="15" w:type="dxa"/>
              <w:bottom w:w="0" w:type="dxa"/>
              <w:right w:w="15" w:type="dxa"/>
            </w:tcMar>
            <w:vAlign w:val="center"/>
            <w:hideMark/>
          </w:tcPr>
          <w:p w14:paraId="7C9A5904" w14:textId="77777777" w:rsidR="00120717" w:rsidRPr="00FF263F" w:rsidRDefault="00120717" w:rsidP="00075C8B">
            <w:pPr>
              <w:ind w:right="57"/>
              <w:jc w:val="right"/>
              <w:rPr>
                <w:rFonts w:cs="Calibri"/>
                <w:sz w:val="16"/>
                <w:szCs w:val="16"/>
              </w:rPr>
            </w:pPr>
            <w:r w:rsidRPr="00FF263F">
              <w:rPr>
                <w:rFonts w:cs="Calibri"/>
                <w:sz w:val="16"/>
                <w:szCs w:val="16"/>
              </w:rPr>
              <w:t>321</w:t>
            </w:r>
          </w:p>
        </w:tc>
        <w:tc>
          <w:tcPr>
            <w:tcW w:w="833" w:type="dxa"/>
            <w:shd w:val="clear" w:color="000000" w:fill="C9DED4"/>
            <w:tcMar>
              <w:top w:w="15" w:type="dxa"/>
              <w:left w:w="15" w:type="dxa"/>
              <w:bottom w:w="0" w:type="dxa"/>
              <w:right w:w="15" w:type="dxa"/>
            </w:tcMar>
            <w:vAlign w:val="center"/>
            <w:hideMark/>
          </w:tcPr>
          <w:p w14:paraId="4855EE5B" w14:textId="77777777" w:rsidR="00120717" w:rsidRPr="00FF263F" w:rsidRDefault="00120717" w:rsidP="00075C8B">
            <w:pPr>
              <w:ind w:right="57"/>
              <w:jc w:val="right"/>
              <w:rPr>
                <w:rFonts w:cs="Calibri"/>
                <w:sz w:val="16"/>
                <w:szCs w:val="16"/>
              </w:rPr>
            </w:pPr>
            <w:r w:rsidRPr="00FF263F">
              <w:rPr>
                <w:rFonts w:cs="Calibri"/>
                <w:sz w:val="16"/>
                <w:szCs w:val="16"/>
              </w:rPr>
              <w:t>352</w:t>
            </w:r>
          </w:p>
        </w:tc>
        <w:tc>
          <w:tcPr>
            <w:tcW w:w="834" w:type="dxa"/>
            <w:shd w:val="clear" w:color="000000" w:fill="C9DED4"/>
            <w:tcMar>
              <w:top w:w="15" w:type="dxa"/>
              <w:left w:w="15" w:type="dxa"/>
              <w:bottom w:w="0" w:type="dxa"/>
              <w:right w:w="15" w:type="dxa"/>
            </w:tcMar>
            <w:vAlign w:val="center"/>
            <w:hideMark/>
          </w:tcPr>
          <w:p w14:paraId="23A5F54C" w14:textId="77777777" w:rsidR="00120717" w:rsidRPr="00FF263F" w:rsidRDefault="00120717" w:rsidP="00075C8B">
            <w:pPr>
              <w:ind w:right="57"/>
              <w:jc w:val="right"/>
              <w:rPr>
                <w:rFonts w:cs="Calibri"/>
                <w:sz w:val="16"/>
                <w:szCs w:val="16"/>
              </w:rPr>
            </w:pPr>
            <w:r w:rsidRPr="00FF263F">
              <w:rPr>
                <w:rFonts w:cs="Calibri"/>
                <w:sz w:val="16"/>
                <w:szCs w:val="16"/>
              </w:rPr>
              <w:t>286</w:t>
            </w:r>
          </w:p>
        </w:tc>
        <w:tc>
          <w:tcPr>
            <w:tcW w:w="833" w:type="dxa"/>
            <w:shd w:val="clear" w:color="000000" w:fill="C9DED4"/>
            <w:tcMar>
              <w:top w:w="15" w:type="dxa"/>
              <w:left w:w="15" w:type="dxa"/>
              <w:bottom w:w="0" w:type="dxa"/>
              <w:right w:w="15" w:type="dxa"/>
            </w:tcMar>
            <w:vAlign w:val="center"/>
            <w:hideMark/>
          </w:tcPr>
          <w:p w14:paraId="30C02F17" w14:textId="77777777" w:rsidR="00120717" w:rsidRPr="00FF263F" w:rsidRDefault="00120717" w:rsidP="00075C8B">
            <w:pPr>
              <w:ind w:right="57"/>
              <w:jc w:val="right"/>
              <w:rPr>
                <w:rFonts w:cs="Calibri"/>
                <w:sz w:val="16"/>
                <w:szCs w:val="16"/>
              </w:rPr>
            </w:pPr>
            <w:r w:rsidRPr="00FF263F">
              <w:rPr>
                <w:rFonts w:cs="Calibri"/>
                <w:sz w:val="16"/>
                <w:szCs w:val="16"/>
              </w:rPr>
              <w:t>293</w:t>
            </w:r>
          </w:p>
        </w:tc>
        <w:tc>
          <w:tcPr>
            <w:tcW w:w="834" w:type="dxa"/>
            <w:shd w:val="clear" w:color="000000" w:fill="C9DED4"/>
            <w:tcMar>
              <w:top w:w="15" w:type="dxa"/>
              <w:left w:w="15" w:type="dxa"/>
              <w:bottom w:w="0" w:type="dxa"/>
              <w:right w:w="15" w:type="dxa"/>
            </w:tcMar>
            <w:vAlign w:val="center"/>
            <w:hideMark/>
          </w:tcPr>
          <w:p w14:paraId="57DB4DF6" w14:textId="77777777" w:rsidR="00120717" w:rsidRPr="00FF263F" w:rsidRDefault="00120717" w:rsidP="00075C8B">
            <w:pPr>
              <w:ind w:right="57"/>
              <w:jc w:val="right"/>
              <w:rPr>
                <w:rFonts w:cs="Calibri"/>
                <w:sz w:val="16"/>
                <w:szCs w:val="16"/>
              </w:rPr>
            </w:pPr>
            <w:r w:rsidRPr="00FF263F">
              <w:rPr>
                <w:rFonts w:cs="Calibri"/>
                <w:sz w:val="16"/>
                <w:szCs w:val="16"/>
              </w:rPr>
              <w:t>249</w:t>
            </w:r>
          </w:p>
        </w:tc>
        <w:tc>
          <w:tcPr>
            <w:tcW w:w="833" w:type="dxa"/>
            <w:shd w:val="clear" w:color="000000" w:fill="C9DED4"/>
            <w:tcMar>
              <w:top w:w="15" w:type="dxa"/>
              <w:left w:w="15" w:type="dxa"/>
              <w:bottom w:w="0" w:type="dxa"/>
              <w:right w:w="15" w:type="dxa"/>
            </w:tcMar>
            <w:vAlign w:val="center"/>
            <w:hideMark/>
          </w:tcPr>
          <w:p w14:paraId="134AB095" w14:textId="77777777" w:rsidR="00120717" w:rsidRPr="00FF263F" w:rsidRDefault="00120717" w:rsidP="00075C8B">
            <w:pPr>
              <w:ind w:right="57"/>
              <w:jc w:val="right"/>
              <w:rPr>
                <w:rFonts w:cs="Calibri"/>
                <w:sz w:val="16"/>
                <w:szCs w:val="16"/>
              </w:rPr>
            </w:pPr>
            <w:r w:rsidRPr="00FF263F">
              <w:rPr>
                <w:rFonts w:cs="Calibri"/>
                <w:sz w:val="16"/>
                <w:szCs w:val="16"/>
              </w:rPr>
              <w:t>299</w:t>
            </w:r>
          </w:p>
        </w:tc>
        <w:tc>
          <w:tcPr>
            <w:tcW w:w="834" w:type="dxa"/>
            <w:shd w:val="clear" w:color="000000" w:fill="C9DED4"/>
            <w:tcMar>
              <w:top w:w="15" w:type="dxa"/>
              <w:left w:w="15" w:type="dxa"/>
              <w:bottom w:w="0" w:type="dxa"/>
              <w:right w:w="15" w:type="dxa"/>
            </w:tcMar>
            <w:vAlign w:val="center"/>
            <w:hideMark/>
          </w:tcPr>
          <w:p w14:paraId="33651248" w14:textId="77777777" w:rsidR="00120717" w:rsidRPr="00FF263F" w:rsidRDefault="00120717" w:rsidP="00075C8B">
            <w:pPr>
              <w:ind w:right="57"/>
              <w:jc w:val="right"/>
              <w:rPr>
                <w:rFonts w:cs="Calibri"/>
                <w:sz w:val="16"/>
                <w:szCs w:val="16"/>
              </w:rPr>
            </w:pPr>
            <w:r w:rsidRPr="00FF263F">
              <w:rPr>
                <w:rFonts w:cs="Calibri"/>
                <w:sz w:val="16"/>
                <w:szCs w:val="16"/>
              </w:rPr>
              <w:t>311</w:t>
            </w:r>
          </w:p>
        </w:tc>
        <w:tc>
          <w:tcPr>
            <w:tcW w:w="833" w:type="dxa"/>
            <w:shd w:val="clear" w:color="000000" w:fill="C9DED4"/>
            <w:tcMar>
              <w:top w:w="15" w:type="dxa"/>
              <w:left w:w="15" w:type="dxa"/>
              <w:bottom w:w="0" w:type="dxa"/>
              <w:right w:w="15" w:type="dxa"/>
            </w:tcMar>
            <w:vAlign w:val="center"/>
            <w:hideMark/>
          </w:tcPr>
          <w:p w14:paraId="477B18F1" w14:textId="77777777" w:rsidR="00120717" w:rsidRPr="00FF263F" w:rsidRDefault="00120717" w:rsidP="00075C8B">
            <w:pPr>
              <w:ind w:right="57"/>
              <w:jc w:val="right"/>
              <w:rPr>
                <w:rFonts w:cs="Calibri"/>
                <w:sz w:val="16"/>
                <w:szCs w:val="16"/>
              </w:rPr>
            </w:pPr>
            <w:r w:rsidRPr="00FF263F">
              <w:rPr>
                <w:rFonts w:cs="Calibri"/>
                <w:sz w:val="16"/>
                <w:szCs w:val="16"/>
              </w:rPr>
              <w:t>341</w:t>
            </w:r>
          </w:p>
        </w:tc>
        <w:tc>
          <w:tcPr>
            <w:tcW w:w="834" w:type="dxa"/>
            <w:shd w:val="clear" w:color="000000" w:fill="C9DED4"/>
            <w:tcMar>
              <w:top w:w="15" w:type="dxa"/>
              <w:left w:w="15" w:type="dxa"/>
              <w:bottom w:w="0" w:type="dxa"/>
              <w:right w:w="15" w:type="dxa"/>
            </w:tcMar>
            <w:vAlign w:val="center"/>
            <w:hideMark/>
          </w:tcPr>
          <w:p w14:paraId="5878A5A6" w14:textId="77777777" w:rsidR="00120717" w:rsidRPr="00FF263F" w:rsidRDefault="00120717" w:rsidP="00075C8B">
            <w:pPr>
              <w:ind w:right="57"/>
              <w:jc w:val="right"/>
              <w:rPr>
                <w:rFonts w:cs="Calibri"/>
                <w:sz w:val="16"/>
                <w:szCs w:val="16"/>
              </w:rPr>
            </w:pPr>
            <w:r w:rsidRPr="00FF263F">
              <w:rPr>
                <w:rFonts w:cs="Calibri"/>
                <w:sz w:val="16"/>
                <w:szCs w:val="16"/>
              </w:rPr>
              <w:t>277</w:t>
            </w:r>
          </w:p>
        </w:tc>
      </w:tr>
      <w:tr w:rsidR="00120717" w:rsidRPr="00B93EE1" w14:paraId="43D2D0D0" w14:textId="77777777" w:rsidTr="007A4ECB">
        <w:trPr>
          <w:trHeight w:val="288"/>
        </w:trPr>
        <w:tc>
          <w:tcPr>
            <w:tcW w:w="1464" w:type="dxa"/>
            <w:vMerge/>
            <w:vAlign w:val="center"/>
            <w:hideMark/>
          </w:tcPr>
          <w:p w14:paraId="35ED509B" w14:textId="77777777" w:rsidR="00120717" w:rsidRPr="00B93EE1" w:rsidRDefault="00120717" w:rsidP="00075C8B">
            <w:pPr>
              <w:rPr>
                <w:rFonts w:cs="Calibri"/>
                <w:b/>
                <w:bCs/>
                <w:color w:val="000000"/>
                <w:sz w:val="16"/>
                <w:szCs w:val="16"/>
              </w:rPr>
            </w:pPr>
          </w:p>
        </w:tc>
        <w:tc>
          <w:tcPr>
            <w:tcW w:w="1037" w:type="dxa"/>
            <w:shd w:val="clear" w:color="000000" w:fill="FFFFFF"/>
            <w:tcMar>
              <w:top w:w="15" w:type="dxa"/>
              <w:left w:w="15" w:type="dxa"/>
              <w:bottom w:w="0" w:type="dxa"/>
              <w:right w:w="15" w:type="dxa"/>
            </w:tcMar>
            <w:vAlign w:val="center"/>
            <w:hideMark/>
          </w:tcPr>
          <w:p w14:paraId="6C3A0E31" w14:textId="77777777" w:rsidR="00120717" w:rsidRPr="00FF263F" w:rsidRDefault="00120717" w:rsidP="00FF263F">
            <w:pPr>
              <w:ind w:left="57"/>
              <w:jc w:val="left"/>
              <w:rPr>
                <w:rFonts w:cs="Calibri"/>
                <w:sz w:val="16"/>
                <w:szCs w:val="16"/>
              </w:rPr>
            </w:pPr>
            <w:r w:rsidRPr="00FF263F">
              <w:rPr>
                <w:rFonts w:cs="Calibri"/>
                <w:sz w:val="16"/>
                <w:szCs w:val="16"/>
              </w:rPr>
              <w:t>Non-resident</w:t>
            </w:r>
          </w:p>
        </w:tc>
        <w:tc>
          <w:tcPr>
            <w:tcW w:w="833" w:type="dxa"/>
            <w:shd w:val="clear" w:color="auto" w:fill="auto"/>
            <w:tcMar>
              <w:top w:w="15" w:type="dxa"/>
              <w:left w:w="15" w:type="dxa"/>
              <w:bottom w:w="0" w:type="dxa"/>
              <w:right w:w="15" w:type="dxa"/>
            </w:tcMar>
            <w:vAlign w:val="center"/>
            <w:hideMark/>
          </w:tcPr>
          <w:p w14:paraId="0A3F5D5F" w14:textId="77777777" w:rsidR="00120717" w:rsidRPr="00FF263F" w:rsidRDefault="00120717" w:rsidP="00075C8B">
            <w:pPr>
              <w:ind w:right="57"/>
              <w:jc w:val="right"/>
              <w:rPr>
                <w:rFonts w:cs="Calibri"/>
                <w:sz w:val="16"/>
                <w:szCs w:val="16"/>
              </w:rPr>
            </w:pPr>
            <w:r w:rsidRPr="00FF263F">
              <w:rPr>
                <w:rFonts w:cs="Calibri"/>
                <w:sz w:val="16"/>
                <w:szCs w:val="16"/>
              </w:rPr>
              <w:t>885</w:t>
            </w:r>
          </w:p>
        </w:tc>
        <w:tc>
          <w:tcPr>
            <w:tcW w:w="834" w:type="dxa"/>
            <w:shd w:val="clear" w:color="auto" w:fill="auto"/>
            <w:tcMar>
              <w:top w:w="15" w:type="dxa"/>
              <w:left w:w="15" w:type="dxa"/>
              <w:bottom w:w="0" w:type="dxa"/>
              <w:right w:w="15" w:type="dxa"/>
            </w:tcMar>
            <w:vAlign w:val="center"/>
            <w:hideMark/>
          </w:tcPr>
          <w:p w14:paraId="3BEDCAD2" w14:textId="77777777" w:rsidR="00120717" w:rsidRPr="00FF263F" w:rsidRDefault="00120717" w:rsidP="00075C8B">
            <w:pPr>
              <w:ind w:right="57"/>
              <w:jc w:val="right"/>
              <w:rPr>
                <w:rFonts w:cs="Calibri"/>
                <w:sz w:val="16"/>
                <w:szCs w:val="16"/>
              </w:rPr>
            </w:pPr>
            <w:r w:rsidRPr="00FF263F">
              <w:rPr>
                <w:rFonts w:cs="Calibri"/>
                <w:sz w:val="16"/>
                <w:szCs w:val="16"/>
              </w:rPr>
              <w:t>984</w:t>
            </w:r>
          </w:p>
        </w:tc>
        <w:tc>
          <w:tcPr>
            <w:tcW w:w="833" w:type="dxa"/>
            <w:shd w:val="clear" w:color="auto" w:fill="auto"/>
            <w:tcMar>
              <w:top w:w="15" w:type="dxa"/>
              <w:left w:w="15" w:type="dxa"/>
              <w:bottom w:w="0" w:type="dxa"/>
              <w:right w:w="15" w:type="dxa"/>
            </w:tcMar>
            <w:vAlign w:val="center"/>
            <w:hideMark/>
          </w:tcPr>
          <w:p w14:paraId="2C8AB4CE" w14:textId="77777777" w:rsidR="00120717" w:rsidRPr="00FF263F" w:rsidRDefault="00120717" w:rsidP="00075C8B">
            <w:pPr>
              <w:ind w:right="57"/>
              <w:jc w:val="right"/>
              <w:rPr>
                <w:rFonts w:cs="Calibri"/>
                <w:sz w:val="16"/>
                <w:szCs w:val="16"/>
              </w:rPr>
            </w:pPr>
            <w:r w:rsidRPr="00FF263F">
              <w:rPr>
                <w:rFonts w:cs="Calibri"/>
                <w:sz w:val="16"/>
                <w:szCs w:val="16"/>
              </w:rPr>
              <w:t>1,000</w:t>
            </w:r>
          </w:p>
        </w:tc>
        <w:tc>
          <w:tcPr>
            <w:tcW w:w="834" w:type="dxa"/>
            <w:shd w:val="clear" w:color="auto" w:fill="auto"/>
            <w:tcMar>
              <w:top w:w="15" w:type="dxa"/>
              <w:left w:w="15" w:type="dxa"/>
              <w:bottom w:w="0" w:type="dxa"/>
              <w:right w:w="15" w:type="dxa"/>
            </w:tcMar>
            <w:vAlign w:val="center"/>
            <w:hideMark/>
          </w:tcPr>
          <w:p w14:paraId="6047067F" w14:textId="77777777" w:rsidR="00120717" w:rsidRPr="00FF263F" w:rsidRDefault="00120717" w:rsidP="00075C8B">
            <w:pPr>
              <w:ind w:right="57"/>
              <w:jc w:val="right"/>
              <w:rPr>
                <w:rFonts w:cs="Calibri"/>
                <w:sz w:val="16"/>
                <w:szCs w:val="16"/>
              </w:rPr>
            </w:pPr>
            <w:r w:rsidRPr="00FF263F">
              <w:rPr>
                <w:rFonts w:cs="Calibri"/>
                <w:sz w:val="16"/>
                <w:szCs w:val="16"/>
              </w:rPr>
              <w:t>948</w:t>
            </w:r>
          </w:p>
        </w:tc>
        <w:tc>
          <w:tcPr>
            <w:tcW w:w="833" w:type="dxa"/>
            <w:shd w:val="clear" w:color="auto" w:fill="auto"/>
            <w:tcMar>
              <w:top w:w="15" w:type="dxa"/>
              <w:left w:w="15" w:type="dxa"/>
              <w:bottom w:w="0" w:type="dxa"/>
              <w:right w:w="15" w:type="dxa"/>
            </w:tcMar>
            <w:vAlign w:val="center"/>
            <w:hideMark/>
          </w:tcPr>
          <w:p w14:paraId="1FD110CD" w14:textId="77777777" w:rsidR="00120717" w:rsidRPr="00FF263F" w:rsidRDefault="00120717" w:rsidP="00075C8B">
            <w:pPr>
              <w:ind w:right="57"/>
              <w:jc w:val="right"/>
              <w:rPr>
                <w:rFonts w:cs="Calibri"/>
                <w:sz w:val="16"/>
                <w:szCs w:val="16"/>
              </w:rPr>
            </w:pPr>
            <w:r w:rsidRPr="00FF263F">
              <w:rPr>
                <w:rFonts w:cs="Calibri"/>
                <w:sz w:val="16"/>
                <w:szCs w:val="16"/>
              </w:rPr>
              <w:t>1,118</w:t>
            </w:r>
          </w:p>
        </w:tc>
        <w:tc>
          <w:tcPr>
            <w:tcW w:w="834" w:type="dxa"/>
            <w:shd w:val="clear" w:color="auto" w:fill="auto"/>
            <w:tcMar>
              <w:top w:w="15" w:type="dxa"/>
              <w:left w:w="15" w:type="dxa"/>
              <w:bottom w:w="0" w:type="dxa"/>
              <w:right w:w="15" w:type="dxa"/>
            </w:tcMar>
            <w:vAlign w:val="center"/>
            <w:hideMark/>
          </w:tcPr>
          <w:p w14:paraId="327E5A12" w14:textId="77777777" w:rsidR="00120717" w:rsidRPr="00FF263F" w:rsidRDefault="00120717" w:rsidP="00075C8B">
            <w:pPr>
              <w:ind w:right="57"/>
              <w:jc w:val="right"/>
              <w:rPr>
                <w:rFonts w:cs="Calibri"/>
                <w:sz w:val="16"/>
                <w:szCs w:val="16"/>
              </w:rPr>
            </w:pPr>
            <w:r w:rsidRPr="00FF263F">
              <w:rPr>
                <w:rFonts w:cs="Calibri"/>
                <w:sz w:val="16"/>
                <w:szCs w:val="16"/>
              </w:rPr>
              <w:t>960</w:t>
            </w:r>
          </w:p>
        </w:tc>
        <w:tc>
          <w:tcPr>
            <w:tcW w:w="833" w:type="dxa"/>
            <w:shd w:val="clear" w:color="auto" w:fill="auto"/>
            <w:tcMar>
              <w:top w:w="15" w:type="dxa"/>
              <w:left w:w="15" w:type="dxa"/>
              <w:bottom w:w="0" w:type="dxa"/>
              <w:right w:w="15" w:type="dxa"/>
            </w:tcMar>
            <w:vAlign w:val="center"/>
            <w:hideMark/>
          </w:tcPr>
          <w:p w14:paraId="345236F6" w14:textId="77777777" w:rsidR="00120717" w:rsidRPr="00FF263F" w:rsidRDefault="00120717" w:rsidP="00075C8B">
            <w:pPr>
              <w:ind w:right="57"/>
              <w:jc w:val="right"/>
              <w:rPr>
                <w:rFonts w:cs="Calibri"/>
                <w:sz w:val="16"/>
                <w:szCs w:val="16"/>
              </w:rPr>
            </w:pPr>
            <w:r w:rsidRPr="00FF263F">
              <w:rPr>
                <w:rFonts w:cs="Calibri"/>
                <w:sz w:val="16"/>
                <w:szCs w:val="16"/>
              </w:rPr>
              <w:t>1,015</w:t>
            </w:r>
          </w:p>
        </w:tc>
        <w:tc>
          <w:tcPr>
            <w:tcW w:w="834" w:type="dxa"/>
            <w:shd w:val="clear" w:color="auto" w:fill="auto"/>
            <w:tcMar>
              <w:top w:w="15" w:type="dxa"/>
              <w:left w:w="15" w:type="dxa"/>
              <w:bottom w:w="0" w:type="dxa"/>
              <w:right w:w="15" w:type="dxa"/>
            </w:tcMar>
            <w:vAlign w:val="center"/>
            <w:hideMark/>
          </w:tcPr>
          <w:p w14:paraId="51134DB6" w14:textId="77777777" w:rsidR="00120717" w:rsidRPr="00FF263F" w:rsidRDefault="00120717" w:rsidP="00075C8B">
            <w:pPr>
              <w:ind w:right="57"/>
              <w:jc w:val="right"/>
              <w:rPr>
                <w:rFonts w:cs="Calibri"/>
                <w:sz w:val="16"/>
                <w:szCs w:val="16"/>
              </w:rPr>
            </w:pPr>
            <w:r w:rsidRPr="00FF263F">
              <w:rPr>
                <w:rFonts w:cs="Calibri"/>
                <w:sz w:val="16"/>
                <w:szCs w:val="16"/>
              </w:rPr>
              <w:t>777</w:t>
            </w:r>
          </w:p>
        </w:tc>
        <w:tc>
          <w:tcPr>
            <w:tcW w:w="833" w:type="dxa"/>
            <w:shd w:val="clear" w:color="auto" w:fill="auto"/>
            <w:tcMar>
              <w:top w:w="15" w:type="dxa"/>
              <w:left w:w="15" w:type="dxa"/>
              <w:bottom w:w="0" w:type="dxa"/>
              <w:right w:w="15" w:type="dxa"/>
            </w:tcMar>
            <w:vAlign w:val="center"/>
            <w:hideMark/>
          </w:tcPr>
          <w:p w14:paraId="6C9930DB" w14:textId="77777777" w:rsidR="00120717" w:rsidRPr="00FF263F" w:rsidRDefault="00120717" w:rsidP="00075C8B">
            <w:pPr>
              <w:ind w:right="57"/>
              <w:jc w:val="right"/>
              <w:rPr>
                <w:rFonts w:cs="Calibri"/>
                <w:sz w:val="16"/>
                <w:szCs w:val="16"/>
              </w:rPr>
            </w:pPr>
            <w:r w:rsidRPr="00FF263F">
              <w:rPr>
                <w:rFonts w:cs="Calibri"/>
                <w:sz w:val="16"/>
                <w:szCs w:val="16"/>
              </w:rPr>
              <w:t>1,024</w:t>
            </w:r>
          </w:p>
        </w:tc>
        <w:tc>
          <w:tcPr>
            <w:tcW w:w="834" w:type="dxa"/>
            <w:shd w:val="clear" w:color="auto" w:fill="auto"/>
            <w:tcMar>
              <w:top w:w="15" w:type="dxa"/>
              <w:left w:w="15" w:type="dxa"/>
              <w:bottom w:w="0" w:type="dxa"/>
              <w:right w:w="15" w:type="dxa"/>
            </w:tcMar>
            <w:vAlign w:val="center"/>
            <w:hideMark/>
          </w:tcPr>
          <w:p w14:paraId="4BF4376C" w14:textId="77777777" w:rsidR="00120717" w:rsidRPr="00FF263F" w:rsidRDefault="00120717" w:rsidP="00075C8B">
            <w:pPr>
              <w:ind w:right="57"/>
              <w:jc w:val="right"/>
              <w:rPr>
                <w:rFonts w:cs="Calibri"/>
                <w:sz w:val="16"/>
                <w:szCs w:val="16"/>
              </w:rPr>
            </w:pPr>
            <w:r w:rsidRPr="00FF263F">
              <w:rPr>
                <w:rFonts w:cs="Calibri"/>
                <w:sz w:val="16"/>
                <w:szCs w:val="16"/>
              </w:rPr>
              <w:t>932</w:t>
            </w:r>
          </w:p>
        </w:tc>
        <w:tc>
          <w:tcPr>
            <w:tcW w:w="833" w:type="dxa"/>
            <w:shd w:val="clear" w:color="auto" w:fill="auto"/>
            <w:tcMar>
              <w:top w:w="15" w:type="dxa"/>
              <w:left w:w="15" w:type="dxa"/>
              <w:bottom w:w="0" w:type="dxa"/>
              <w:right w:w="15" w:type="dxa"/>
            </w:tcMar>
            <w:vAlign w:val="center"/>
            <w:hideMark/>
          </w:tcPr>
          <w:p w14:paraId="72FEF96E" w14:textId="77777777" w:rsidR="00120717" w:rsidRPr="00FF263F" w:rsidRDefault="00120717" w:rsidP="00075C8B">
            <w:pPr>
              <w:ind w:right="57"/>
              <w:jc w:val="right"/>
              <w:rPr>
                <w:rFonts w:cs="Calibri"/>
                <w:sz w:val="16"/>
                <w:szCs w:val="16"/>
              </w:rPr>
            </w:pPr>
            <w:r w:rsidRPr="00FF263F">
              <w:rPr>
                <w:rFonts w:cs="Calibri"/>
                <w:sz w:val="16"/>
                <w:szCs w:val="16"/>
              </w:rPr>
              <w:t>968</w:t>
            </w:r>
          </w:p>
        </w:tc>
        <w:tc>
          <w:tcPr>
            <w:tcW w:w="834" w:type="dxa"/>
            <w:shd w:val="clear" w:color="auto" w:fill="auto"/>
            <w:tcMar>
              <w:top w:w="15" w:type="dxa"/>
              <w:left w:w="15" w:type="dxa"/>
              <w:bottom w:w="0" w:type="dxa"/>
              <w:right w:w="15" w:type="dxa"/>
            </w:tcMar>
            <w:vAlign w:val="center"/>
            <w:hideMark/>
          </w:tcPr>
          <w:p w14:paraId="3AB3F0F0" w14:textId="77777777" w:rsidR="00120717" w:rsidRPr="00FF263F" w:rsidRDefault="00120717" w:rsidP="00075C8B">
            <w:pPr>
              <w:ind w:right="57"/>
              <w:jc w:val="right"/>
              <w:rPr>
                <w:rFonts w:cs="Calibri"/>
                <w:sz w:val="16"/>
                <w:szCs w:val="16"/>
              </w:rPr>
            </w:pPr>
            <w:r w:rsidRPr="00FF263F">
              <w:rPr>
                <w:rFonts w:cs="Calibri"/>
                <w:sz w:val="16"/>
                <w:szCs w:val="16"/>
              </w:rPr>
              <w:t>1,015</w:t>
            </w:r>
          </w:p>
        </w:tc>
        <w:tc>
          <w:tcPr>
            <w:tcW w:w="833" w:type="dxa"/>
            <w:shd w:val="clear" w:color="auto" w:fill="auto"/>
            <w:tcMar>
              <w:top w:w="15" w:type="dxa"/>
              <w:left w:w="15" w:type="dxa"/>
              <w:bottom w:w="0" w:type="dxa"/>
              <w:right w:w="15" w:type="dxa"/>
            </w:tcMar>
            <w:vAlign w:val="center"/>
            <w:hideMark/>
          </w:tcPr>
          <w:p w14:paraId="242F0A52" w14:textId="77777777" w:rsidR="00120717" w:rsidRPr="00FF263F" w:rsidRDefault="00120717" w:rsidP="00075C8B">
            <w:pPr>
              <w:ind w:right="57"/>
              <w:jc w:val="right"/>
              <w:rPr>
                <w:rFonts w:cs="Calibri"/>
                <w:sz w:val="16"/>
                <w:szCs w:val="16"/>
              </w:rPr>
            </w:pPr>
            <w:r w:rsidRPr="00FF263F">
              <w:rPr>
                <w:rFonts w:cs="Calibri"/>
                <w:sz w:val="16"/>
                <w:szCs w:val="16"/>
              </w:rPr>
              <w:t>991</w:t>
            </w:r>
          </w:p>
        </w:tc>
        <w:tc>
          <w:tcPr>
            <w:tcW w:w="834" w:type="dxa"/>
            <w:shd w:val="clear" w:color="auto" w:fill="auto"/>
            <w:tcMar>
              <w:top w:w="15" w:type="dxa"/>
              <w:left w:w="15" w:type="dxa"/>
              <w:bottom w:w="0" w:type="dxa"/>
              <w:right w:w="15" w:type="dxa"/>
            </w:tcMar>
            <w:vAlign w:val="center"/>
            <w:hideMark/>
          </w:tcPr>
          <w:p w14:paraId="3BABAB2E" w14:textId="77777777" w:rsidR="00120717" w:rsidRPr="00FF263F" w:rsidRDefault="00120717" w:rsidP="00075C8B">
            <w:pPr>
              <w:ind w:right="57"/>
              <w:jc w:val="right"/>
              <w:rPr>
                <w:rFonts w:cs="Calibri"/>
                <w:sz w:val="16"/>
                <w:szCs w:val="16"/>
              </w:rPr>
            </w:pPr>
            <w:r w:rsidRPr="00FF263F">
              <w:rPr>
                <w:rFonts w:cs="Calibri"/>
                <w:sz w:val="16"/>
                <w:szCs w:val="16"/>
              </w:rPr>
              <w:t>1,076</w:t>
            </w:r>
          </w:p>
        </w:tc>
      </w:tr>
      <w:tr w:rsidR="007A4ECB" w:rsidRPr="00B93EE1" w14:paraId="69620D25" w14:textId="77777777" w:rsidTr="007A4ECB">
        <w:trPr>
          <w:trHeight w:val="288"/>
        </w:trPr>
        <w:tc>
          <w:tcPr>
            <w:tcW w:w="1464" w:type="dxa"/>
            <w:vMerge/>
            <w:vAlign w:val="center"/>
            <w:hideMark/>
          </w:tcPr>
          <w:p w14:paraId="09A191E2" w14:textId="77777777" w:rsidR="00120717" w:rsidRPr="00B93EE1" w:rsidRDefault="00120717" w:rsidP="00075C8B">
            <w:pPr>
              <w:rPr>
                <w:rFonts w:cs="Calibri"/>
                <w:b/>
                <w:bCs/>
                <w:color w:val="000000"/>
                <w:sz w:val="16"/>
                <w:szCs w:val="16"/>
              </w:rPr>
            </w:pPr>
          </w:p>
        </w:tc>
        <w:tc>
          <w:tcPr>
            <w:tcW w:w="1037" w:type="dxa"/>
            <w:shd w:val="clear" w:color="000000" w:fill="C9DED4"/>
            <w:tcMar>
              <w:top w:w="15" w:type="dxa"/>
              <w:left w:w="15" w:type="dxa"/>
              <w:bottom w:w="0" w:type="dxa"/>
              <w:right w:w="15" w:type="dxa"/>
            </w:tcMar>
            <w:vAlign w:val="center"/>
            <w:hideMark/>
          </w:tcPr>
          <w:p w14:paraId="1666482C" w14:textId="77777777" w:rsidR="00120717" w:rsidRPr="00FF263F" w:rsidRDefault="00120717" w:rsidP="00FF263F">
            <w:pPr>
              <w:ind w:left="57"/>
              <w:jc w:val="left"/>
              <w:rPr>
                <w:rFonts w:cs="Calibri"/>
                <w:sz w:val="16"/>
                <w:szCs w:val="16"/>
              </w:rPr>
            </w:pPr>
            <w:r w:rsidRPr="00FF263F">
              <w:rPr>
                <w:rFonts w:cs="Calibri"/>
                <w:sz w:val="16"/>
                <w:szCs w:val="16"/>
              </w:rPr>
              <w:t>Total</w:t>
            </w:r>
          </w:p>
        </w:tc>
        <w:tc>
          <w:tcPr>
            <w:tcW w:w="833" w:type="dxa"/>
            <w:shd w:val="clear" w:color="000000" w:fill="C9DED4"/>
            <w:tcMar>
              <w:top w:w="15" w:type="dxa"/>
              <w:left w:w="15" w:type="dxa"/>
              <w:bottom w:w="0" w:type="dxa"/>
              <w:right w:w="15" w:type="dxa"/>
            </w:tcMar>
            <w:vAlign w:val="center"/>
            <w:hideMark/>
          </w:tcPr>
          <w:p w14:paraId="6CEB74E2" w14:textId="77777777" w:rsidR="00120717" w:rsidRPr="00FF263F" w:rsidRDefault="00120717" w:rsidP="00075C8B">
            <w:pPr>
              <w:ind w:right="57"/>
              <w:jc w:val="right"/>
              <w:rPr>
                <w:rFonts w:cs="Calibri"/>
                <w:sz w:val="16"/>
                <w:szCs w:val="16"/>
              </w:rPr>
            </w:pPr>
            <w:r w:rsidRPr="00FF263F">
              <w:rPr>
                <w:rFonts w:cs="Calibri"/>
                <w:sz w:val="16"/>
                <w:szCs w:val="16"/>
              </w:rPr>
              <w:t>1,285</w:t>
            </w:r>
          </w:p>
        </w:tc>
        <w:tc>
          <w:tcPr>
            <w:tcW w:w="834" w:type="dxa"/>
            <w:shd w:val="clear" w:color="000000" w:fill="C9DED4"/>
            <w:tcMar>
              <w:top w:w="15" w:type="dxa"/>
              <w:left w:w="15" w:type="dxa"/>
              <w:bottom w:w="0" w:type="dxa"/>
              <w:right w:w="15" w:type="dxa"/>
            </w:tcMar>
            <w:vAlign w:val="center"/>
            <w:hideMark/>
          </w:tcPr>
          <w:p w14:paraId="1FEFE516" w14:textId="77777777" w:rsidR="00120717" w:rsidRPr="00FF263F" w:rsidRDefault="00120717" w:rsidP="00075C8B">
            <w:pPr>
              <w:ind w:right="57"/>
              <w:jc w:val="right"/>
              <w:rPr>
                <w:rFonts w:cs="Calibri"/>
                <w:sz w:val="16"/>
                <w:szCs w:val="16"/>
              </w:rPr>
            </w:pPr>
            <w:r w:rsidRPr="00FF263F">
              <w:rPr>
                <w:rFonts w:cs="Calibri"/>
                <w:sz w:val="16"/>
                <w:szCs w:val="16"/>
              </w:rPr>
              <w:t>1,329</w:t>
            </w:r>
          </w:p>
        </w:tc>
        <w:tc>
          <w:tcPr>
            <w:tcW w:w="833" w:type="dxa"/>
            <w:shd w:val="clear" w:color="000000" w:fill="C9DED4"/>
            <w:tcMar>
              <w:top w:w="15" w:type="dxa"/>
              <w:left w:w="15" w:type="dxa"/>
              <w:bottom w:w="0" w:type="dxa"/>
              <w:right w:w="15" w:type="dxa"/>
            </w:tcMar>
            <w:vAlign w:val="center"/>
            <w:hideMark/>
          </w:tcPr>
          <w:p w14:paraId="51342E85" w14:textId="77777777" w:rsidR="00120717" w:rsidRPr="00FF263F" w:rsidRDefault="00120717" w:rsidP="00075C8B">
            <w:pPr>
              <w:ind w:right="57"/>
              <w:jc w:val="right"/>
              <w:rPr>
                <w:rFonts w:cs="Calibri"/>
                <w:sz w:val="16"/>
                <w:szCs w:val="16"/>
              </w:rPr>
            </w:pPr>
            <w:r w:rsidRPr="00FF263F">
              <w:rPr>
                <w:rFonts w:cs="Calibri"/>
                <w:sz w:val="16"/>
                <w:szCs w:val="16"/>
              </w:rPr>
              <w:t>1,358</w:t>
            </w:r>
          </w:p>
        </w:tc>
        <w:tc>
          <w:tcPr>
            <w:tcW w:w="834" w:type="dxa"/>
            <w:shd w:val="clear" w:color="000000" w:fill="C9DED4"/>
            <w:tcMar>
              <w:top w:w="15" w:type="dxa"/>
              <w:left w:w="15" w:type="dxa"/>
              <w:bottom w:w="0" w:type="dxa"/>
              <w:right w:w="15" w:type="dxa"/>
            </w:tcMar>
            <w:vAlign w:val="center"/>
            <w:hideMark/>
          </w:tcPr>
          <w:p w14:paraId="59E980A0" w14:textId="77777777" w:rsidR="00120717" w:rsidRPr="00FF263F" w:rsidRDefault="00120717" w:rsidP="00075C8B">
            <w:pPr>
              <w:ind w:right="57"/>
              <w:jc w:val="right"/>
              <w:rPr>
                <w:rFonts w:cs="Calibri"/>
                <w:sz w:val="16"/>
                <w:szCs w:val="16"/>
              </w:rPr>
            </w:pPr>
            <w:r w:rsidRPr="00FF263F">
              <w:rPr>
                <w:rFonts w:cs="Calibri"/>
                <w:sz w:val="16"/>
                <w:szCs w:val="16"/>
              </w:rPr>
              <w:t>1,291</w:t>
            </w:r>
          </w:p>
        </w:tc>
        <w:tc>
          <w:tcPr>
            <w:tcW w:w="833" w:type="dxa"/>
            <w:shd w:val="clear" w:color="000000" w:fill="C9DED4"/>
            <w:tcMar>
              <w:top w:w="15" w:type="dxa"/>
              <w:left w:w="15" w:type="dxa"/>
              <w:bottom w:w="0" w:type="dxa"/>
              <w:right w:w="15" w:type="dxa"/>
            </w:tcMar>
            <w:vAlign w:val="center"/>
            <w:hideMark/>
          </w:tcPr>
          <w:p w14:paraId="6DF871EF" w14:textId="77777777" w:rsidR="00120717" w:rsidRPr="00FF263F" w:rsidRDefault="00120717" w:rsidP="00075C8B">
            <w:pPr>
              <w:ind w:right="57"/>
              <w:jc w:val="right"/>
              <w:rPr>
                <w:rFonts w:cs="Calibri"/>
                <w:sz w:val="16"/>
                <w:szCs w:val="16"/>
              </w:rPr>
            </w:pPr>
            <w:r w:rsidRPr="00FF263F">
              <w:rPr>
                <w:rFonts w:cs="Calibri"/>
                <w:sz w:val="16"/>
                <w:szCs w:val="16"/>
              </w:rPr>
              <w:t>1,581</w:t>
            </w:r>
          </w:p>
        </w:tc>
        <w:tc>
          <w:tcPr>
            <w:tcW w:w="834" w:type="dxa"/>
            <w:shd w:val="clear" w:color="000000" w:fill="C9DED4"/>
            <w:tcMar>
              <w:top w:w="15" w:type="dxa"/>
              <w:left w:w="15" w:type="dxa"/>
              <w:bottom w:w="0" w:type="dxa"/>
              <w:right w:w="15" w:type="dxa"/>
            </w:tcMar>
            <w:vAlign w:val="center"/>
            <w:hideMark/>
          </w:tcPr>
          <w:p w14:paraId="6F37C8AB" w14:textId="77777777" w:rsidR="00120717" w:rsidRPr="00FF263F" w:rsidRDefault="00120717" w:rsidP="00075C8B">
            <w:pPr>
              <w:ind w:right="57"/>
              <w:jc w:val="right"/>
              <w:rPr>
                <w:rFonts w:cs="Calibri"/>
                <w:sz w:val="16"/>
                <w:szCs w:val="16"/>
              </w:rPr>
            </w:pPr>
            <w:r w:rsidRPr="00FF263F">
              <w:rPr>
                <w:rFonts w:cs="Calibri"/>
                <w:sz w:val="16"/>
                <w:szCs w:val="16"/>
              </w:rPr>
              <w:t>1,281</w:t>
            </w:r>
          </w:p>
        </w:tc>
        <w:tc>
          <w:tcPr>
            <w:tcW w:w="833" w:type="dxa"/>
            <w:shd w:val="clear" w:color="000000" w:fill="C9DED4"/>
            <w:tcMar>
              <w:top w:w="15" w:type="dxa"/>
              <w:left w:w="15" w:type="dxa"/>
              <w:bottom w:w="0" w:type="dxa"/>
              <w:right w:w="15" w:type="dxa"/>
            </w:tcMar>
            <w:vAlign w:val="center"/>
            <w:hideMark/>
          </w:tcPr>
          <w:p w14:paraId="4A1A4939" w14:textId="77777777" w:rsidR="00120717" w:rsidRPr="00FF263F" w:rsidRDefault="00120717" w:rsidP="00075C8B">
            <w:pPr>
              <w:ind w:right="57"/>
              <w:jc w:val="right"/>
              <w:rPr>
                <w:rFonts w:cs="Calibri"/>
                <w:sz w:val="16"/>
                <w:szCs w:val="16"/>
              </w:rPr>
            </w:pPr>
            <w:r w:rsidRPr="00FF263F">
              <w:rPr>
                <w:rFonts w:cs="Calibri"/>
                <w:sz w:val="16"/>
                <w:szCs w:val="16"/>
              </w:rPr>
              <w:t>1,367</w:t>
            </w:r>
          </w:p>
        </w:tc>
        <w:tc>
          <w:tcPr>
            <w:tcW w:w="834" w:type="dxa"/>
            <w:shd w:val="clear" w:color="000000" w:fill="C9DED4"/>
            <w:tcMar>
              <w:top w:w="15" w:type="dxa"/>
              <w:left w:w="15" w:type="dxa"/>
              <w:bottom w:w="0" w:type="dxa"/>
              <w:right w:w="15" w:type="dxa"/>
            </w:tcMar>
            <w:vAlign w:val="center"/>
            <w:hideMark/>
          </w:tcPr>
          <w:p w14:paraId="6D77E858" w14:textId="77777777" w:rsidR="00120717" w:rsidRPr="00FF263F" w:rsidRDefault="00120717" w:rsidP="00075C8B">
            <w:pPr>
              <w:ind w:right="57"/>
              <w:jc w:val="right"/>
              <w:rPr>
                <w:rFonts w:cs="Calibri"/>
                <w:sz w:val="16"/>
                <w:szCs w:val="16"/>
              </w:rPr>
            </w:pPr>
            <w:r w:rsidRPr="00FF263F">
              <w:rPr>
                <w:rFonts w:cs="Calibri"/>
                <w:sz w:val="16"/>
                <w:szCs w:val="16"/>
              </w:rPr>
              <w:t>1,063</w:t>
            </w:r>
          </w:p>
        </w:tc>
        <w:tc>
          <w:tcPr>
            <w:tcW w:w="833" w:type="dxa"/>
            <w:shd w:val="clear" w:color="000000" w:fill="C9DED4"/>
            <w:tcMar>
              <w:top w:w="15" w:type="dxa"/>
              <w:left w:w="15" w:type="dxa"/>
              <w:bottom w:w="0" w:type="dxa"/>
              <w:right w:w="15" w:type="dxa"/>
            </w:tcMar>
            <w:vAlign w:val="center"/>
            <w:hideMark/>
          </w:tcPr>
          <w:p w14:paraId="2C19739A" w14:textId="77777777" w:rsidR="00120717" w:rsidRPr="00FF263F" w:rsidRDefault="00120717" w:rsidP="00075C8B">
            <w:pPr>
              <w:ind w:right="57"/>
              <w:jc w:val="right"/>
              <w:rPr>
                <w:rFonts w:cs="Calibri"/>
                <w:sz w:val="16"/>
                <w:szCs w:val="16"/>
              </w:rPr>
            </w:pPr>
            <w:r w:rsidRPr="00FF263F">
              <w:rPr>
                <w:rFonts w:cs="Calibri"/>
                <w:sz w:val="16"/>
                <w:szCs w:val="16"/>
              </w:rPr>
              <w:t>1,317</w:t>
            </w:r>
          </w:p>
        </w:tc>
        <w:tc>
          <w:tcPr>
            <w:tcW w:w="834" w:type="dxa"/>
            <w:shd w:val="clear" w:color="000000" w:fill="C9DED4"/>
            <w:tcMar>
              <w:top w:w="15" w:type="dxa"/>
              <w:left w:w="15" w:type="dxa"/>
              <w:bottom w:w="0" w:type="dxa"/>
              <w:right w:w="15" w:type="dxa"/>
            </w:tcMar>
            <w:vAlign w:val="center"/>
            <w:hideMark/>
          </w:tcPr>
          <w:p w14:paraId="6774A9B1" w14:textId="77777777" w:rsidR="00120717" w:rsidRPr="00FF263F" w:rsidRDefault="00120717" w:rsidP="00075C8B">
            <w:pPr>
              <w:ind w:right="57"/>
              <w:jc w:val="right"/>
              <w:rPr>
                <w:rFonts w:cs="Calibri"/>
                <w:sz w:val="16"/>
                <w:szCs w:val="16"/>
              </w:rPr>
            </w:pPr>
            <w:r w:rsidRPr="00FF263F">
              <w:rPr>
                <w:rFonts w:cs="Calibri"/>
                <w:sz w:val="16"/>
                <w:szCs w:val="16"/>
              </w:rPr>
              <w:t>1,181</w:t>
            </w:r>
          </w:p>
        </w:tc>
        <w:tc>
          <w:tcPr>
            <w:tcW w:w="833" w:type="dxa"/>
            <w:shd w:val="clear" w:color="000000" w:fill="C9DED4"/>
            <w:tcMar>
              <w:top w:w="15" w:type="dxa"/>
              <w:left w:w="15" w:type="dxa"/>
              <w:bottom w:w="0" w:type="dxa"/>
              <w:right w:w="15" w:type="dxa"/>
            </w:tcMar>
            <w:vAlign w:val="center"/>
            <w:hideMark/>
          </w:tcPr>
          <w:p w14:paraId="019EE7D6" w14:textId="77777777" w:rsidR="00120717" w:rsidRPr="00FF263F" w:rsidRDefault="00120717" w:rsidP="00075C8B">
            <w:pPr>
              <w:ind w:right="57"/>
              <w:jc w:val="right"/>
              <w:rPr>
                <w:rFonts w:cs="Calibri"/>
                <w:sz w:val="16"/>
                <w:szCs w:val="16"/>
              </w:rPr>
            </w:pPr>
            <w:r w:rsidRPr="00FF263F">
              <w:rPr>
                <w:rFonts w:cs="Calibri"/>
                <w:sz w:val="16"/>
                <w:szCs w:val="16"/>
              </w:rPr>
              <w:t>1,267</w:t>
            </w:r>
          </w:p>
        </w:tc>
        <w:tc>
          <w:tcPr>
            <w:tcW w:w="834" w:type="dxa"/>
            <w:shd w:val="clear" w:color="000000" w:fill="C9DED4"/>
            <w:tcMar>
              <w:top w:w="15" w:type="dxa"/>
              <w:left w:w="15" w:type="dxa"/>
              <w:bottom w:w="0" w:type="dxa"/>
              <w:right w:w="15" w:type="dxa"/>
            </w:tcMar>
            <w:vAlign w:val="center"/>
            <w:hideMark/>
          </w:tcPr>
          <w:p w14:paraId="4830ABDF" w14:textId="77777777" w:rsidR="00120717" w:rsidRPr="00FF263F" w:rsidRDefault="00120717" w:rsidP="00075C8B">
            <w:pPr>
              <w:ind w:right="57"/>
              <w:jc w:val="right"/>
              <w:rPr>
                <w:rFonts w:cs="Calibri"/>
                <w:sz w:val="16"/>
                <w:szCs w:val="16"/>
              </w:rPr>
            </w:pPr>
            <w:r w:rsidRPr="00FF263F">
              <w:rPr>
                <w:rFonts w:cs="Calibri"/>
                <w:sz w:val="16"/>
                <w:szCs w:val="16"/>
              </w:rPr>
              <w:t>1,326</w:t>
            </w:r>
          </w:p>
        </w:tc>
        <w:tc>
          <w:tcPr>
            <w:tcW w:w="833" w:type="dxa"/>
            <w:shd w:val="clear" w:color="000000" w:fill="C9DED4"/>
            <w:tcMar>
              <w:top w:w="15" w:type="dxa"/>
              <w:left w:w="15" w:type="dxa"/>
              <w:bottom w:w="0" w:type="dxa"/>
              <w:right w:w="15" w:type="dxa"/>
            </w:tcMar>
            <w:vAlign w:val="center"/>
            <w:hideMark/>
          </w:tcPr>
          <w:p w14:paraId="0E3E6D85" w14:textId="77777777" w:rsidR="00120717" w:rsidRPr="00FF263F" w:rsidRDefault="00120717" w:rsidP="00075C8B">
            <w:pPr>
              <w:ind w:right="57"/>
              <w:jc w:val="right"/>
              <w:rPr>
                <w:rFonts w:cs="Calibri"/>
                <w:sz w:val="16"/>
                <w:szCs w:val="16"/>
              </w:rPr>
            </w:pPr>
            <w:r w:rsidRPr="00FF263F">
              <w:rPr>
                <w:rFonts w:cs="Calibri"/>
                <w:sz w:val="16"/>
                <w:szCs w:val="16"/>
              </w:rPr>
              <w:t>1,332</w:t>
            </w:r>
          </w:p>
        </w:tc>
        <w:tc>
          <w:tcPr>
            <w:tcW w:w="834" w:type="dxa"/>
            <w:shd w:val="clear" w:color="000000" w:fill="C9DED4"/>
            <w:tcMar>
              <w:top w:w="15" w:type="dxa"/>
              <w:left w:w="15" w:type="dxa"/>
              <w:bottom w:w="0" w:type="dxa"/>
              <w:right w:w="15" w:type="dxa"/>
            </w:tcMar>
            <w:vAlign w:val="center"/>
            <w:hideMark/>
          </w:tcPr>
          <w:p w14:paraId="0BFC4EA7" w14:textId="77777777" w:rsidR="00120717" w:rsidRPr="00FF263F" w:rsidRDefault="00120717" w:rsidP="00075C8B">
            <w:pPr>
              <w:ind w:right="57"/>
              <w:jc w:val="right"/>
              <w:rPr>
                <w:rFonts w:cs="Calibri"/>
                <w:sz w:val="16"/>
                <w:szCs w:val="16"/>
              </w:rPr>
            </w:pPr>
            <w:r w:rsidRPr="00FF263F">
              <w:rPr>
                <w:rFonts w:cs="Calibri"/>
                <w:sz w:val="16"/>
                <w:szCs w:val="16"/>
              </w:rPr>
              <w:t>1,353</w:t>
            </w:r>
          </w:p>
        </w:tc>
      </w:tr>
      <w:tr w:rsidR="00120717" w:rsidRPr="00B93EE1" w14:paraId="5DBD3BD7" w14:textId="77777777" w:rsidTr="007A4ECB">
        <w:trPr>
          <w:trHeight w:val="288"/>
        </w:trPr>
        <w:tc>
          <w:tcPr>
            <w:tcW w:w="1464" w:type="dxa"/>
            <w:vMerge/>
            <w:vAlign w:val="center"/>
            <w:hideMark/>
          </w:tcPr>
          <w:p w14:paraId="719F3249" w14:textId="77777777" w:rsidR="00120717" w:rsidRPr="00B93EE1" w:rsidRDefault="00120717" w:rsidP="00075C8B">
            <w:pPr>
              <w:rPr>
                <w:rFonts w:cs="Calibri"/>
                <w:b/>
                <w:bCs/>
                <w:color w:val="000000"/>
                <w:sz w:val="16"/>
                <w:szCs w:val="16"/>
              </w:rPr>
            </w:pPr>
          </w:p>
        </w:tc>
        <w:tc>
          <w:tcPr>
            <w:tcW w:w="1037" w:type="dxa"/>
            <w:shd w:val="clear" w:color="auto" w:fill="auto"/>
            <w:tcMar>
              <w:top w:w="15" w:type="dxa"/>
              <w:left w:w="15" w:type="dxa"/>
              <w:bottom w:w="0" w:type="dxa"/>
              <w:right w:w="15" w:type="dxa"/>
            </w:tcMar>
            <w:vAlign w:val="center"/>
            <w:hideMark/>
          </w:tcPr>
          <w:p w14:paraId="0358FF4D" w14:textId="77777777" w:rsidR="00120717" w:rsidRPr="00FF263F" w:rsidRDefault="00120717" w:rsidP="00FF263F">
            <w:pPr>
              <w:ind w:left="57"/>
              <w:jc w:val="left"/>
              <w:rPr>
                <w:rFonts w:cs="Calibri"/>
                <w:sz w:val="16"/>
                <w:szCs w:val="16"/>
              </w:rPr>
            </w:pPr>
            <w:r w:rsidRPr="00FF263F">
              <w:rPr>
                <w:rFonts w:cs="Calibri"/>
                <w:sz w:val="16"/>
                <w:szCs w:val="16"/>
              </w:rPr>
              <w:t>% Non-resident</w:t>
            </w:r>
          </w:p>
        </w:tc>
        <w:tc>
          <w:tcPr>
            <w:tcW w:w="833" w:type="dxa"/>
            <w:shd w:val="clear" w:color="auto" w:fill="auto"/>
            <w:tcMar>
              <w:top w:w="15" w:type="dxa"/>
              <w:left w:w="15" w:type="dxa"/>
              <w:bottom w:w="0" w:type="dxa"/>
              <w:right w:w="15" w:type="dxa"/>
            </w:tcMar>
            <w:vAlign w:val="center"/>
            <w:hideMark/>
          </w:tcPr>
          <w:p w14:paraId="0846EC4A" w14:textId="77777777" w:rsidR="00120717" w:rsidRPr="00FF263F" w:rsidRDefault="00120717" w:rsidP="00075C8B">
            <w:pPr>
              <w:ind w:right="57"/>
              <w:jc w:val="right"/>
              <w:rPr>
                <w:rFonts w:cs="Calibri"/>
                <w:sz w:val="16"/>
                <w:szCs w:val="16"/>
              </w:rPr>
            </w:pPr>
            <w:r w:rsidRPr="00FF263F">
              <w:rPr>
                <w:rFonts w:cs="Calibri"/>
                <w:sz w:val="16"/>
                <w:szCs w:val="16"/>
              </w:rPr>
              <w:t>69%</w:t>
            </w:r>
          </w:p>
        </w:tc>
        <w:tc>
          <w:tcPr>
            <w:tcW w:w="834" w:type="dxa"/>
            <w:shd w:val="clear" w:color="auto" w:fill="auto"/>
            <w:tcMar>
              <w:top w:w="15" w:type="dxa"/>
              <w:left w:w="15" w:type="dxa"/>
              <w:bottom w:w="0" w:type="dxa"/>
              <w:right w:w="15" w:type="dxa"/>
            </w:tcMar>
            <w:vAlign w:val="center"/>
            <w:hideMark/>
          </w:tcPr>
          <w:p w14:paraId="23E39905" w14:textId="77777777" w:rsidR="00120717" w:rsidRPr="00FF263F" w:rsidRDefault="00120717" w:rsidP="00075C8B">
            <w:pPr>
              <w:ind w:right="57"/>
              <w:jc w:val="right"/>
              <w:rPr>
                <w:rFonts w:cs="Calibri"/>
                <w:sz w:val="16"/>
                <w:szCs w:val="16"/>
              </w:rPr>
            </w:pPr>
            <w:r w:rsidRPr="00FF263F">
              <w:rPr>
                <w:rFonts w:cs="Calibri"/>
                <w:sz w:val="16"/>
                <w:szCs w:val="16"/>
              </w:rPr>
              <w:t>74%</w:t>
            </w:r>
          </w:p>
        </w:tc>
        <w:tc>
          <w:tcPr>
            <w:tcW w:w="833" w:type="dxa"/>
            <w:shd w:val="clear" w:color="auto" w:fill="auto"/>
            <w:tcMar>
              <w:top w:w="15" w:type="dxa"/>
              <w:left w:w="15" w:type="dxa"/>
              <w:bottom w:w="0" w:type="dxa"/>
              <w:right w:w="15" w:type="dxa"/>
            </w:tcMar>
            <w:vAlign w:val="center"/>
            <w:hideMark/>
          </w:tcPr>
          <w:p w14:paraId="6D7208E4" w14:textId="77777777" w:rsidR="00120717" w:rsidRPr="00FF263F" w:rsidRDefault="00120717" w:rsidP="00075C8B">
            <w:pPr>
              <w:ind w:right="57"/>
              <w:jc w:val="right"/>
              <w:rPr>
                <w:rFonts w:cs="Calibri"/>
                <w:sz w:val="16"/>
                <w:szCs w:val="16"/>
              </w:rPr>
            </w:pPr>
            <w:r w:rsidRPr="00FF263F">
              <w:rPr>
                <w:rFonts w:cs="Calibri"/>
                <w:sz w:val="16"/>
                <w:szCs w:val="16"/>
              </w:rPr>
              <w:t>74%</w:t>
            </w:r>
          </w:p>
        </w:tc>
        <w:tc>
          <w:tcPr>
            <w:tcW w:w="834" w:type="dxa"/>
            <w:shd w:val="clear" w:color="auto" w:fill="auto"/>
            <w:tcMar>
              <w:top w:w="15" w:type="dxa"/>
              <w:left w:w="15" w:type="dxa"/>
              <w:bottom w:w="0" w:type="dxa"/>
              <w:right w:w="15" w:type="dxa"/>
            </w:tcMar>
            <w:vAlign w:val="center"/>
            <w:hideMark/>
          </w:tcPr>
          <w:p w14:paraId="4ACBF5E2" w14:textId="77777777" w:rsidR="00120717" w:rsidRPr="00FF263F" w:rsidRDefault="00120717" w:rsidP="00075C8B">
            <w:pPr>
              <w:ind w:right="57"/>
              <w:jc w:val="right"/>
              <w:rPr>
                <w:rFonts w:cs="Calibri"/>
                <w:sz w:val="16"/>
                <w:szCs w:val="16"/>
              </w:rPr>
            </w:pPr>
            <w:r w:rsidRPr="00FF263F">
              <w:rPr>
                <w:rFonts w:cs="Calibri"/>
                <w:sz w:val="16"/>
                <w:szCs w:val="16"/>
              </w:rPr>
              <w:t>73%</w:t>
            </w:r>
          </w:p>
        </w:tc>
        <w:tc>
          <w:tcPr>
            <w:tcW w:w="833" w:type="dxa"/>
            <w:shd w:val="clear" w:color="auto" w:fill="auto"/>
            <w:tcMar>
              <w:top w:w="15" w:type="dxa"/>
              <w:left w:w="15" w:type="dxa"/>
              <w:bottom w:w="0" w:type="dxa"/>
              <w:right w:w="15" w:type="dxa"/>
            </w:tcMar>
            <w:vAlign w:val="center"/>
            <w:hideMark/>
          </w:tcPr>
          <w:p w14:paraId="0DA4BE0A" w14:textId="77777777" w:rsidR="00120717" w:rsidRPr="00FF263F" w:rsidRDefault="00120717" w:rsidP="00075C8B">
            <w:pPr>
              <w:ind w:right="57"/>
              <w:jc w:val="right"/>
              <w:rPr>
                <w:rFonts w:cs="Calibri"/>
                <w:sz w:val="16"/>
                <w:szCs w:val="16"/>
              </w:rPr>
            </w:pPr>
            <w:r w:rsidRPr="00FF263F">
              <w:rPr>
                <w:rFonts w:cs="Calibri"/>
                <w:sz w:val="16"/>
                <w:szCs w:val="16"/>
              </w:rPr>
              <w:t>71%</w:t>
            </w:r>
          </w:p>
        </w:tc>
        <w:tc>
          <w:tcPr>
            <w:tcW w:w="834" w:type="dxa"/>
            <w:shd w:val="clear" w:color="auto" w:fill="auto"/>
            <w:tcMar>
              <w:top w:w="15" w:type="dxa"/>
              <w:left w:w="15" w:type="dxa"/>
              <w:bottom w:w="0" w:type="dxa"/>
              <w:right w:w="15" w:type="dxa"/>
            </w:tcMar>
            <w:vAlign w:val="center"/>
            <w:hideMark/>
          </w:tcPr>
          <w:p w14:paraId="041B3E6F" w14:textId="77777777" w:rsidR="00120717" w:rsidRPr="00FF263F" w:rsidRDefault="00120717" w:rsidP="00075C8B">
            <w:pPr>
              <w:ind w:right="57"/>
              <w:jc w:val="right"/>
              <w:rPr>
                <w:rFonts w:cs="Calibri"/>
                <w:sz w:val="16"/>
                <w:szCs w:val="16"/>
              </w:rPr>
            </w:pPr>
            <w:r w:rsidRPr="00FF263F">
              <w:rPr>
                <w:rFonts w:cs="Calibri"/>
                <w:sz w:val="16"/>
                <w:szCs w:val="16"/>
              </w:rPr>
              <w:t>75%</w:t>
            </w:r>
          </w:p>
        </w:tc>
        <w:tc>
          <w:tcPr>
            <w:tcW w:w="833" w:type="dxa"/>
            <w:shd w:val="clear" w:color="auto" w:fill="auto"/>
            <w:tcMar>
              <w:top w:w="15" w:type="dxa"/>
              <w:left w:w="15" w:type="dxa"/>
              <w:bottom w:w="0" w:type="dxa"/>
              <w:right w:w="15" w:type="dxa"/>
            </w:tcMar>
            <w:vAlign w:val="center"/>
            <w:hideMark/>
          </w:tcPr>
          <w:p w14:paraId="2436CFAA" w14:textId="77777777" w:rsidR="00120717" w:rsidRPr="00FF263F" w:rsidRDefault="00120717" w:rsidP="00075C8B">
            <w:pPr>
              <w:ind w:right="57"/>
              <w:jc w:val="right"/>
              <w:rPr>
                <w:rFonts w:cs="Calibri"/>
                <w:sz w:val="16"/>
                <w:szCs w:val="16"/>
              </w:rPr>
            </w:pPr>
            <w:r w:rsidRPr="00FF263F">
              <w:rPr>
                <w:rFonts w:cs="Calibri"/>
                <w:sz w:val="16"/>
                <w:szCs w:val="16"/>
              </w:rPr>
              <w:t>74%</w:t>
            </w:r>
          </w:p>
        </w:tc>
        <w:tc>
          <w:tcPr>
            <w:tcW w:w="834" w:type="dxa"/>
            <w:shd w:val="clear" w:color="auto" w:fill="auto"/>
            <w:tcMar>
              <w:top w:w="15" w:type="dxa"/>
              <w:left w:w="15" w:type="dxa"/>
              <w:bottom w:w="0" w:type="dxa"/>
              <w:right w:w="15" w:type="dxa"/>
            </w:tcMar>
            <w:vAlign w:val="center"/>
            <w:hideMark/>
          </w:tcPr>
          <w:p w14:paraId="65C96E18" w14:textId="77777777" w:rsidR="00120717" w:rsidRPr="00FF263F" w:rsidRDefault="00120717" w:rsidP="00075C8B">
            <w:pPr>
              <w:ind w:right="57"/>
              <w:jc w:val="right"/>
              <w:rPr>
                <w:rFonts w:cs="Calibri"/>
                <w:sz w:val="16"/>
                <w:szCs w:val="16"/>
              </w:rPr>
            </w:pPr>
            <w:r w:rsidRPr="00FF263F">
              <w:rPr>
                <w:rFonts w:cs="Calibri"/>
                <w:sz w:val="16"/>
                <w:szCs w:val="16"/>
              </w:rPr>
              <w:t>73%</w:t>
            </w:r>
          </w:p>
        </w:tc>
        <w:tc>
          <w:tcPr>
            <w:tcW w:w="833" w:type="dxa"/>
            <w:shd w:val="clear" w:color="auto" w:fill="auto"/>
            <w:tcMar>
              <w:top w:w="15" w:type="dxa"/>
              <w:left w:w="15" w:type="dxa"/>
              <w:bottom w:w="0" w:type="dxa"/>
              <w:right w:w="15" w:type="dxa"/>
            </w:tcMar>
            <w:vAlign w:val="center"/>
            <w:hideMark/>
          </w:tcPr>
          <w:p w14:paraId="7B91778A" w14:textId="77777777" w:rsidR="00120717" w:rsidRPr="00FF263F" w:rsidRDefault="00120717" w:rsidP="00075C8B">
            <w:pPr>
              <w:ind w:right="57"/>
              <w:jc w:val="right"/>
              <w:rPr>
                <w:rFonts w:cs="Calibri"/>
                <w:sz w:val="16"/>
                <w:szCs w:val="16"/>
              </w:rPr>
            </w:pPr>
            <w:r w:rsidRPr="00FF263F">
              <w:rPr>
                <w:rFonts w:cs="Calibri"/>
                <w:sz w:val="16"/>
                <w:szCs w:val="16"/>
              </w:rPr>
              <w:t>78%</w:t>
            </w:r>
          </w:p>
        </w:tc>
        <w:tc>
          <w:tcPr>
            <w:tcW w:w="834" w:type="dxa"/>
            <w:shd w:val="clear" w:color="auto" w:fill="auto"/>
            <w:tcMar>
              <w:top w:w="15" w:type="dxa"/>
              <w:left w:w="15" w:type="dxa"/>
              <w:bottom w:w="0" w:type="dxa"/>
              <w:right w:w="15" w:type="dxa"/>
            </w:tcMar>
            <w:vAlign w:val="center"/>
            <w:hideMark/>
          </w:tcPr>
          <w:p w14:paraId="16A3EDC2" w14:textId="77777777" w:rsidR="00120717" w:rsidRPr="00FF263F" w:rsidRDefault="00120717" w:rsidP="00075C8B">
            <w:pPr>
              <w:ind w:right="57"/>
              <w:jc w:val="right"/>
              <w:rPr>
                <w:rFonts w:cs="Calibri"/>
                <w:sz w:val="16"/>
                <w:szCs w:val="16"/>
              </w:rPr>
            </w:pPr>
            <w:r w:rsidRPr="00FF263F">
              <w:rPr>
                <w:rFonts w:cs="Calibri"/>
                <w:sz w:val="16"/>
                <w:szCs w:val="16"/>
              </w:rPr>
              <w:t>79%</w:t>
            </w:r>
          </w:p>
        </w:tc>
        <w:tc>
          <w:tcPr>
            <w:tcW w:w="833" w:type="dxa"/>
            <w:shd w:val="clear" w:color="auto" w:fill="auto"/>
            <w:tcMar>
              <w:top w:w="15" w:type="dxa"/>
              <w:left w:w="15" w:type="dxa"/>
              <w:bottom w:w="0" w:type="dxa"/>
              <w:right w:w="15" w:type="dxa"/>
            </w:tcMar>
            <w:vAlign w:val="center"/>
            <w:hideMark/>
          </w:tcPr>
          <w:p w14:paraId="29E4F26F" w14:textId="77777777" w:rsidR="00120717" w:rsidRPr="00FF263F" w:rsidRDefault="00120717" w:rsidP="00075C8B">
            <w:pPr>
              <w:ind w:right="57"/>
              <w:jc w:val="right"/>
              <w:rPr>
                <w:rFonts w:cs="Calibri"/>
                <w:sz w:val="16"/>
                <w:szCs w:val="16"/>
              </w:rPr>
            </w:pPr>
            <w:r w:rsidRPr="00FF263F">
              <w:rPr>
                <w:rFonts w:cs="Calibri"/>
                <w:sz w:val="16"/>
                <w:szCs w:val="16"/>
              </w:rPr>
              <w:t>76%</w:t>
            </w:r>
          </w:p>
        </w:tc>
        <w:tc>
          <w:tcPr>
            <w:tcW w:w="834" w:type="dxa"/>
            <w:shd w:val="clear" w:color="auto" w:fill="auto"/>
            <w:tcMar>
              <w:top w:w="15" w:type="dxa"/>
              <w:left w:w="15" w:type="dxa"/>
              <w:bottom w:w="0" w:type="dxa"/>
              <w:right w:w="15" w:type="dxa"/>
            </w:tcMar>
            <w:vAlign w:val="center"/>
            <w:hideMark/>
          </w:tcPr>
          <w:p w14:paraId="4F3566B0" w14:textId="77777777" w:rsidR="00120717" w:rsidRPr="00FF263F" w:rsidRDefault="00120717" w:rsidP="00075C8B">
            <w:pPr>
              <w:ind w:right="57"/>
              <w:jc w:val="right"/>
              <w:rPr>
                <w:rFonts w:cs="Calibri"/>
                <w:sz w:val="16"/>
                <w:szCs w:val="16"/>
              </w:rPr>
            </w:pPr>
            <w:r w:rsidRPr="00FF263F">
              <w:rPr>
                <w:rFonts w:cs="Calibri"/>
                <w:sz w:val="16"/>
                <w:szCs w:val="16"/>
              </w:rPr>
              <w:t>77%</w:t>
            </w:r>
          </w:p>
        </w:tc>
        <w:tc>
          <w:tcPr>
            <w:tcW w:w="833" w:type="dxa"/>
            <w:shd w:val="clear" w:color="auto" w:fill="auto"/>
            <w:tcMar>
              <w:top w:w="15" w:type="dxa"/>
              <w:left w:w="15" w:type="dxa"/>
              <w:bottom w:w="0" w:type="dxa"/>
              <w:right w:w="15" w:type="dxa"/>
            </w:tcMar>
            <w:vAlign w:val="center"/>
            <w:hideMark/>
          </w:tcPr>
          <w:p w14:paraId="4EB14A06" w14:textId="77777777" w:rsidR="00120717" w:rsidRPr="00FF263F" w:rsidRDefault="00120717" w:rsidP="00075C8B">
            <w:pPr>
              <w:ind w:right="57"/>
              <w:jc w:val="right"/>
              <w:rPr>
                <w:rFonts w:cs="Calibri"/>
                <w:sz w:val="16"/>
                <w:szCs w:val="16"/>
              </w:rPr>
            </w:pPr>
            <w:r w:rsidRPr="00FF263F">
              <w:rPr>
                <w:rFonts w:cs="Calibri"/>
                <w:sz w:val="16"/>
                <w:szCs w:val="16"/>
              </w:rPr>
              <w:t>74%</w:t>
            </w:r>
          </w:p>
        </w:tc>
        <w:tc>
          <w:tcPr>
            <w:tcW w:w="834" w:type="dxa"/>
            <w:shd w:val="clear" w:color="auto" w:fill="auto"/>
            <w:tcMar>
              <w:top w:w="15" w:type="dxa"/>
              <w:left w:w="15" w:type="dxa"/>
              <w:bottom w:w="0" w:type="dxa"/>
              <w:right w:w="15" w:type="dxa"/>
            </w:tcMar>
            <w:vAlign w:val="center"/>
            <w:hideMark/>
          </w:tcPr>
          <w:p w14:paraId="0271AB17" w14:textId="77777777" w:rsidR="00120717" w:rsidRPr="00FF263F" w:rsidRDefault="00120717" w:rsidP="00075C8B">
            <w:pPr>
              <w:ind w:right="57"/>
              <w:jc w:val="right"/>
              <w:rPr>
                <w:rFonts w:cs="Calibri"/>
                <w:sz w:val="16"/>
                <w:szCs w:val="16"/>
              </w:rPr>
            </w:pPr>
            <w:r w:rsidRPr="00FF263F">
              <w:rPr>
                <w:rFonts w:cs="Calibri"/>
                <w:sz w:val="16"/>
                <w:szCs w:val="16"/>
              </w:rPr>
              <w:t>80%</w:t>
            </w:r>
          </w:p>
        </w:tc>
      </w:tr>
      <w:tr w:rsidR="007A4ECB" w:rsidRPr="00B93EE1" w14:paraId="1CFFECD5" w14:textId="77777777" w:rsidTr="007A4ECB">
        <w:trPr>
          <w:trHeight w:val="300"/>
        </w:trPr>
        <w:tc>
          <w:tcPr>
            <w:tcW w:w="1464" w:type="dxa"/>
            <w:vMerge/>
            <w:vAlign w:val="center"/>
            <w:hideMark/>
          </w:tcPr>
          <w:p w14:paraId="3FAD8093" w14:textId="77777777" w:rsidR="00120717" w:rsidRPr="00B93EE1" w:rsidRDefault="00120717" w:rsidP="00075C8B">
            <w:pPr>
              <w:rPr>
                <w:rFonts w:cs="Calibri"/>
                <w:b/>
                <w:bCs/>
                <w:color w:val="000000"/>
                <w:sz w:val="16"/>
                <w:szCs w:val="16"/>
              </w:rPr>
            </w:pPr>
          </w:p>
        </w:tc>
        <w:tc>
          <w:tcPr>
            <w:tcW w:w="1037" w:type="dxa"/>
            <w:shd w:val="clear" w:color="000000" w:fill="C9DED4"/>
            <w:tcMar>
              <w:top w:w="15" w:type="dxa"/>
              <w:left w:w="15" w:type="dxa"/>
              <w:bottom w:w="0" w:type="dxa"/>
              <w:right w:w="15" w:type="dxa"/>
            </w:tcMar>
            <w:vAlign w:val="center"/>
            <w:hideMark/>
          </w:tcPr>
          <w:p w14:paraId="7E2A4D3B" w14:textId="77777777" w:rsidR="00120717" w:rsidRPr="00FF263F" w:rsidRDefault="00120717" w:rsidP="00FF263F">
            <w:pPr>
              <w:ind w:left="57"/>
              <w:jc w:val="left"/>
              <w:rPr>
                <w:rFonts w:cs="Calibri"/>
                <w:i/>
                <w:iCs/>
                <w:sz w:val="16"/>
                <w:szCs w:val="16"/>
              </w:rPr>
            </w:pPr>
            <w:r w:rsidRPr="00FF263F">
              <w:rPr>
                <w:rFonts w:cs="Calibri"/>
                <w:i/>
                <w:iCs/>
                <w:sz w:val="16"/>
                <w:szCs w:val="16"/>
              </w:rPr>
              <w:t>Abroad</w:t>
            </w:r>
          </w:p>
        </w:tc>
        <w:tc>
          <w:tcPr>
            <w:tcW w:w="833" w:type="dxa"/>
            <w:shd w:val="clear" w:color="000000" w:fill="C9DED4"/>
            <w:tcMar>
              <w:top w:w="15" w:type="dxa"/>
              <w:left w:w="15" w:type="dxa"/>
              <w:bottom w:w="0" w:type="dxa"/>
              <w:right w:w="15" w:type="dxa"/>
            </w:tcMar>
            <w:vAlign w:val="center"/>
            <w:hideMark/>
          </w:tcPr>
          <w:p w14:paraId="37E1DBBA" w14:textId="77777777" w:rsidR="00120717" w:rsidRPr="00FF263F" w:rsidRDefault="00120717" w:rsidP="00075C8B">
            <w:pPr>
              <w:ind w:right="57"/>
              <w:jc w:val="right"/>
              <w:rPr>
                <w:rFonts w:cs="Calibri"/>
                <w:i/>
                <w:iCs/>
                <w:sz w:val="16"/>
                <w:szCs w:val="16"/>
              </w:rPr>
            </w:pPr>
            <w:r w:rsidRPr="00FF263F">
              <w:rPr>
                <w:rFonts w:cs="Calibri"/>
                <w:i/>
                <w:iCs/>
                <w:sz w:val="16"/>
                <w:szCs w:val="16"/>
              </w:rPr>
              <w:t>3,634</w:t>
            </w:r>
          </w:p>
        </w:tc>
        <w:tc>
          <w:tcPr>
            <w:tcW w:w="834" w:type="dxa"/>
            <w:shd w:val="clear" w:color="000000" w:fill="C9DED4"/>
            <w:tcMar>
              <w:top w:w="15" w:type="dxa"/>
              <w:left w:w="15" w:type="dxa"/>
              <w:bottom w:w="0" w:type="dxa"/>
              <w:right w:w="15" w:type="dxa"/>
            </w:tcMar>
            <w:vAlign w:val="center"/>
            <w:hideMark/>
          </w:tcPr>
          <w:p w14:paraId="6EB73BD2" w14:textId="77777777" w:rsidR="00120717" w:rsidRPr="00FF263F" w:rsidRDefault="00120717" w:rsidP="00075C8B">
            <w:pPr>
              <w:ind w:right="57"/>
              <w:jc w:val="right"/>
              <w:rPr>
                <w:rFonts w:cs="Calibri"/>
                <w:i/>
                <w:iCs/>
                <w:sz w:val="16"/>
                <w:szCs w:val="16"/>
              </w:rPr>
            </w:pPr>
            <w:r w:rsidRPr="00FF263F">
              <w:rPr>
                <w:rFonts w:cs="Calibri"/>
                <w:i/>
                <w:iCs/>
                <w:sz w:val="16"/>
                <w:szCs w:val="16"/>
              </w:rPr>
              <w:t>2,859</w:t>
            </w:r>
          </w:p>
        </w:tc>
        <w:tc>
          <w:tcPr>
            <w:tcW w:w="833" w:type="dxa"/>
            <w:shd w:val="clear" w:color="000000" w:fill="C9DED4"/>
            <w:tcMar>
              <w:top w:w="15" w:type="dxa"/>
              <w:left w:w="15" w:type="dxa"/>
              <w:bottom w:w="0" w:type="dxa"/>
              <w:right w:w="15" w:type="dxa"/>
            </w:tcMar>
            <w:vAlign w:val="center"/>
            <w:hideMark/>
          </w:tcPr>
          <w:p w14:paraId="067ECB8C" w14:textId="77777777" w:rsidR="00120717" w:rsidRPr="00FF263F" w:rsidRDefault="00120717" w:rsidP="00075C8B">
            <w:pPr>
              <w:ind w:right="57"/>
              <w:jc w:val="right"/>
              <w:rPr>
                <w:rFonts w:cs="Calibri"/>
                <w:i/>
                <w:iCs/>
                <w:sz w:val="16"/>
                <w:szCs w:val="16"/>
              </w:rPr>
            </w:pPr>
            <w:r w:rsidRPr="00FF263F">
              <w:rPr>
                <w:rFonts w:cs="Calibri"/>
                <w:i/>
                <w:iCs/>
                <w:sz w:val="16"/>
                <w:szCs w:val="16"/>
              </w:rPr>
              <w:t>4,279</w:t>
            </w:r>
          </w:p>
        </w:tc>
        <w:tc>
          <w:tcPr>
            <w:tcW w:w="834" w:type="dxa"/>
            <w:shd w:val="clear" w:color="000000" w:fill="C9DED4"/>
            <w:tcMar>
              <w:top w:w="15" w:type="dxa"/>
              <w:left w:w="15" w:type="dxa"/>
              <w:bottom w:w="0" w:type="dxa"/>
              <w:right w:w="15" w:type="dxa"/>
            </w:tcMar>
            <w:vAlign w:val="center"/>
            <w:hideMark/>
          </w:tcPr>
          <w:p w14:paraId="49536ED5" w14:textId="77777777" w:rsidR="00120717" w:rsidRPr="00FF263F" w:rsidRDefault="00120717" w:rsidP="00075C8B">
            <w:pPr>
              <w:ind w:right="57"/>
              <w:jc w:val="right"/>
              <w:rPr>
                <w:rFonts w:cs="Calibri"/>
                <w:i/>
                <w:iCs/>
                <w:sz w:val="16"/>
                <w:szCs w:val="16"/>
              </w:rPr>
            </w:pPr>
            <w:r w:rsidRPr="00FF263F">
              <w:rPr>
                <w:rFonts w:cs="Calibri"/>
                <w:i/>
                <w:iCs/>
                <w:sz w:val="16"/>
                <w:szCs w:val="16"/>
              </w:rPr>
              <w:t>4,368</w:t>
            </w:r>
          </w:p>
        </w:tc>
        <w:tc>
          <w:tcPr>
            <w:tcW w:w="833" w:type="dxa"/>
            <w:shd w:val="clear" w:color="000000" w:fill="C9DED4"/>
            <w:tcMar>
              <w:top w:w="15" w:type="dxa"/>
              <w:left w:w="15" w:type="dxa"/>
              <w:bottom w:w="0" w:type="dxa"/>
              <w:right w:w="15" w:type="dxa"/>
            </w:tcMar>
            <w:vAlign w:val="center"/>
            <w:hideMark/>
          </w:tcPr>
          <w:p w14:paraId="20CFCB54" w14:textId="77777777" w:rsidR="00120717" w:rsidRPr="00FF263F" w:rsidRDefault="00120717" w:rsidP="00075C8B">
            <w:pPr>
              <w:ind w:right="57"/>
              <w:jc w:val="right"/>
              <w:rPr>
                <w:rFonts w:cs="Calibri"/>
                <w:i/>
                <w:iCs/>
                <w:sz w:val="16"/>
                <w:szCs w:val="16"/>
              </w:rPr>
            </w:pPr>
            <w:r w:rsidRPr="00FF263F">
              <w:rPr>
                <w:rFonts w:cs="Calibri"/>
                <w:i/>
                <w:iCs/>
                <w:sz w:val="16"/>
                <w:szCs w:val="16"/>
              </w:rPr>
              <w:t>6,418</w:t>
            </w:r>
          </w:p>
        </w:tc>
        <w:tc>
          <w:tcPr>
            <w:tcW w:w="834" w:type="dxa"/>
            <w:shd w:val="clear" w:color="000000" w:fill="C9DED4"/>
            <w:tcMar>
              <w:top w:w="15" w:type="dxa"/>
              <w:left w:w="15" w:type="dxa"/>
              <w:bottom w:w="0" w:type="dxa"/>
              <w:right w:w="15" w:type="dxa"/>
            </w:tcMar>
            <w:vAlign w:val="center"/>
            <w:hideMark/>
          </w:tcPr>
          <w:p w14:paraId="5EB82935" w14:textId="77777777" w:rsidR="00120717" w:rsidRPr="00FF263F" w:rsidRDefault="00120717" w:rsidP="00075C8B">
            <w:pPr>
              <w:ind w:right="57"/>
              <w:jc w:val="right"/>
              <w:rPr>
                <w:rFonts w:cs="Calibri"/>
                <w:i/>
                <w:iCs/>
                <w:sz w:val="16"/>
                <w:szCs w:val="16"/>
              </w:rPr>
            </w:pPr>
            <w:r w:rsidRPr="00FF263F">
              <w:rPr>
                <w:rFonts w:cs="Calibri"/>
                <w:i/>
                <w:iCs/>
                <w:sz w:val="16"/>
                <w:szCs w:val="16"/>
              </w:rPr>
              <w:t>4,019</w:t>
            </w:r>
          </w:p>
        </w:tc>
        <w:tc>
          <w:tcPr>
            <w:tcW w:w="833" w:type="dxa"/>
            <w:shd w:val="clear" w:color="000000" w:fill="C9DED4"/>
            <w:tcMar>
              <w:top w:w="15" w:type="dxa"/>
              <w:left w:w="15" w:type="dxa"/>
              <w:bottom w:w="0" w:type="dxa"/>
              <w:right w:w="15" w:type="dxa"/>
            </w:tcMar>
            <w:vAlign w:val="center"/>
            <w:hideMark/>
          </w:tcPr>
          <w:p w14:paraId="5A11D255" w14:textId="77777777" w:rsidR="00120717" w:rsidRPr="00FF263F" w:rsidRDefault="00120717" w:rsidP="00075C8B">
            <w:pPr>
              <w:ind w:right="57"/>
              <w:jc w:val="right"/>
              <w:rPr>
                <w:rFonts w:cs="Calibri"/>
                <w:i/>
                <w:iCs/>
                <w:sz w:val="16"/>
                <w:szCs w:val="16"/>
              </w:rPr>
            </w:pPr>
            <w:r w:rsidRPr="00FF263F">
              <w:rPr>
                <w:rFonts w:cs="Calibri"/>
                <w:i/>
                <w:iCs/>
                <w:sz w:val="16"/>
                <w:szCs w:val="16"/>
              </w:rPr>
              <w:t>5,910</w:t>
            </w:r>
          </w:p>
        </w:tc>
        <w:tc>
          <w:tcPr>
            <w:tcW w:w="834" w:type="dxa"/>
            <w:shd w:val="clear" w:color="000000" w:fill="C9DED4"/>
            <w:tcMar>
              <w:top w:w="15" w:type="dxa"/>
              <w:left w:w="15" w:type="dxa"/>
              <w:bottom w:w="0" w:type="dxa"/>
              <w:right w:w="15" w:type="dxa"/>
            </w:tcMar>
            <w:vAlign w:val="center"/>
            <w:hideMark/>
          </w:tcPr>
          <w:p w14:paraId="78BEFF49" w14:textId="77777777" w:rsidR="00120717" w:rsidRPr="00FF263F" w:rsidRDefault="00120717" w:rsidP="00075C8B">
            <w:pPr>
              <w:ind w:right="57"/>
              <w:jc w:val="right"/>
              <w:rPr>
                <w:rFonts w:cs="Calibri"/>
                <w:i/>
                <w:iCs/>
                <w:sz w:val="16"/>
                <w:szCs w:val="16"/>
              </w:rPr>
            </w:pPr>
            <w:r w:rsidRPr="00FF263F">
              <w:rPr>
                <w:rFonts w:cs="Calibri"/>
                <w:i/>
                <w:iCs/>
                <w:sz w:val="16"/>
                <w:szCs w:val="16"/>
              </w:rPr>
              <w:t>2,163</w:t>
            </w:r>
          </w:p>
        </w:tc>
        <w:tc>
          <w:tcPr>
            <w:tcW w:w="833" w:type="dxa"/>
            <w:shd w:val="clear" w:color="000000" w:fill="C9DED4"/>
            <w:tcMar>
              <w:top w:w="15" w:type="dxa"/>
              <w:left w:w="15" w:type="dxa"/>
              <w:bottom w:w="0" w:type="dxa"/>
              <w:right w:w="15" w:type="dxa"/>
            </w:tcMar>
            <w:vAlign w:val="center"/>
            <w:hideMark/>
          </w:tcPr>
          <w:p w14:paraId="52548FC0" w14:textId="77777777" w:rsidR="00120717" w:rsidRPr="00FF263F" w:rsidRDefault="00120717" w:rsidP="00075C8B">
            <w:pPr>
              <w:ind w:right="57"/>
              <w:jc w:val="right"/>
              <w:rPr>
                <w:rFonts w:cs="Calibri"/>
                <w:i/>
                <w:iCs/>
                <w:sz w:val="16"/>
                <w:szCs w:val="16"/>
              </w:rPr>
            </w:pPr>
            <w:r w:rsidRPr="00FF263F">
              <w:rPr>
                <w:rFonts w:cs="Calibri"/>
                <w:i/>
                <w:iCs/>
                <w:sz w:val="16"/>
                <w:szCs w:val="16"/>
              </w:rPr>
              <w:t>2,794</w:t>
            </w:r>
          </w:p>
        </w:tc>
        <w:tc>
          <w:tcPr>
            <w:tcW w:w="834" w:type="dxa"/>
            <w:shd w:val="clear" w:color="000000" w:fill="C9DED4"/>
            <w:tcMar>
              <w:top w:w="15" w:type="dxa"/>
              <w:left w:w="15" w:type="dxa"/>
              <w:bottom w:w="0" w:type="dxa"/>
              <w:right w:w="15" w:type="dxa"/>
            </w:tcMar>
            <w:vAlign w:val="center"/>
            <w:hideMark/>
          </w:tcPr>
          <w:p w14:paraId="111B98E3" w14:textId="77777777" w:rsidR="00120717" w:rsidRPr="00FF263F" w:rsidRDefault="00120717" w:rsidP="00075C8B">
            <w:pPr>
              <w:ind w:right="57"/>
              <w:jc w:val="right"/>
              <w:rPr>
                <w:rFonts w:cs="Calibri"/>
                <w:i/>
                <w:iCs/>
                <w:sz w:val="16"/>
                <w:szCs w:val="16"/>
              </w:rPr>
            </w:pPr>
            <w:r w:rsidRPr="00FF263F">
              <w:rPr>
                <w:rFonts w:cs="Calibri"/>
                <w:i/>
                <w:iCs/>
                <w:sz w:val="16"/>
                <w:szCs w:val="16"/>
              </w:rPr>
              <w:t>3,443</w:t>
            </w:r>
          </w:p>
        </w:tc>
        <w:tc>
          <w:tcPr>
            <w:tcW w:w="833" w:type="dxa"/>
            <w:shd w:val="clear" w:color="000000" w:fill="C9DED4"/>
            <w:tcMar>
              <w:top w:w="15" w:type="dxa"/>
              <w:left w:w="15" w:type="dxa"/>
              <w:bottom w:w="0" w:type="dxa"/>
              <w:right w:w="15" w:type="dxa"/>
            </w:tcMar>
            <w:vAlign w:val="center"/>
            <w:hideMark/>
          </w:tcPr>
          <w:p w14:paraId="6AC4F1A9" w14:textId="77777777" w:rsidR="00120717" w:rsidRPr="00FF263F" w:rsidRDefault="00120717" w:rsidP="00075C8B">
            <w:pPr>
              <w:ind w:right="57"/>
              <w:jc w:val="right"/>
              <w:rPr>
                <w:rFonts w:cs="Calibri"/>
                <w:i/>
                <w:iCs/>
                <w:sz w:val="16"/>
                <w:szCs w:val="16"/>
              </w:rPr>
            </w:pPr>
            <w:r w:rsidRPr="00FF263F">
              <w:rPr>
                <w:rFonts w:cs="Calibri"/>
                <w:i/>
                <w:iCs/>
                <w:sz w:val="16"/>
                <w:szCs w:val="16"/>
              </w:rPr>
              <w:t>4,341</w:t>
            </w:r>
          </w:p>
        </w:tc>
        <w:tc>
          <w:tcPr>
            <w:tcW w:w="834" w:type="dxa"/>
            <w:shd w:val="clear" w:color="000000" w:fill="C9DED4"/>
            <w:tcMar>
              <w:top w:w="15" w:type="dxa"/>
              <w:left w:w="15" w:type="dxa"/>
              <w:bottom w:w="0" w:type="dxa"/>
              <w:right w:w="15" w:type="dxa"/>
            </w:tcMar>
            <w:vAlign w:val="center"/>
            <w:hideMark/>
          </w:tcPr>
          <w:p w14:paraId="2077DF40" w14:textId="77777777" w:rsidR="00120717" w:rsidRPr="00FF263F" w:rsidRDefault="00120717" w:rsidP="00075C8B">
            <w:pPr>
              <w:ind w:right="57"/>
              <w:jc w:val="right"/>
              <w:rPr>
                <w:rFonts w:cs="Calibri"/>
                <w:i/>
                <w:iCs/>
                <w:sz w:val="16"/>
                <w:szCs w:val="16"/>
              </w:rPr>
            </w:pPr>
            <w:r w:rsidRPr="00FF263F">
              <w:rPr>
                <w:rFonts w:cs="Calibri"/>
                <w:i/>
                <w:iCs/>
                <w:sz w:val="16"/>
                <w:szCs w:val="16"/>
              </w:rPr>
              <w:t>5,670</w:t>
            </w:r>
          </w:p>
        </w:tc>
        <w:tc>
          <w:tcPr>
            <w:tcW w:w="833" w:type="dxa"/>
            <w:shd w:val="clear" w:color="000000" w:fill="C9DED4"/>
            <w:tcMar>
              <w:top w:w="15" w:type="dxa"/>
              <w:left w:w="15" w:type="dxa"/>
              <w:bottom w:w="0" w:type="dxa"/>
              <w:right w:w="15" w:type="dxa"/>
            </w:tcMar>
            <w:vAlign w:val="center"/>
            <w:hideMark/>
          </w:tcPr>
          <w:p w14:paraId="31BC61A8" w14:textId="77777777" w:rsidR="00120717" w:rsidRPr="00FF263F" w:rsidRDefault="00120717" w:rsidP="00075C8B">
            <w:pPr>
              <w:ind w:right="57"/>
              <w:jc w:val="right"/>
              <w:rPr>
                <w:rFonts w:cs="Calibri"/>
                <w:i/>
                <w:iCs/>
                <w:sz w:val="16"/>
                <w:szCs w:val="16"/>
              </w:rPr>
            </w:pPr>
            <w:r w:rsidRPr="00FF263F">
              <w:rPr>
                <w:rFonts w:cs="Calibri"/>
                <w:i/>
                <w:iCs/>
                <w:sz w:val="16"/>
                <w:szCs w:val="16"/>
              </w:rPr>
              <w:t>4,254</w:t>
            </w:r>
          </w:p>
        </w:tc>
        <w:tc>
          <w:tcPr>
            <w:tcW w:w="834" w:type="dxa"/>
            <w:shd w:val="clear" w:color="000000" w:fill="C9DED4"/>
            <w:tcMar>
              <w:top w:w="15" w:type="dxa"/>
              <w:left w:w="15" w:type="dxa"/>
              <w:bottom w:w="0" w:type="dxa"/>
              <w:right w:w="15" w:type="dxa"/>
            </w:tcMar>
            <w:vAlign w:val="center"/>
            <w:hideMark/>
          </w:tcPr>
          <w:p w14:paraId="22FB47D8" w14:textId="77777777" w:rsidR="00120717" w:rsidRPr="00FF263F" w:rsidRDefault="00120717" w:rsidP="00075C8B">
            <w:pPr>
              <w:ind w:right="57"/>
              <w:jc w:val="right"/>
              <w:rPr>
                <w:rFonts w:cs="Calibri"/>
                <w:i/>
                <w:iCs/>
                <w:sz w:val="16"/>
                <w:szCs w:val="16"/>
              </w:rPr>
            </w:pPr>
            <w:r w:rsidRPr="00FF263F">
              <w:rPr>
                <w:rFonts w:cs="Calibri"/>
                <w:i/>
                <w:iCs/>
                <w:sz w:val="16"/>
                <w:szCs w:val="16"/>
              </w:rPr>
              <w:t>6,601</w:t>
            </w:r>
          </w:p>
        </w:tc>
      </w:tr>
    </w:tbl>
    <w:p w14:paraId="212D662C" w14:textId="77777777" w:rsidR="00120717" w:rsidRPr="00B93EE1" w:rsidRDefault="00120717" w:rsidP="006B1D61">
      <w:pPr>
        <w:pStyle w:val="NoteText"/>
        <w:spacing w:before="120"/>
      </w:pPr>
      <w:r w:rsidRPr="00B93EE1">
        <w:rPr>
          <w:lang w:eastAsia="en-GB"/>
        </w:rPr>
        <w:t>a</w:t>
      </w:r>
      <w:r w:rsidRPr="00B93EE1">
        <w:rPr>
          <w:lang w:eastAsia="en-GB"/>
        </w:rPr>
        <w:tab/>
      </w:r>
      <w:r w:rsidRPr="00B93EE1">
        <w:t>Class count.</w:t>
      </w:r>
    </w:p>
    <w:p w14:paraId="65B561B3" w14:textId="77777777" w:rsidR="00120717" w:rsidRPr="00B93EE1" w:rsidRDefault="00120717" w:rsidP="006B1D61">
      <w:pPr>
        <w:pStyle w:val="NoteText"/>
        <w:spacing w:before="120"/>
      </w:pPr>
      <w:r w:rsidRPr="00B93EE1">
        <w:t>b</w:t>
      </w:r>
      <w:r w:rsidRPr="00B93EE1">
        <w:tab/>
        <w:t>Design count.</w:t>
      </w:r>
    </w:p>
    <w:p w14:paraId="7A72074F" w14:textId="77777777" w:rsidR="00120717" w:rsidRPr="006B1D61" w:rsidRDefault="00120717" w:rsidP="006B1D61">
      <w:pPr>
        <w:pStyle w:val="NoteText"/>
        <w:spacing w:before="120"/>
      </w:pPr>
      <w:r w:rsidRPr="006B1D61">
        <w:t xml:space="preserve">Note: </w:t>
      </w:r>
      <w:r w:rsidRPr="006B1D61">
        <w:tab/>
        <w:t>A resident filing refers to an application filed in New Zealand by a New Zealand resident; whereas a non-resident filing refers to one filed by a foreign applicant. "Abroad" refers to an application filed by a New Zealand resident at a foreign office.</w:t>
      </w:r>
    </w:p>
    <w:p w14:paraId="038F6880" w14:textId="77777777" w:rsidR="00120717" w:rsidRPr="00B93EE1" w:rsidRDefault="00120717" w:rsidP="006B1D61">
      <w:pPr>
        <w:pStyle w:val="NoteText"/>
        <w:spacing w:before="120"/>
      </w:pPr>
      <w:r w:rsidRPr="00B93EE1">
        <w:t>Source:</w:t>
      </w:r>
      <w:r w:rsidRPr="00B93EE1">
        <w:tab/>
        <w:t>WIPO</w:t>
      </w:r>
      <w:r w:rsidRPr="00B93EE1">
        <w:rPr>
          <w:lang w:eastAsia="en-GB"/>
        </w:rPr>
        <w:t xml:space="preserve"> Statistics Database.</w:t>
      </w:r>
    </w:p>
    <w:p w14:paraId="16DA05D2" w14:textId="07D957B3" w:rsidR="00120717" w:rsidRPr="00B93EE1" w:rsidRDefault="00120717" w:rsidP="005240DA">
      <w:pPr>
        <w:tabs>
          <w:tab w:val="left" w:pos="851"/>
        </w:tabs>
        <w:spacing w:after="240"/>
        <w:ind w:left="851" w:hanging="851"/>
        <w:jc w:val="left"/>
        <w:rPr>
          <w:sz w:val="16"/>
        </w:rPr>
      </w:pPr>
    </w:p>
    <w:p w14:paraId="451DFCEA" w14:textId="77777777" w:rsidR="00120717" w:rsidRPr="00B93EE1" w:rsidRDefault="00120717" w:rsidP="005240DA">
      <w:pPr>
        <w:spacing w:after="200" w:line="276" w:lineRule="auto"/>
        <w:jc w:val="left"/>
        <w:sectPr w:rsidR="00120717" w:rsidRPr="00B93EE1" w:rsidSect="003D7746">
          <w:headerReference w:type="even" r:id="rId44"/>
          <w:headerReference w:type="default" r:id="rId45"/>
          <w:headerReference w:type="first" r:id="rId46"/>
          <w:footnotePr>
            <w:numRestart w:val="eachSect"/>
          </w:footnotePr>
          <w:pgSz w:w="16838" w:h="11906" w:orient="landscape" w:code="9"/>
          <w:pgMar w:top="1440" w:right="1701" w:bottom="1440" w:left="567" w:header="720" w:footer="720" w:gutter="0"/>
          <w:cols w:space="720"/>
          <w:docGrid w:linePitch="360"/>
        </w:sectPr>
      </w:pPr>
    </w:p>
    <w:p w14:paraId="2A7C7C9E" w14:textId="6D83DEE5" w:rsidR="00120717" w:rsidRPr="00B93EE1" w:rsidRDefault="00DE713E" w:rsidP="00DE713E">
      <w:pPr>
        <w:pStyle w:val="Caption"/>
      </w:pPr>
      <w:bookmarkStart w:id="269" w:name="_Toc97743456"/>
      <w:r>
        <w:lastRenderedPageBreak/>
        <w:t>Table A3.</w:t>
      </w:r>
      <w:r w:rsidR="0012793B">
        <w:fldChar w:fldCharType="begin"/>
      </w:r>
      <w:r w:rsidR="0012793B">
        <w:instrText xml:space="preserve"> SEQ Table_A3. \* ARABIC </w:instrText>
      </w:r>
      <w:r w:rsidR="0012793B">
        <w:fldChar w:fldCharType="separate"/>
      </w:r>
      <w:r>
        <w:rPr>
          <w:noProof/>
        </w:rPr>
        <w:t>4</w:t>
      </w:r>
      <w:r w:rsidR="0012793B">
        <w:rPr>
          <w:noProof/>
        </w:rPr>
        <w:fldChar w:fldCharType="end"/>
      </w:r>
      <w:r w:rsidR="00120717" w:rsidRPr="00B93EE1">
        <w:t xml:space="preserve"> Standards and conformance infrastructure, 2022</w:t>
      </w:r>
      <w:bookmarkEnd w:id="269"/>
    </w:p>
    <w:tbl>
      <w:tblPr>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975"/>
        <w:gridCol w:w="1890"/>
        <w:gridCol w:w="1800"/>
        <w:gridCol w:w="1672"/>
        <w:gridCol w:w="1843"/>
      </w:tblGrid>
      <w:tr w:rsidR="00120717" w:rsidRPr="00B93EE1" w14:paraId="2285BF56" w14:textId="77777777" w:rsidTr="00075C8B">
        <w:trPr>
          <w:trHeight w:val="331"/>
          <w:tblHeader/>
        </w:trPr>
        <w:tc>
          <w:tcPr>
            <w:tcW w:w="1975" w:type="dxa"/>
            <w:shd w:val="clear" w:color="auto" w:fill="006283"/>
            <w:vAlign w:val="center"/>
          </w:tcPr>
          <w:p w14:paraId="04C58A8D" w14:textId="77777777" w:rsidR="00120717" w:rsidRPr="00B93EE1" w:rsidRDefault="00120717" w:rsidP="00075C8B">
            <w:pPr>
              <w:keepNext/>
              <w:rPr>
                <w:b/>
                <w:color w:val="FFFFFF"/>
                <w:sz w:val="16"/>
                <w:szCs w:val="16"/>
              </w:rPr>
            </w:pPr>
            <w:r w:rsidRPr="00B93EE1">
              <w:rPr>
                <w:b/>
                <w:bCs/>
                <w:color w:val="FFFFFF"/>
                <w:sz w:val="16"/>
                <w:szCs w:val="16"/>
              </w:rPr>
              <w:t xml:space="preserve">Activity </w:t>
            </w:r>
          </w:p>
        </w:tc>
        <w:tc>
          <w:tcPr>
            <w:tcW w:w="1890" w:type="dxa"/>
            <w:shd w:val="clear" w:color="auto" w:fill="006283"/>
            <w:vAlign w:val="center"/>
          </w:tcPr>
          <w:p w14:paraId="2960EBD6" w14:textId="77777777" w:rsidR="00120717" w:rsidRPr="00B93EE1" w:rsidRDefault="00120717" w:rsidP="00075C8B">
            <w:pPr>
              <w:keepNext/>
              <w:rPr>
                <w:b/>
                <w:color w:val="FFFFFF"/>
                <w:sz w:val="16"/>
                <w:szCs w:val="16"/>
              </w:rPr>
            </w:pPr>
            <w:r w:rsidRPr="00B93EE1">
              <w:rPr>
                <w:b/>
                <w:bCs/>
                <w:color w:val="FFFFFF"/>
                <w:sz w:val="16"/>
                <w:szCs w:val="16"/>
              </w:rPr>
              <w:t xml:space="preserve">International organization </w:t>
            </w:r>
          </w:p>
        </w:tc>
        <w:tc>
          <w:tcPr>
            <w:tcW w:w="1800" w:type="dxa"/>
            <w:shd w:val="clear" w:color="auto" w:fill="006283"/>
            <w:vAlign w:val="center"/>
          </w:tcPr>
          <w:p w14:paraId="06443575" w14:textId="77777777" w:rsidR="00120717" w:rsidRPr="00B93EE1" w:rsidRDefault="00120717" w:rsidP="00075C8B">
            <w:pPr>
              <w:keepNext/>
              <w:rPr>
                <w:b/>
                <w:color w:val="FFFFFF"/>
                <w:sz w:val="16"/>
                <w:szCs w:val="16"/>
              </w:rPr>
            </w:pPr>
            <w:r w:rsidRPr="00B93EE1">
              <w:rPr>
                <w:b/>
                <w:bCs/>
                <w:color w:val="FFFFFF"/>
                <w:sz w:val="16"/>
                <w:szCs w:val="16"/>
              </w:rPr>
              <w:t xml:space="preserve">Regional organization </w:t>
            </w:r>
          </w:p>
        </w:tc>
        <w:tc>
          <w:tcPr>
            <w:tcW w:w="1672" w:type="dxa"/>
            <w:shd w:val="clear" w:color="auto" w:fill="006283"/>
            <w:vAlign w:val="center"/>
          </w:tcPr>
          <w:p w14:paraId="01C36C46" w14:textId="77777777" w:rsidR="00120717" w:rsidRPr="00B93EE1" w:rsidRDefault="00120717" w:rsidP="00075C8B">
            <w:pPr>
              <w:keepNext/>
              <w:rPr>
                <w:b/>
                <w:color w:val="FFFFFF"/>
                <w:sz w:val="16"/>
                <w:szCs w:val="16"/>
              </w:rPr>
            </w:pPr>
            <w:r w:rsidRPr="00B93EE1">
              <w:rPr>
                <w:b/>
                <w:bCs/>
                <w:color w:val="FFFFFF"/>
                <w:sz w:val="16"/>
                <w:szCs w:val="16"/>
              </w:rPr>
              <w:t xml:space="preserve">National authority </w:t>
            </w:r>
          </w:p>
        </w:tc>
        <w:tc>
          <w:tcPr>
            <w:tcW w:w="1843" w:type="dxa"/>
            <w:shd w:val="clear" w:color="auto" w:fill="006283"/>
            <w:vAlign w:val="center"/>
          </w:tcPr>
          <w:p w14:paraId="411D77B2" w14:textId="77777777" w:rsidR="00120717" w:rsidRPr="00B93EE1" w:rsidRDefault="00120717" w:rsidP="00075C8B">
            <w:pPr>
              <w:keepNext/>
              <w:rPr>
                <w:b/>
                <w:bCs/>
                <w:color w:val="FFFFFF"/>
                <w:sz w:val="16"/>
                <w:szCs w:val="16"/>
              </w:rPr>
            </w:pPr>
            <w:r w:rsidRPr="00B93EE1">
              <w:rPr>
                <w:b/>
                <w:bCs/>
                <w:color w:val="FFFFFF"/>
                <w:sz w:val="16"/>
                <w:szCs w:val="16"/>
              </w:rPr>
              <w:t>Relevant legislation</w:t>
            </w:r>
          </w:p>
        </w:tc>
      </w:tr>
      <w:tr w:rsidR="00120717" w:rsidRPr="00B93EE1" w14:paraId="7CBBE4D4" w14:textId="77777777" w:rsidTr="00075C8B">
        <w:trPr>
          <w:trHeight w:val="637"/>
        </w:trPr>
        <w:tc>
          <w:tcPr>
            <w:tcW w:w="1975" w:type="dxa"/>
            <w:shd w:val="clear" w:color="auto" w:fill="auto"/>
          </w:tcPr>
          <w:p w14:paraId="0009FE4B" w14:textId="77777777" w:rsidR="00120717" w:rsidRPr="00B93EE1" w:rsidRDefault="00120717" w:rsidP="00075C8B">
            <w:pPr>
              <w:jc w:val="left"/>
              <w:rPr>
                <w:sz w:val="16"/>
                <w:szCs w:val="16"/>
              </w:rPr>
            </w:pPr>
            <w:r w:rsidRPr="00B93EE1">
              <w:rPr>
                <w:b/>
                <w:bCs/>
                <w:sz w:val="16"/>
                <w:szCs w:val="16"/>
              </w:rPr>
              <w:t>Standards</w:t>
            </w:r>
          </w:p>
        </w:tc>
        <w:tc>
          <w:tcPr>
            <w:tcW w:w="1890" w:type="dxa"/>
            <w:shd w:val="clear" w:color="auto" w:fill="auto"/>
          </w:tcPr>
          <w:p w14:paraId="1A6D31A1" w14:textId="7D899748" w:rsidR="00120717" w:rsidRPr="00B93EE1" w:rsidRDefault="00120717" w:rsidP="00075C8B">
            <w:pPr>
              <w:jc w:val="left"/>
              <w:rPr>
                <w:sz w:val="16"/>
                <w:szCs w:val="16"/>
              </w:rPr>
            </w:pPr>
            <w:r w:rsidRPr="00B93EE1">
              <w:rPr>
                <w:sz w:val="16"/>
                <w:szCs w:val="16"/>
              </w:rPr>
              <w:t>International Organization for Standardi</w:t>
            </w:r>
            <w:r w:rsidR="00A56655">
              <w:rPr>
                <w:sz w:val="16"/>
                <w:szCs w:val="16"/>
              </w:rPr>
              <w:t>z</w:t>
            </w:r>
            <w:r w:rsidRPr="00B93EE1">
              <w:rPr>
                <w:sz w:val="16"/>
                <w:szCs w:val="16"/>
              </w:rPr>
              <w:t>ation (ISO)</w:t>
            </w:r>
          </w:p>
          <w:p w14:paraId="6A15B1AC" w14:textId="77777777" w:rsidR="00120717" w:rsidRPr="00B93EE1" w:rsidRDefault="00120717" w:rsidP="00075C8B">
            <w:pPr>
              <w:jc w:val="left"/>
              <w:rPr>
                <w:sz w:val="16"/>
                <w:szCs w:val="16"/>
              </w:rPr>
            </w:pPr>
          </w:p>
          <w:p w14:paraId="5D4E0638" w14:textId="77777777" w:rsidR="00120717" w:rsidRPr="00B93EE1" w:rsidRDefault="00120717" w:rsidP="00075C8B">
            <w:pPr>
              <w:jc w:val="left"/>
              <w:rPr>
                <w:sz w:val="16"/>
                <w:szCs w:val="16"/>
              </w:rPr>
            </w:pPr>
            <w:r w:rsidRPr="00B93EE1">
              <w:rPr>
                <w:sz w:val="16"/>
                <w:szCs w:val="16"/>
              </w:rPr>
              <w:t>International Electrotechnical Commission (IEC)</w:t>
            </w:r>
          </w:p>
        </w:tc>
        <w:tc>
          <w:tcPr>
            <w:tcW w:w="1800" w:type="dxa"/>
            <w:shd w:val="clear" w:color="auto" w:fill="auto"/>
          </w:tcPr>
          <w:p w14:paraId="155167D7" w14:textId="77777777" w:rsidR="00120717" w:rsidRPr="00B93EE1" w:rsidRDefault="00120717" w:rsidP="00075C8B">
            <w:pPr>
              <w:jc w:val="left"/>
              <w:rPr>
                <w:sz w:val="16"/>
                <w:szCs w:val="16"/>
              </w:rPr>
            </w:pPr>
            <w:r w:rsidRPr="00B93EE1">
              <w:rPr>
                <w:sz w:val="16"/>
                <w:szCs w:val="16"/>
              </w:rPr>
              <w:t>Pacific Area Standards Congress (</w:t>
            </w:r>
            <w:proofErr w:type="spellStart"/>
            <w:r w:rsidRPr="00B93EE1">
              <w:rPr>
                <w:sz w:val="16"/>
                <w:szCs w:val="16"/>
              </w:rPr>
              <w:t>PASC</w:t>
            </w:r>
            <w:proofErr w:type="spellEnd"/>
            <w:r w:rsidRPr="00B93EE1">
              <w:rPr>
                <w:sz w:val="16"/>
                <w:szCs w:val="16"/>
              </w:rPr>
              <w:t>)</w:t>
            </w:r>
          </w:p>
        </w:tc>
        <w:tc>
          <w:tcPr>
            <w:tcW w:w="1672" w:type="dxa"/>
            <w:shd w:val="clear" w:color="auto" w:fill="auto"/>
          </w:tcPr>
          <w:p w14:paraId="6F09603F" w14:textId="77777777" w:rsidR="00120717" w:rsidRPr="00B93EE1" w:rsidRDefault="00120717" w:rsidP="00075C8B">
            <w:pPr>
              <w:jc w:val="left"/>
              <w:rPr>
                <w:sz w:val="16"/>
                <w:szCs w:val="16"/>
              </w:rPr>
            </w:pPr>
            <w:r w:rsidRPr="00B93EE1">
              <w:rPr>
                <w:sz w:val="16"/>
                <w:szCs w:val="16"/>
              </w:rPr>
              <w:t>Standards New Zealand (Standards NZ)</w:t>
            </w:r>
          </w:p>
        </w:tc>
        <w:tc>
          <w:tcPr>
            <w:tcW w:w="1843" w:type="dxa"/>
            <w:shd w:val="clear" w:color="auto" w:fill="auto"/>
          </w:tcPr>
          <w:p w14:paraId="55BE331E" w14:textId="77777777" w:rsidR="00120717" w:rsidRPr="00B93EE1" w:rsidRDefault="00120717" w:rsidP="00075C8B">
            <w:pPr>
              <w:jc w:val="left"/>
              <w:rPr>
                <w:sz w:val="16"/>
                <w:szCs w:val="16"/>
              </w:rPr>
            </w:pPr>
            <w:r w:rsidRPr="00B93EE1">
              <w:rPr>
                <w:sz w:val="16"/>
                <w:szCs w:val="16"/>
              </w:rPr>
              <w:t>Standards and Accreditation Act, 2015</w:t>
            </w:r>
          </w:p>
        </w:tc>
      </w:tr>
      <w:tr w:rsidR="00120717" w:rsidRPr="00B93EE1" w14:paraId="17EB2AF2" w14:textId="77777777" w:rsidTr="00075C8B">
        <w:trPr>
          <w:trHeight w:val="430"/>
        </w:trPr>
        <w:tc>
          <w:tcPr>
            <w:tcW w:w="1975" w:type="dxa"/>
            <w:shd w:val="clear" w:color="auto" w:fill="C9DED4"/>
          </w:tcPr>
          <w:p w14:paraId="4F469E8A" w14:textId="77777777" w:rsidR="00120717" w:rsidRPr="00B93EE1" w:rsidRDefault="00120717" w:rsidP="00075C8B">
            <w:pPr>
              <w:jc w:val="left"/>
              <w:rPr>
                <w:sz w:val="16"/>
                <w:szCs w:val="16"/>
              </w:rPr>
            </w:pPr>
            <w:r w:rsidRPr="00B93EE1">
              <w:rPr>
                <w:b/>
                <w:bCs/>
                <w:sz w:val="16"/>
                <w:szCs w:val="16"/>
              </w:rPr>
              <w:t>Physical standards of measurement</w:t>
            </w:r>
          </w:p>
        </w:tc>
        <w:tc>
          <w:tcPr>
            <w:tcW w:w="1890" w:type="dxa"/>
            <w:shd w:val="clear" w:color="auto" w:fill="C9DED4"/>
          </w:tcPr>
          <w:p w14:paraId="633CE1FB" w14:textId="77777777" w:rsidR="00120717" w:rsidRPr="00B93EE1" w:rsidRDefault="00120717" w:rsidP="00075C8B">
            <w:pPr>
              <w:jc w:val="left"/>
              <w:rPr>
                <w:sz w:val="16"/>
                <w:szCs w:val="16"/>
              </w:rPr>
            </w:pPr>
            <w:r w:rsidRPr="00B93EE1">
              <w:rPr>
                <w:sz w:val="16"/>
                <w:szCs w:val="16"/>
              </w:rPr>
              <w:t>International Bureau of Weights and Measures (</w:t>
            </w:r>
            <w:proofErr w:type="spellStart"/>
            <w:r w:rsidRPr="00B93EE1">
              <w:rPr>
                <w:sz w:val="16"/>
                <w:szCs w:val="16"/>
              </w:rPr>
              <w:t>BIPM</w:t>
            </w:r>
            <w:proofErr w:type="spellEnd"/>
            <w:r w:rsidRPr="00B93EE1">
              <w:rPr>
                <w:sz w:val="16"/>
                <w:szCs w:val="16"/>
              </w:rPr>
              <w:t>)</w:t>
            </w:r>
          </w:p>
        </w:tc>
        <w:tc>
          <w:tcPr>
            <w:tcW w:w="1800" w:type="dxa"/>
            <w:shd w:val="clear" w:color="auto" w:fill="C9DED4"/>
          </w:tcPr>
          <w:p w14:paraId="31B64FD2" w14:textId="77777777" w:rsidR="00120717" w:rsidRPr="00B93EE1" w:rsidRDefault="00120717" w:rsidP="00075C8B">
            <w:pPr>
              <w:jc w:val="left"/>
              <w:rPr>
                <w:sz w:val="16"/>
                <w:szCs w:val="16"/>
              </w:rPr>
            </w:pPr>
            <w:r w:rsidRPr="00B93EE1">
              <w:rPr>
                <w:sz w:val="16"/>
                <w:szCs w:val="16"/>
              </w:rPr>
              <w:t>Asia-Pacific Metrology Programme (</w:t>
            </w:r>
            <w:proofErr w:type="spellStart"/>
            <w:r w:rsidRPr="00B93EE1">
              <w:rPr>
                <w:sz w:val="16"/>
                <w:szCs w:val="16"/>
              </w:rPr>
              <w:t>APMP</w:t>
            </w:r>
            <w:proofErr w:type="spellEnd"/>
            <w:r w:rsidRPr="00B93EE1">
              <w:rPr>
                <w:sz w:val="16"/>
                <w:szCs w:val="16"/>
              </w:rPr>
              <w:t>)</w:t>
            </w:r>
          </w:p>
        </w:tc>
        <w:tc>
          <w:tcPr>
            <w:tcW w:w="1672" w:type="dxa"/>
            <w:shd w:val="clear" w:color="auto" w:fill="C9DED4"/>
          </w:tcPr>
          <w:p w14:paraId="3A210BDF" w14:textId="77777777" w:rsidR="00120717" w:rsidRPr="00B93EE1" w:rsidRDefault="00120717" w:rsidP="00075C8B">
            <w:pPr>
              <w:jc w:val="left"/>
              <w:rPr>
                <w:sz w:val="16"/>
                <w:szCs w:val="16"/>
              </w:rPr>
            </w:pPr>
            <w:r w:rsidRPr="00B93EE1">
              <w:rPr>
                <w:sz w:val="16"/>
                <w:szCs w:val="16"/>
              </w:rPr>
              <w:t xml:space="preserve">Measurement Standards Laboratory (MSL) </w:t>
            </w:r>
          </w:p>
        </w:tc>
        <w:tc>
          <w:tcPr>
            <w:tcW w:w="1843" w:type="dxa"/>
            <w:shd w:val="clear" w:color="auto" w:fill="C9DED4"/>
          </w:tcPr>
          <w:p w14:paraId="20D14906" w14:textId="77777777" w:rsidR="00120717" w:rsidRPr="00B93EE1" w:rsidRDefault="00120717" w:rsidP="00075C8B">
            <w:pPr>
              <w:jc w:val="left"/>
              <w:rPr>
                <w:sz w:val="16"/>
                <w:szCs w:val="16"/>
              </w:rPr>
            </w:pPr>
            <w:r w:rsidRPr="00B93EE1">
              <w:rPr>
                <w:sz w:val="16"/>
                <w:szCs w:val="16"/>
              </w:rPr>
              <w:t>Measurement Standards Act, 1992</w:t>
            </w:r>
          </w:p>
        </w:tc>
      </w:tr>
      <w:tr w:rsidR="00120717" w:rsidRPr="00B93EE1" w14:paraId="76B202EC" w14:textId="77777777" w:rsidTr="00075C8B">
        <w:trPr>
          <w:trHeight w:val="327"/>
        </w:trPr>
        <w:tc>
          <w:tcPr>
            <w:tcW w:w="1975" w:type="dxa"/>
            <w:shd w:val="clear" w:color="auto" w:fill="auto"/>
          </w:tcPr>
          <w:p w14:paraId="33DB4F7F" w14:textId="77777777" w:rsidR="00120717" w:rsidRPr="00B93EE1" w:rsidRDefault="00120717" w:rsidP="00075C8B">
            <w:pPr>
              <w:jc w:val="left"/>
              <w:rPr>
                <w:sz w:val="16"/>
                <w:szCs w:val="16"/>
              </w:rPr>
            </w:pPr>
            <w:r w:rsidRPr="00B93EE1">
              <w:rPr>
                <w:b/>
                <w:bCs/>
                <w:sz w:val="16"/>
                <w:szCs w:val="16"/>
              </w:rPr>
              <w:t>Legal measurement</w:t>
            </w:r>
          </w:p>
        </w:tc>
        <w:tc>
          <w:tcPr>
            <w:tcW w:w="1890" w:type="dxa"/>
            <w:shd w:val="clear" w:color="auto" w:fill="auto"/>
          </w:tcPr>
          <w:p w14:paraId="7F857CD8" w14:textId="77777777" w:rsidR="00120717" w:rsidRPr="00B93EE1" w:rsidRDefault="00120717" w:rsidP="00075C8B">
            <w:pPr>
              <w:jc w:val="left"/>
              <w:rPr>
                <w:sz w:val="16"/>
                <w:szCs w:val="16"/>
              </w:rPr>
            </w:pPr>
            <w:r w:rsidRPr="00B93EE1">
              <w:rPr>
                <w:sz w:val="16"/>
                <w:szCs w:val="16"/>
              </w:rPr>
              <w:t>International Organization of Legal Metrology (</w:t>
            </w:r>
            <w:proofErr w:type="spellStart"/>
            <w:r w:rsidRPr="00B93EE1">
              <w:rPr>
                <w:sz w:val="16"/>
                <w:szCs w:val="16"/>
              </w:rPr>
              <w:t>OIML</w:t>
            </w:r>
            <w:proofErr w:type="spellEnd"/>
            <w:r w:rsidRPr="00B93EE1">
              <w:rPr>
                <w:sz w:val="16"/>
                <w:szCs w:val="16"/>
              </w:rPr>
              <w:t xml:space="preserve">) </w:t>
            </w:r>
          </w:p>
        </w:tc>
        <w:tc>
          <w:tcPr>
            <w:tcW w:w="1800" w:type="dxa"/>
            <w:shd w:val="clear" w:color="auto" w:fill="auto"/>
          </w:tcPr>
          <w:p w14:paraId="3F137623" w14:textId="77777777" w:rsidR="00120717" w:rsidRPr="00B93EE1" w:rsidRDefault="00120717" w:rsidP="00075C8B">
            <w:pPr>
              <w:jc w:val="left"/>
              <w:rPr>
                <w:sz w:val="16"/>
                <w:szCs w:val="16"/>
              </w:rPr>
            </w:pPr>
            <w:r w:rsidRPr="00B93EE1">
              <w:rPr>
                <w:sz w:val="16"/>
                <w:szCs w:val="16"/>
              </w:rPr>
              <w:t>Asia Pacific Legal Metrology Forum (</w:t>
            </w:r>
            <w:proofErr w:type="spellStart"/>
            <w:r w:rsidRPr="00B93EE1">
              <w:rPr>
                <w:sz w:val="16"/>
                <w:szCs w:val="16"/>
              </w:rPr>
              <w:t>APLMF</w:t>
            </w:r>
            <w:proofErr w:type="spellEnd"/>
            <w:r w:rsidRPr="00B93EE1">
              <w:rPr>
                <w:sz w:val="16"/>
                <w:szCs w:val="16"/>
              </w:rPr>
              <w:t xml:space="preserve">) </w:t>
            </w:r>
          </w:p>
        </w:tc>
        <w:tc>
          <w:tcPr>
            <w:tcW w:w="1672" w:type="dxa"/>
            <w:shd w:val="clear" w:color="auto" w:fill="auto"/>
          </w:tcPr>
          <w:p w14:paraId="68A7E65E" w14:textId="77777777" w:rsidR="00120717" w:rsidRPr="00B93EE1" w:rsidRDefault="00120717" w:rsidP="00075C8B">
            <w:pPr>
              <w:jc w:val="left"/>
              <w:rPr>
                <w:sz w:val="16"/>
                <w:szCs w:val="16"/>
              </w:rPr>
            </w:pPr>
            <w:r w:rsidRPr="00B93EE1">
              <w:rPr>
                <w:sz w:val="16"/>
                <w:szCs w:val="16"/>
              </w:rPr>
              <w:t>Trading Standards</w:t>
            </w:r>
          </w:p>
          <w:p w14:paraId="0C3D9332" w14:textId="77777777" w:rsidR="00120717" w:rsidRPr="00B93EE1" w:rsidRDefault="00120717" w:rsidP="00075C8B">
            <w:pPr>
              <w:jc w:val="left"/>
              <w:rPr>
                <w:sz w:val="16"/>
                <w:szCs w:val="16"/>
              </w:rPr>
            </w:pPr>
          </w:p>
          <w:p w14:paraId="31449FFC" w14:textId="77777777" w:rsidR="00120717" w:rsidRPr="00B93EE1" w:rsidRDefault="00120717" w:rsidP="00075C8B">
            <w:pPr>
              <w:jc w:val="left"/>
              <w:rPr>
                <w:sz w:val="16"/>
                <w:szCs w:val="16"/>
              </w:rPr>
            </w:pPr>
            <w:r w:rsidRPr="00B93EE1">
              <w:rPr>
                <w:sz w:val="16"/>
                <w:szCs w:val="16"/>
              </w:rPr>
              <w:t>Ministry of Business, Innovation and Employment</w:t>
            </w:r>
          </w:p>
        </w:tc>
        <w:tc>
          <w:tcPr>
            <w:tcW w:w="1843" w:type="dxa"/>
            <w:shd w:val="clear" w:color="auto" w:fill="auto"/>
          </w:tcPr>
          <w:p w14:paraId="30BA5094" w14:textId="77777777" w:rsidR="00120717" w:rsidRPr="00B93EE1" w:rsidRDefault="00120717" w:rsidP="00075C8B">
            <w:pPr>
              <w:jc w:val="left"/>
              <w:rPr>
                <w:sz w:val="16"/>
                <w:szCs w:val="16"/>
              </w:rPr>
            </w:pPr>
            <w:r w:rsidRPr="00B93EE1">
              <w:rPr>
                <w:sz w:val="16"/>
                <w:szCs w:val="16"/>
              </w:rPr>
              <w:t>Weight and Measures Act, 1987</w:t>
            </w:r>
          </w:p>
        </w:tc>
      </w:tr>
      <w:tr w:rsidR="00120717" w:rsidRPr="00B93EE1" w14:paraId="07277538" w14:textId="77777777" w:rsidTr="00075C8B">
        <w:trPr>
          <w:trHeight w:val="1155"/>
        </w:trPr>
        <w:tc>
          <w:tcPr>
            <w:tcW w:w="1975" w:type="dxa"/>
            <w:shd w:val="clear" w:color="auto" w:fill="C9DED4"/>
          </w:tcPr>
          <w:p w14:paraId="26270AAD" w14:textId="77777777" w:rsidR="00120717" w:rsidRPr="00B93EE1" w:rsidRDefault="00120717" w:rsidP="00075C8B">
            <w:pPr>
              <w:jc w:val="left"/>
              <w:rPr>
                <w:sz w:val="16"/>
                <w:szCs w:val="16"/>
              </w:rPr>
            </w:pPr>
            <w:r w:rsidRPr="00B93EE1">
              <w:rPr>
                <w:b/>
                <w:bCs/>
                <w:sz w:val="16"/>
                <w:szCs w:val="16"/>
              </w:rPr>
              <w:t>Accreditation of laboratories, inspection bodies, and radiology services</w:t>
            </w:r>
          </w:p>
        </w:tc>
        <w:tc>
          <w:tcPr>
            <w:tcW w:w="1890" w:type="dxa"/>
            <w:shd w:val="clear" w:color="auto" w:fill="C9DED4"/>
          </w:tcPr>
          <w:p w14:paraId="42D15AE6" w14:textId="77777777" w:rsidR="00120717" w:rsidRPr="00B93EE1" w:rsidRDefault="00120717" w:rsidP="00075C8B">
            <w:pPr>
              <w:jc w:val="left"/>
              <w:rPr>
                <w:sz w:val="16"/>
                <w:szCs w:val="16"/>
              </w:rPr>
            </w:pPr>
            <w:r w:rsidRPr="00B93EE1">
              <w:rPr>
                <w:sz w:val="16"/>
                <w:szCs w:val="16"/>
              </w:rPr>
              <w:t>International Laboratory Accreditation Co</w:t>
            </w:r>
            <w:r w:rsidRPr="00B93EE1">
              <w:rPr>
                <w:sz w:val="16"/>
                <w:szCs w:val="16"/>
              </w:rPr>
              <w:noBreakHyphen/>
              <w:t>operation (</w:t>
            </w:r>
            <w:proofErr w:type="spellStart"/>
            <w:r w:rsidRPr="00B93EE1">
              <w:rPr>
                <w:sz w:val="16"/>
                <w:szCs w:val="16"/>
              </w:rPr>
              <w:t>ILAC</w:t>
            </w:r>
            <w:proofErr w:type="spellEnd"/>
            <w:r w:rsidRPr="00B93EE1">
              <w:rPr>
                <w:sz w:val="16"/>
                <w:szCs w:val="16"/>
              </w:rPr>
              <w:t>)</w:t>
            </w:r>
          </w:p>
        </w:tc>
        <w:tc>
          <w:tcPr>
            <w:tcW w:w="1800" w:type="dxa"/>
            <w:shd w:val="clear" w:color="auto" w:fill="C9DED4"/>
          </w:tcPr>
          <w:p w14:paraId="74991167" w14:textId="77777777" w:rsidR="00120717" w:rsidRPr="00B93EE1" w:rsidRDefault="00120717" w:rsidP="00075C8B">
            <w:pPr>
              <w:jc w:val="left"/>
              <w:rPr>
                <w:sz w:val="16"/>
                <w:szCs w:val="16"/>
              </w:rPr>
            </w:pPr>
            <w:r w:rsidRPr="00B93EE1">
              <w:rPr>
                <w:sz w:val="16"/>
                <w:szCs w:val="16"/>
              </w:rPr>
              <w:t>Asia-Pacific Accreditation Cooperation (APAC)</w:t>
            </w:r>
          </w:p>
        </w:tc>
        <w:tc>
          <w:tcPr>
            <w:tcW w:w="1672" w:type="dxa"/>
            <w:shd w:val="clear" w:color="auto" w:fill="C9DED4"/>
          </w:tcPr>
          <w:p w14:paraId="2F3D932E" w14:textId="77777777" w:rsidR="00120717" w:rsidRPr="00B93EE1" w:rsidRDefault="00120717" w:rsidP="00075C8B">
            <w:pPr>
              <w:jc w:val="left"/>
              <w:rPr>
                <w:sz w:val="16"/>
                <w:szCs w:val="16"/>
              </w:rPr>
            </w:pPr>
            <w:r w:rsidRPr="00B93EE1">
              <w:rPr>
                <w:sz w:val="16"/>
                <w:szCs w:val="16"/>
              </w:rPr>
              <w:t>International Accreditation New Zealand (</w:t>
            </w:r>
            <w:proofErr w:type="spellStart"/>
            <w:r w:rsidRPr="00B93EE1">
              <w:rPr>
                <w:sz w:val="16"/>
                <w:szCs w:val="16"/>
              </w:rPr>
              <w:t>IANZ</w:t>
            </w:r>
            <w:proofErr w:type="spellEnd"/>
            <w:r w:rsidRPr="00B93EE1">
              <w:rPr>
                <w:sz w:val="16"/>
                <w:szCs w:val="16"/>
              </w:rPr>
              <w:t>)</w:t>
            </w:r>
          </w:p>
        </w:tc>
        <w:tc>
          <w:tcPr>
            <w:tcW w:w="1843" w:type="dxa"/>
            <w:shd w:val="clear" w:color="auto" w:fill="C9DED4"/>
          </w:tcPr>
          <w:p w14:paraId="684421CD" w14:textId="77777777" w:rsidR="00120717" w:rsidRPr="00B93EE1" w:rsidRDefault="00120717" w:rsidP="00075C8B">
            <w:pPr>
              <w:jc w:val="left"/>
              <w:rPr>
                <w:sz w:val="16"/>
                <w:szCs w:val="16"/>
              </w:rPr>
            </w:pPr>
            <w:r w:rsidRPr="00B93EE1">
              <w:rPr>
                <w:sz w:val="16"/>
                <w:szCs w:val="16"/>
              </w:rPr>
              <w:t>Standards and Accreditation Act, 2015</w:t>
            </w:r>
          </w:p>
          <w:p w14:paraId="18D1AA5D" w14:textId="77777777" w:rsidR="00120717" w:rsidRPr="00B93EE1" w:rsidRDefault="00120717" w:rsidP="00075C8B">
            <w:pPr>
              <w:jc w:val="left"/>
              <w:rPr>
                <w:sz w:val="16"/>
                <w:szCs w:val="16"/>
              </w:rPr>
            </w:pPr>
          </w:p>
          <w:p w14:paraId="3E81730C" w14:textId="77777777" w:rsidR="00120717" w:rsidRPr="00B93EE1" w:rsidRDefault="00120717" w:rsidP="00075C8B">
            <w:pPr>
              <w:jc w:val="left"/>
              <w:rPr>
                <w:sz w:val="16"/>
                <w:szCs w:val="16"/>
              </w:rPr>
            </w:pPr>
            <w:r w:rsidRPr="00B93EE1">
              <w:rPr>
                <w:sz w:val="16"/>
                <w:szCs w:val="16"/>
              </w:rPr>
              <w:t>Crown Entities Act, 2004</w:t>
            </w:r>
          </w:p>
        </w:tc>
      </w:tr>
      <w:tr w:rsidR="00120717" w:rsidRPr="00B93EE1" w14:paraId="048885DF" w14:textId="77777777" w:rsidTr="00075C8B">
        <w:trPr>
          <w:trHeight w:val="2675"/>
        </w:trPr>
        <w:tc>
          <w:tcPr>
            <w:tcW w:w="1975" w:type="dxa"/>
            <w:shd w:val="clear" w:color="auto" w:fill="auto"/>
          </w:tcPr>
          <w:p w14:paraId="0FC8A15D" w14:textId="77777777" w:rsidR="00120717" w:rsidRPr="00B93EE1" w:rsidRDefault="00120717" w:rsidP="00075C8B">
            <w:pPr>
              <w:jc w:val="left"/>
              <w:rPr>
                <w:sz w:val="16"/>
                <w:szCs w:val="16"/>
              </w:rPr>
            </w:pPr>
            <w:r w:rsidRPr="00B93EE1">
              <w:rPr>
                <w:b/>
                <w:bCs/>
                <w:sz w:val="16"/>
                <w:szCs w:val="16"/>
              </w:rPr>
              <w:t>Accreditation of certification and inspection bodies</w:t>
            </w:r>
          </w:p>
        </w:tc>
        <w:tc>
          <w:tcPr>
            <w:tcW w:w="1890" w:type="dxa"/>
            <w:shd w:val="clear" w:color="auto" w:fill="auto"/>
          </w:tcPr>
          <w:p w14:paraId="1EE33338" w14:textId="77777777" w:rsidR="00120717" w:rsidRPr="00B93EE1" w:rsidRDefault="00120717" w:rsidP="00075C8B">
            <w:pPr>
              <w:jc w:val="left"/>
              <w:rPr>
                <w:sz w:val="16"/>
                <w:szCs w:val="16"/>
              </w:rPr>
            </w:pPr>
            <w:r w:rsidRPr="00B93EE1">
              <w:rPr>
                <w:sz w:val="16"/>
                <w:szCs w:val="16"/>
              </w:rPr>
              <w:t>International Accreditation Forum (</w:t>
            </w:r>
            <w:proofErr w:type="spellStart"/>
            <w:r w:rsidRPr="00B93EE1">
              <w:rPr>
                <w:sz w:val="16"/>
                <w:szCs w:val="16"/>
              </w:rPr>
              <w:t>IAF</w:t>
            </w:r>
            <w:proofErr w:type="spellEnd"/>
            <w:r w:rsidRPr="00B93EE1">
              <w:rPr>
                <w:sz w:val="16"/>
                <w:szCs w:val="16"/>
              </w:rPr>
              <w:t>)</w:t>
            </w:r>
          </w:p>
          <w:p w14:paraId="0D30BB4C" w14:textId="77777777" w:rsidR="00120717" w:rsidRPr="00B93EE1" w:rsidRDefault="00120717" w:rsidP="00075C8B">
            <w:pPr>
              <w:jc w:val="left"/>
              <w:rPr>
                <w:sz w:val="16"/>
                <w:szCs w:val="16"/>
              </w:rPr>
            </w:pPr>
          </w:p>
          <w:p w14:paraId="218DFED2" w14:textId="77777777" w:rsidR="00120717" w:rsidRPr="00B93EE1" w:rsidRDefault="00120717" w:rsidP="00075C8B">
            <w:pPr>
              <w:jc w:val="left"/>
              <w:rPr>
                <w:sz w:val="16"/>
                <w:szCs w:val="16"/>
              </w:rPr>
            </w:pPr>
            <w:proofErr w:type="spellStart"/>
            <w:r w:rsidRPr="00B93EE1">
              <w:rPr>
                <w:sz w:val="16"/>
                <w:szCs w:val="16"/>
              </w:rPr>
              <w:t>ILAC</w:t>
            </w:r>
            <w:proofErr w:type="spellEnd"/>
          </w:p>
        </w:tc>
        <w:tc>
          <w:tcPr>
            <w:tcW w:w="1800" w:type="dxa"/>
            <w:shd w:val="clear" w:color="auto" w:fill="auto"/>
          </w:tcPr>
          <w:p w14:paraId="5F757835" w14:textId="77777777" w:rsidR="00120717" w:rsidRPr="00B93EE1" w:rsidRDefault="00120717" w:rsidP="00075C8B">
            <w:pPr>
              <w:jc w:val="left"/>
              <w:rPr>
                <w:sz w:val="16"/>
                <w:szCs w:val="16"/>
              </w:rPr>
            </w:pPr>
            <w:r w:rsidRPr="00B93EE1">
              <w:rPr>
                <w:sz w:val="16"/>
                <w:szCs w:val="16"/>
              </w:rPr>
              <w:t>APAC</w:t>
            </w:r>
          </w:p>
        </w:tc>
        <w:tc>
          <w:tcPr>
            <w:tcW w:w="1672" w:type="dxa"/>
            <w:shd w:val="clear" w:color="auto" w:fill="auto"/>
          </w:tcPr>
          <w:p w14:paraId="389172C1" w14:textId="77777777" w:rsidR="00120717" w:rsidRPr="00B93EE1" w:rsidRDefault="00120717" w:rsidP="00075C8B">
            <w:pPr>
              <w:jc w:val="left"/>
              <w:rPr>
                <w:sz w:val="16"/>
                <w:szCs w:val="16"/>
              </w:rPr>
            </w:pPr>
            <w:r w:rsidRPr="00B93EE1">
              <w:rPr>
                <w:sz w:val="16"/>
                <w:szCs w:val="16"/>
              </w:rPr>
              <w:t>Joint Accreditation System for Australia and New Zealand (JAS-</w:t>
            </w:r>
            <w:proofErr w:type="spellStart"/>
            <w:r w:rsidRPr="00B93EE1">
              <w:rPr>
                <w:sz w:val="16"/>
                <w:szCs w:val="16"/>
              </w:rPr>
              <w:t>ANZ</w:t>
            </w:r>
            <w:proofErr w:type="spellEnd"/>
            <w:r w:rsidRPr="00B93EE1">
              <w:rPr>
                <w:sz w:val="16"/>
                <w:szCs w:val="16"/>
              </w:rPr>
              <w:t>)</w:t>
            </w:r>
          </w:p>
        </w:tc>
        <w:tc>
          <w:tcPr>
            <w:tcW w:w="1843" w:type="dxa"/>
            <w:shd w:val="clear" w:color="auto" w:fill="auto"/>
          </w:tcPr>
          <w:p w14:paraId="3EEC265D" w14:textId="77777777" w:rsidR="00120717" w:rsidRPr="00B93EE1" w:rsidRDefault="00120717" w:rsidP="00075C8B">
            <w:pPr>
              <w:jc w:val="left"/>
              <w:rPr>
                <w:sz w:val="16"/>
                <w:szCs w:val="16"/>
              </w:rPr>
            </w:pPr>
            <w:r w:rsidRPr="00B93EE1">
              <w:rPr>
                <w:sz w:val="16"/>
                <w:szCs w:val="16"/>
              </w:rPr>
              <w:t>Agreement between New Zealand and Australia concerning the Establishment of the Governing Board, Technical Advisory Council and Accreditation Review Board of the Joint Accreditation System of Australia and New Zealand, 1998</w:t>
            </w:r>
          </w:p>
        </w:tc>
      </w:tr>
    </w:tbl>
    <w:p w14:paraId="04846573" w14:textId="227D97F3" w:rsidR="00120717" w:rsidRDefault="00120717" w:rsidP="006B1D61">
      <w:pPr>
        <w:pStyle w:val="NoteText"/>
        <w:spacing w:before="120"/>
      </w:pPr>
      <w:r w:rsidRPr="00B93EE1">
        <w:t>Source:</w:t>
      </w:r>
      <w:r w:rsidRPr="00B93EE1">
        <w:tab/>
        <w:t>Information provided by the authorities.</w:t>
      </w:r>
    </w:p>
    <w:p w14:paraId="473B033E" w14:textId="78494219" w:rsidR="003029D5" w:rsidRDefault="003029D5" w:rsidP="00F64A35">
      <w:pPr>
        <w:pStyle w:val="NoteText"/>
      </w:pPr>
      <w:r>
        <w:br w:type="page"/>
      </w:r>
    </w:p>
    <w:p w14:paraId="0E86F1AC" w14:textId="77777777" w:rsidR="00120717" w:rsidRPr="00B93EE1" w:rsidRDefault="00120717" w:rsidP="005240DA">
      <w:pPr>
        <w:spacing w:after="200" w:line="276" w:lineRule="auto"/>
        <w:jc w:val="left"/>
        <w:rPr>
          <w:sz w:val="16"/>
        </w:rPr>
        <w:sectPr w:rsidR="00120717" w:rsidRPr="00B93EE1" w:rsidSect="003D7746">
          <w:headerReference w:type="even" r:id="rId47"/>
          <w:headerReference w:type="default" r:id="rId48"/>
          <w:headerReference w:type="first" r:id="rId49"/>
          <w:footnotePr>
            <w:numRestart w:val="eachSect"/>
          </w:footnotePr>
          <w:pgSz w:w="11906" w:h="16838" w:code="9"/>
          <w:pgMar w:top="1701" w:right="1440" w:bottom="1440" w:left="1440" w:header="720" w:footer="720" w:gutter="0"/>
          <w:cols w:space="720"/>
          <w:docGrid w:linePitch="360"/>
        </w:sectPr>
      </w:pPr>
    </w:p>
    <w:p w14:paraId="69F215DE" w14:textId="770AE808" w:rsidR="00120717" w:rsidRPr="00B93EE1" w:rsidRDefault="00DE713E" w:rsidP="00DE713E">
      <w:pPr>
        <w:pStyle w:val="Caption"/>
      </w:pPr>
      <w:bookmarkStart w:id="270" w:name="_Toc97721052"/>
      <w:bookmarkStart w:id="271" w:name="_Hlk97566912"/>
      <w:r>
        <w:lastRenderedPageBreak/>
        <w:t>Table A4.</w:t>
      </w:r>
      <w:r w:rsidR="0012793B">
        <w:fldChar w:fldCharType="begin"/>
      </w:r>
      <w:r w:rsidR="0012793B">
        <w:instrText xml:space="preserve"> SEQ Table_A4. \* ARABIC </w:instrText>
      </w:r>
      <w:r w:rsidR="0012793B">
        <w:fldChar w:fldCharType="separate"/>
      </w:r>
      <w:r>
        <w:rPr>
          <w:noProof/>
        </w:rPr>
        <w:t>1</w:t>
      </w:r>
      <w:r w:rsidR="0012793B">
        <w:rPr>
          <w:noProof/>
        </w:rPr>
        <w:fldChar w:fldCharType="end"/>
      </w:r>
      <w:r w:rsidR="00120717" w:rsidRPr="00B93EE1">
        <w:rPr>
          <w:rFonts w:eastAsia="Calibri"/>
        </w:rPr>
        <w:t xml:space="preserve"> </w:t>
      </w:r>
      <w:r w:rsidR="00120717" w:rsidRPr="00B93EE1">
        <w:t>New Zealand air transport agreements, 2021</w:t>
      </w:r>
      <w:bookmarkEnd w:id="270"/>
    </w:p>
    <w:tbl>
      <w:tblPr>
        <w:tblStyle w:val="WTOTable11"/>
        <w:tblW w:w="5000" w:type="pct"/>
        <w:tblInd w:w="0" w:type="dxa"/>
        <w:tblLayout w:type="fixed"/>
        <w:tblLook w:val="04A0" w:firstRow="1" w:lastRow="0" w:firstColumn="1" w:lastColumn="0" w:noHBand="0" w:noVBand="1"/>
      </w:tblPr>
      <w:tblGrid>
        <w:gridCol w:w="1837"/>
        <w:gridCol w:w="1134"/>
        <w:gridCol w:w="2126"/>
        <w:gridCol w:w="1845"/>
        <w:gridCol w:w="2074"/>
      </w:tblGrid>
      <w:tr w:rsidR="00E16269" w:rsidRPr="00B93EE1" w14:paraId="4DB03CD5" w14:textId="77777777" w:rsidTr="006D1F8B">
        <w:trPr>
          <w:cnfStyle w:val="100000000000" w:firstRow="1" w:lastRow="0" w:firstColumn="0" w:lastColumn="0" w:oddVBand="0" w:evenVBand="0" w:oddHBand="0" w:evenHBand="0" w:firstRowFirstColumn="0" w:firstRowLastColumn="0" w:lastRowFirstColumn="0" w:lastRowLastColumn="0"/>
          <w:tblHeader/>
        </w:trPr>
        <w:tc>
          <w:tcPr>
            <w:tcW w:w="1019" w:type="pct"/>
            <w:noWrap/>
            <w:vAlign w:val="center"/>
            <w:hideMark/>
          </w:tcPr>
          <w:p w14:paraId="0AA4EF7F" w14:textId="77777777" w:rsidR="00E16269" w:rsidRPr="00B93EE1" w:rsidRDefault="00E16269" w:rsidP="006D1F8B">
            <w:pPr>
              <w:jc w:val="left"/>
              <w:rPr>
                <w:bCs/>
                <w:sz w:val="14"/>
                <w:szCs w:val="14"/>
              </w:rPr>
            </w:pPr>
            <w:r w:rsidRPr="00B93EE1">
              <w:rPr>
                <w:bCs/>
                <w:sz w:val="14"/>
                <w:szCs w:val="14"/>
              </w:rPr>
              <w:t>Partner</w:t>
            </w:r>
          </w:p>
        </w:tc>
        <w:tc>
          <w:tcPr>
            <w:tcW w:w="629" w:type="pct"/>
            <w:noWrap/>
            <w:vAlign w:val="center"/>
            <w:hideMark/>
          </w:tcPr>
          <w:p w14:paraId="748482D9" w14:textId="77777777" w:rsidR="00E16269" w:rsidRPr="00B93EE1" w:rsidRDefault="00E16269" w:rsidP="006D1F8B">
            <w:pPr>
              <w:jc w:val="left"/>
              <w:rPr>
                <w:bCs/>
                <w:sz w:val="14"/>
                <w:szCs w:val="14"/>
              </w:rPr>
            </w:pPr>
            <w:r w:rsidRPr="00B93EE1">
              <w:rPr>
                <w:bCs/>
                <w:sz w:val="14"/>
                <w:szCs w:val="14"/>
              </w:rPr>
              <w:t>Note</w:t>
            </w:r>
          </w:p>
        </w:tc>
        <w:tc>
          <w:tcPr>
            <w:tcW w:w="1179" w:type="pct"/>
            <w:noWrap/>
            <w:vAlign w:val="center"/>
            <w:hideMark/>
          </w:tcPr>
          <w:p w14:paraId="1A9CA304" w14:textId="77777777" w:rsidR="00E16269" w:rsidRPr="00B93EE1" w:rsidRDefault="00E16269" w:rsidP="006D1F8B">
            <w:pPr>
              <w:jc w:val="left"/>
              <w:rPr>
                <w:bCs/>
                <w:sz w:val="14"/>
                <w:szCs w:val="14"/>
              </w:rPr>
            </w:pPr>
            <w:r w:rsidRPr="00B93EE1">
              <w:rPr>
                <w:bCs/>
                <w:sz w:val="14"/>
                <w:szCs w:val="14"/>
              </w:rPr>
              <w:t>Traffic rights</w:t>
            </w:r>
          </w:p>
        </w:tc>
        <w:tc>
          <w:tcPr>
            <w:tcW w:w="1023" w:type="pct"/>
            <w:vAlign w:val="center"/>
            <w:hideMark/>
          </w:tcPr>
          <w:p w14:paraId="06267E63" w14:textId="77777777" w:rsidR="00E16269" w:rsidRPr="00B93EE1" w:rsidRDefault="00E16269" w:rsidP="006D1F8B">
            <w:pPr>
              <w:jc w:val="left"/>
              <w:rPr>
                <w:bCs/>
                <w:sz w:val="14"/>
                <w:szCs w:val="14"/>
              </w:rPr>
            </w:pPr>
            <w:r w:rsidRPr="00B93EE1">
              <w:rPr>
                <w:bCs/>
                <w:sz w:val="14"/>
                <w:szCs w:val="14"/>
              </w:rPr>
              <w:t>Code share</w:t>
            </w:r>
          </w:p>
        </w:tc>
        <w:tc>
          <w:tcPr>
            <w:tcW w:w="1151" w:type="pct"/>
            <w:noWrap/>
            <w:vAlign w:val="center"/>
            <w:hideMark/>
          </w:tcPr>
          <w:p w14:paraId="0DCB5CB5" w14:textId="77777777" w:rsidR="00E16269" w:rsidRPr="00B93EE1" w:rsidRDefault="00E16269" w:rsidP="006D1F8B">
            <w:pPr>
              <w:jc w:val="left"/>
              <w:rPr>
                <w:bCs/>
                <w:sz w:val="14"/>
                <w:szCs w:val="14"/>
              </w:rPr>
            </w:pPr>
            <w:r w:rsidRPr="00B93EE1">
              <w:rPr>
                <w:bCs/>
                <w:sz w:val="14"/>
                <w:szCs w:val="14"/>
              </w:rPr>
              <w:t>Ownership</w:t>
            </w:r>
          </w:p>
        </w:tc>
      </w:tr>
      <w:tr w:rsidR="00E16269" w:rsidRPr="00B93EE1" w14:paraId="620ADA28" w14:textId="77777777" w:rsidTr="006D1F8B">
        <w:tc>
          <w:tcPr>
            <w:tcW w:w="1019" w:type="pct"/>
            <w:noWrap/>
            <w:hideMark/>
          </w:tcPr>
          <w:p w14:paraId="7D1A903E" w14:textId="77777777" w:rsidR="00E16269" w:rsidRPr="00B93EE1" w:rsidRDefault="00E16269" w:rsidP="006D1F8B">
            <w:pPr>
              <w:jc w:val="left"/>
              <w:rPr>
                <w:b/>
                <w:bCs/>
                <w:sz w:val="14"/>
                <w:szCs w:val="14"/>
              </w:rPr>
            </w:pPr>
            <w:r w:rsidRPr="00B93EE1">
              <w:rPr>
                <w:b/>
                <w:bCs/>
                <w:sz w:val="14"/>
                <w:szCs w:val="14"/>
              </w:rPr>
              <w:t>Argentina</w:t>
            </w:r>
          </w:p>
        </w:tc>
        <w:tc>
          <w:tcPr>
            <w:tcW w:w="629" w:type="pct"/>
            <w:noWrap/>
            <w:hideMark/>
          </w:tcPr>
          <w:p w14:paraId="7F1C84B1" w14:textId="77777777" w:rsidR="00E16269" w:rsidRPr="00B93EE1" w:rsidRDefault="00E16269" w:rsidP="006D1F8B">
            <w:pPr>
              <w:jc w:val="left"/>
              <w:rPr>
                <w:b/>
                <w:bCs/>
                <w:sz w:val="14"/>
                <w:szCs w:val="14"/>
              </w:rPr>
            </w:pPr>
          </w:p>
        </w:tc>
        <w:tc>
          <w:tcPr>
            <w:tcW w:w="1179" w:type="pct"/>
            <w:noWrap/>
            <w:hideMark/>
          </w:tcPr>
          <w:p w14:paraId="041B8958" w14:textId="77777777" w:rsidR="00E16269" w:rsidRPr="00B93EE1" w:rsidRDefault="00E16269" w:rsidP="006D1F8B">
            <w:pPr>
              <w:jc w:val="left"/>
              <w:rPr>
                <w:sz w:val="14"/>
                <w:szCs w:val="14"/>
              </w:rPr>
            </w:pPr>
            <w:r w:rsidRPr="00B93EE1">
              <w:rPr>
                <w:sz w:val="14"/>
                <w:szCs w:val="14"/>
              </w:rPr>
              <w:t>1-6</w:t>
            </w:r>
          </w:p>
        </w:tc>
        <w:tc>
          <w:tcPr>
            <w:tcW w:w="1023" w:type="pct"/>
            <w:hideMark/>
          </w:tcPr>
          <w:p w14:paraId="2F709F01"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0E90BF62" w14:textId="77777777" w:rsidR="00E16269" w:rsidRPr="00B93EE1" w:rsidRDefault="00E16269" w:rsidP="006D1F8B">
            <w:pPr>
              <w:jc w:val="left"/>
              <w:rPr>
                <w:sz w:val="14"/>
                <w:szCs w:val="14"/>
              </w:rPr>
            </w:pPr>
            <w:r w:rsidRPr="00B93EE1">
              <w:rPr>
                <w:sz w:val="14"/>
                <w:szCs w:val="14"/>
              </w:rPr>
              <w:t>SO and EC</w:t>
            </w:r>
          </w:p>
        </w:tc>
      </w:tr>
      <w:tr w:rsidR="00E16269" w:rsidRPr="00B93EE1" w14:paraId="31EDC998"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55601C47" w14:textId="77777777" w:rsidR="00E16269" w:rsidRPr="00B93EE1" w:rsidRDefault="00E16269" w:rsidP="006D1F8B">
            <w:pPr>
              <w:jc w:val="left"/>
              <w:rPr>
                <w:b/>
                <w:bCs/>
                <w:sz w:val="14"/>
                <w:szCs w:val="14"/>
              </w:rPr>
            </w:pPr>
            <w:r w:rsidRPr="00B93EE1">
              <w:rPr>
                <w:b/>
                <w:bCs/>
                <w:sz w:val="14"/>
                <w:szCs w:val="14"/>
              </w:rPr>
              <w:t>Australia</w:t>
            </w:r>
          </w:p>
        </w:tc>
        <w:tc>
          <w:tcPr>
            <w:tcW w:w="629" w:type="pct"/>
            <w:noWrap/>
            <w:hideMark/>
          </w:tcPr>
          <w:p w14:paraId="6329B146" w14:textId="77777777" w:rsidR="00E16269" w:rsidRPr="00B93EE1" w:rsidRDefault="00E16269" w:rsidP="006D1F8B">
            <w:pPr>
              <w:jc w:val="left"/>
              <w:rPr>
                <w:b/>
                <w:bCs/>
                <w:sz w:val="14"/>
                <w:szCs w:val="14"/>
              </w:rPr>
            </w:pPr>
          </w:p>
        </w:tc>
        <w:tc>
          <w:tcPr>
            <w:tcW w:w="1179" w:type="pct"/>
            <w:noWrap/>
            <w:hideMark/>
          </w:tcPr>
          <w:p w14:paraId="5182B055" w14:textId="77777777" w:rsidR="00E16269" w:rsidRPr="00B93EE1" w:rsidRDefault="00E16269" w:rsidP="006D1F8B">
            <w:pPr>
              <w:jc w:val="left"/>
              <w:rPr>
                <w:sz w:val="14"/>
                <w:szCs w:val="14"/>
              </w:rPr>
            </w:pPr>
            <w:r w:rsidRPr="00B93EE1">
              <w:rPr>
                <w:sz w:val="14"/>
                <w:szCs w:val="14"/>
              </w:rPr>
              <w:t>1-6 + 7f cargo and 8</w:t>
            </w:r>
          </w:p>
        </w:tc>
        <w:tc>
          <w:tcPr>
            <w:tcW w:w="1023" w:type="pct"/>
            <w:hideMark/>
          </w:tcPr>
          <w:p w14:paraId="1DB387EB"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0B721073" w14:textId="77777777" w:rsidR="00E16269" w:rsidRPr="00B93EE1" w:rsidRDefault="00E16269" w:rsidP="006D1F8B">
            <w:pPr>
              <w:jc w:val="left"/>
              <w:rPr>
                <w:sz w:val="14"/>
                <w:szCs w:val="14"/>
              </w:rPr>
            </w:pPr>
            <w:bookmarkStart w:id="272" w:name="_Hlk97712558"/>
            <w:r w:rsidRPr="00B93EE1">
              <w:rPr>
                <w:sz w:val="14"/>
                <w:szCs w:val="14"/>
              </w:rPr>
              <w:t>PI, PPB and EC</w:t>
            </w:r>
            <w:bookmarkEnd w:id="272"/>
          </w:p>
        </w:tc>
      </w:tr>
      <w:tr w:rsidR="00E16269" w:rsidRPr="00B93EE1" w14:paraId="15F105B2" w14:textId="77777777" w:rsidTr="006D1F8B">
        <w:tc>
          <w:tcPr>
            <w:tcW w:w="1019" w:type="pct"/>
            <w:noWrap/>
            <w:hideMark/>
          </w:tcPr>
          <w:p w14:paraId="0A5BA071" w14:textId="77777777" w:rsidR="00E16269" w:rsidRPr="00B93EE1" w:rsidRDefault="00E16269" w:rsidP="006D1F8B">
            <w:pPr>
              <w:jc w:val="left"/>
              <w:rPr>
                <w:b/>
                <w:bCs/>
                <w:sz w:val="14"/>
                <w:szCs w:val="14"/>
              </w:rPr>
            </w:pPr>
            <w:r w:rsidRPr="00B93EE1">
              <w:rPr>
                <w:b/>
                <w:bCs/>
                <w:sz w:val="14"/>
                <w:szCs w:val="14"/>
              </w:rPr>
              <w:t>Austria</w:t>
            </w:r>
          </w:p>
        </w:tc>
        <w:tc>
          <w:tcPr>
            <w:tcW w:w="629" w:type="pct"/>
            <w:hideMark/>
          </w:tcPr>
          <w:p w14:paraId="7826C8D1" w14:textId="77777777" w:rsidR="00E16269" w:rsidRPr="00B93EE1" w:rsidRDefault="00E16269" w:rsidP="006D1F8B">
            <w:pPr>
              <w:jc w:val="left"/>
              <w:rPr>
                <w:b/>
                <w:bCs/>
                <w:sz w:val="14"/>
                <w:szCs w:val="14"/>
              </w:rPr>
            </w:pPr>
          </w:p>
        </w:tc>
        <w:tc>
          <w:tcPr>
            <w:tcW w:w="1179" w:type="pct"/>
            <w:noWrap/>
            <w:hideMark/>
          </w:tcPr>
          <w:p w14:paraId="02F2FBDB" w14:textId="77777777" w:rsidR="00E16269" w:rsidRPr="00B93EE1" w:rsidRDefault="00E16269" w:rsidP="006D1F8B">
            <w:pPr>
              <w:jc w:val="left"/>
              <w:rPr>
                <w:sz w:val="14"/>
                <w:szCs w:val="14"/>
              </w:rPr>
            </w:pPr>
            <w:r w:rsidRPr="00B93EE1">
              <w:rPr>
                <w:sz w:val="14"/>
                <w:szCs w:val="14"/>
              </w:rPr>
              <w:t>1-5</w:t>
            </w:r>
          </w:p>
        </w:tc>
        <w:tc>
          <w:tcPr>
            <w:tcW w:w="1023" w:type="pct"/>
            <w:hideMark/>
          </w:tcPr>
          <w:p w14:paraId="3EB4B2D6"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353D9104" w14:textId="77777777" w:rsidR="00E16269" w:rsidRPr="00B93EE1" w:rsidRDefault="00E16269" w:rsidP="006D1F8B">
            <w:pPr>
              <w:jc w:val="left"/>
              <w:rPr>
                <w:sz w:val="14"/>
                <w:szCs w:val="14"/>
              </w:rPr>
            </w:pPr>
            <w:r w:rsidRPr="00B93EE1">
              <w:rPr>
                <w:sz w:val="14"/>
                <w:szCs w:val="14"/>
              </w:rPr>
              <w:t>PI, PPB and EC</w:t>
            </w:r>
          </w:p>
        </w:tc>
      </w:tr>
      <w:tr w:rsidR="00E16269" w:rsidRPr="00B93EE1" w14:paraId="17CCA8BE"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5A743CD4" w14:textId="77777777" w:rsidR="00E16269" w:rsidRPr="00B93EE1" w:rsidRDefault="00E16269" w:rsidP="006D1F8B">
            <w:pPr>
              <w:jc w:val="left"/>
              <w:rPr>
                <w:b/>
                <w:bCs/>
                <w:sz w:val="14"/>
                <w:szCs w:val="14"/>
              </w:rPr>
            </w:pPr>
            <w:r w:rsidRPr="00B93EE1">
              <w:rPr>
                <w:b/>
                <w:bCs/>
                <w:sz w:val="14"/>
                <w:szCs w:val="14"/>
              </w:rPr>
              <w:t>Belgium</w:t>
            </w:r>
          </w:p>
        </w:tc>
        <w:tc>
          <w:tcPr>
            <w:tcW w:w="629" w:type="pct"/>
            <w:noWrap/>
            <w:hideMark/>
          </w:tcPr>
          <w:p w14:paraId="384E6F93" w14:textId="77777777" w:rsidR="00E16269" w:rsidRPr="00B93EE1" w:rsidRDefault="00E16269" w:rsidP="006D1F8B">
            <w:pPr>
              <w:jc w:val="left"/>
              <w:rPr>
                <w:b/>
                <w:bCs/>
                <w:sz w:val="14"/>
                <w:szCs w:val="14"/>
              </w:rPr>
            </w:pPr>
          </w:p>
        </w:tc>
        <w:tc>
          <w:tcPr>
            <w:tcW w:w="1179" w:type="pct"/>
            <w:noWrap/>
            <w:hideMark/>
          </w:tcPr>
          <w:p w14:paraId="341B3D15" w14:textId="77777777" w:rsidR="00E16269" w:rsidRPr="00B93EE1" w:rsidRDefault="00E16269" w:rsidP="006D1F8B">
            <w:pPr>
              <w:jc w:val="left"/>
              <w:rPr>
                <w:sz w:val="14"/>
                <w:szCs w:val="14"/>
              </w:rPr>
            </w:pPr>
            <w:r w:rsidRPr="00B93EE1">
              <w:rPr>
                <w:sz w:val="14"/>
                <w:szCs w:val="14"/>
              </w:rPr>
              <w:t>1-4</w:t>
            </w:r>
          </w:p>
        </w:tc>
        <w:tc>
          <w:tcPr>
            <w:tcW w:w="1023" w:type="pct"/>
            <w:hideMark/>
          </w:tcPr>
          <w:p w14:paraId="140330F0"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597926A7" w14:textId="77777777" w:rsidR="00E16269" w:rsidRPr="00B93EE1" w:rsidRDefault="00E16269" w:rsidP="006D1F8B">
            <w:pPr>
              <w:jc w:val="left"/>
              <w:rPr>
                <w:sz w:val="14"/>
                <w:szCs w:val="14"/>
              </w:rPr>
            </w:pPr>
            <w:r w:rsidRPr="00B93EE1">
              <w:rPr>
                <w:sz w:val="14"/>
                <w:szCs w:val="14"/>
              </w:rPr>
              <w:t>PI, PPB and EC</w:t>
            </w:r>
          </w:p>
        </w:tc>
      </w:tr>
      <w:tr w:rsidR="00E16269" w:rsidRPr="00B93EE1" w14:paraId="08E5E70D" w14:textId="77777777" w:rsidTr="006D1F8B">
        <w:tc>
          <w:tcPr>
            <w:tcW w:w="1019" w:type="pct"/>
            <w:noWrap/>
            <w:hideMark/>
          </w:tcPr>
          <w:p w14:paraId="21722CDC" w14:textId="77777777" w:rsidR="00E16269" w:rsidRPr="00B93EE1" w:rsidRDefault="00E16269" w:rsidP="006D1F8B">
            <w:pPr>
              <w:jc w:val="left"/>
              <w:rPr>
                <w:b/>
                <w:bCs/>
                <w:sz w:val="14"/>
                <w:szCs w:val="14"/>
              </w:rPr>
            </w:pPr>
            <w:r w:rsidRPr="00B93EE1">
              <w:rPr>
                <w:b/>
                <w:bCs/>
                <w:sz w:val="14"/>
                <w:szCs w:val="14"/>
              </w:rPr>
              <w:t>Brazil</w:t>
            </w:r>
          </w:p>
        </w:tc>
        <w:tc>
          <w:tcPr>
            <w:tcW w:w="629" w:type="pct"/>
            <w:noWrap/>
            <w:hideMark/>
          </w:tcPr>
          <w:p w14:paraId="342FB15D" w14:textId="77777777" w:rsidR="00E16269" w:rsidRPr="00B93EE1" w:rsidRDefault="00E16269" w:rsidP="006D1F8B">
            <w:pPr>
              <w:jc w:val="left"/>
              <w:rPr>
                <w:b/>
                <w:bCs/>
                <w:sz w:val="14"/>
                <w:szCs w:val="14"/>
              </w:rPr>
            </w:pPr>
          </w:p>
        </w:tc>
        <w:tc>
          <w:tcPr>
            <w:tcW w:w="1179" w:type="pct"/>
            <w:noWrap/>
            <w:hideMark/>
          </w:tcPr>
          <w:p w14:paraId="24B41487" w14:textId="77777777" w:rsidR="00E16269" w:rsidRPr="00B93EE1" w:rsidRDefault="00E16269" w:rsidP="006D1F8B">
            <w:pPr>
              <w:jc w:val="left"/>
              <w:rPr>
                <w:sz w:val="14"/>
                <w:szCs w:val="14"/>
              </w:rPr>
            </w:pPr>
            <w:r w:rsidRPr="00B93EE1">
              <w:rPr>
                <w:sz w:val="14"/>
                <w:szCs w:val="14"/>
              </w:rPr>
              <w:t>1-6</w:t>
            </w:r>
          </w:p>
        </w:tc>
        <w:tc>
          <w:tcPr>
            <w:tcW w:w="1023" w:type="pct"/>
            <w:hideMark/>
          </w:tcPr>
          <w:p w14:paraId="2B844D6B"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0D9ADB90" w14:textId="77777777" w:rsidR="00E16269" w:rsidRPr="00B93EE1" w:rsidRDefault="00E16269" w:rsidP="006D1F8B">
            <w:pPr>
              <w:jc w:val="left"/>
              <w:rPr>
                <w:sz w:val="14"/>
                <w:szCs w:val="14"/>
              </w:rPr>
            </w:pPr>
            <w:r w:rsidRPr="00B93EE1">
              <w:rPr>
                <w:sz w:val="14"/>
                <w:szCs w:val="14"/>
              </w:rPr>
              <w:t>PI, PPB and EC</w:t>
            </w:r>
          </w:p>
        </w:tc>
      </w:tr>
      <w:tr w:rsidR="00E16269" w:rsidRPr="00B93EE1" w14:paraId="32EAA3E5"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76DD98FD" w14:textId="77777777" w:rsidR="00E16269" w:rsidRPr="00B93EE1" w:rsidRDefault="00E16269" w:rsidP="006D1F8B">
            <w:pPr>
              <w:jc w:val="left"/>
              <w:rPr>
                <w:b/>
                <w:bCs/>
                <w:sz w:val="14"/>
                <w:szCs w:val="14"/>
              </w:rPr>
            </w:pPr>
            <w:r w:rsidRPr="00B93EE1">
              <w:rPr>
                <w:b/>
                <w:bCs/>
                <w:sz w:val="14"/>
                <w:szCs w:val="14"/>
              </w:rPr>
              <w:t>Brunei Darussalam</w:t>
            </w:r>
          </w:p>
        </w:tc>
        <w:tc>
          <w:tcPr>
            <w:tcW w:w="629" w:type="pct"/>
            <w:noWrap/>
            <w:hideMark/>
          </w:tcPr>
          <w:p w14:paraId="2E4315C0" w14:textId="77777777" w:rsidR="00E16269" w:rsidRPr="00B93EE1" w:rsidRDefault="00E16269" w:rsidP="006D1F8B">
            <w:pPr>
              <w:jc w:val="left"/>
              <w:rPr>
                <w:sz w:val="14"/>
                <w:szCs w:val="14"/>
              </w:rPr>
            </w:pPr>
            <w:r w:rsidRPr="00B93EE1">
              <w:rPr>
                <w:sz w:val="14"/>
                <w:szCs w:val="14"/>
              </w:rPr>
              <w:t xml:space="preserve">(See </w:t>
            </w:r>
            <w:proofErr w:type="spellStart"/>
            <w:r w:rsidRPr="00B93EE1">
              <w:rPr>
                <w:sz w:val="14"/>
                <w:szCs w:val="14"/>
              </w:rPr>
              <w:t>MALIAT</w:t>
            </w:r>
            <w:proofErr w:type="spellEnd"/>
            <w:r w:rsidRPr="00B93EE1">
              <w:rPr>
                <w:sz w:val="14"/>
                <w:szCs w:val="14"/>
              </w:rPr>
              <w:t xml:space="preserve"> and </w:t>
            </w:r>
            <w:proofErr w:type="spellStart"/>
            <w:r w:rsidRPr="00B93EE1">
              <w:rPr>
                <w:sz w:val="14"/>
                <w:szCs w:val="14"/>
              </w:rPr>
              <w:t>MALIAT</w:t>
            </w:r>
            <w:proofErr w:type="spellEnd"/>
            <w:r w:rsidRPr="00B93EE1">
              <w:rPr>
                <w:sz w:val="14"/>
                <w:szCs w:val="14"/>
              </w:rPr>
              <w:t xml:space="preserve"> Protocol)</w:t>
            </w:r>
          </w:p>
        </w:tc>
        <w:tc>
          <w:tcPr>
            <w:tcW w:w="1179" w:type="pct"/>
            <w:noWrap/>
            <w:hideMark/>
          </w:tcPr>
          <w:p w14:paraId="5EA639B2" w14:textId="77777777" w:rsidR="00E16269" w:rsidRPr="00B93EE1" w:rsidRDefault="00E16269" w:rsidP="006D1F8B">
            <w:pPr>
              <w:jc w:val="left"/>
              <w:rPr>
                <w:sz w:val="14"/>
                <w:szCs w:val="14"/>
              </w:rPr>
            </w:pPr>
          </w:p>
        </w:tc>
        <w:tc>
          <w:tcPr>
            <w:tcW w:w="1023" w:type="pct"/>
            <w:hideMark/>
          </w:tcPr>
          <w:p w14:paraId="2A003E6D" w14:textId="77777777" w:rsidR="00E16269" w:rsidRPr="00B93EE1" w:rsidRDefault="00E16269" w:rsidP="006D1F8B">
            <w:pPr>
              <w:jc w:val="left"/>
              <w:rPr>
                <w:sz w:val="14"/>
                <w:szCs w:val="14"/>
              </w:rPr>
            </w:pPr>
          </w:p>
        </w:tc>
        <w:tc>
          <w:tcPr>
            <w:tcW w:w="1151" w:type="pct"/>
            <w:noWrap/>
            <w:hideMark/>
          </w:tcPr>
          <w:p w14:paraId="6667B07D" w14:textId="77777777" w:rsidR="00E16269" w:rsidRPr="00B93EE1" w:rsidRDefault="00E16269" w:rsidP="006D1F8B">
            <w:pPr>
              <w:jc w:val="left"/>
              <w:rPr>
                <w:sz w:val="14"/>
                <w:szCs w:val="14"/>
              </w:rPr>
            </w:pPr>
          </w:p>
        </w:tc>
      </w:tr>
      <w:tr w:rsidR="00E16269" w:rsidRPr="00B93EE1" w14:paraId="15FDAB27" w14:textId="77777777" w:rsidTr="006D1F8B">
        <w:tc>
          <w:tcPr>
            <w:tcW w:w="1019" w:type="pct"/>
            <w:noWrap/>
            <w:hideMark/>
          </w:tcPr>
          <w:p w14:paraId="6E9E6506" w14:textId="77777777" w:rsidR="00E16269" w:rsidRPr="00B93EE1" w:rsidRDefault="00E16269" w:rsidP="006D1F8B">
            <w:pPr>
              <w:jc w:val="left"/>
              <w:rPr>
                <w:b/>
                <w:bCs/>
                <w:sz w:val="14"/>
                <w:szCs w:val="14"/>
              </w:rPr>
            </w:pPr>
            <w:r w:rsidRPr="00B93EE1">
              <w:rPr>
                <w:b/>
                <w:bCs/>
                <w:sz w:val="14"/>
                <w:szCs w:val="14"/>
              </w:rPr>
              <w:t>Cambodia</w:t>
            </w:r>
          </w:p>
        </w:tc>
        <w:tc>
          <w:tcPr>
            <w:tcW w:w="629" w:type="pct"/>
            <w:noWrap/>
            <w:hideMark/>
          </w:tcPr>
          <w:p w14:paraId="4D969968" w14:textId="77777777" w:rsidR="00E16269" w:rsidRPr="00B93EE1" w:rsidRDefault="00E16269" w:rsidP="006D1F8B">
            <w:pPr>
              <w:jc w:val="left"/>
              <w:rPr>
                <w:b/>
                <w:bCs/>
                <w:sz w:val="14"/>
                <w:szCs w:val="14"/>
              </w:rPr>
            </w:pPr>
          </w:p>
        </w:tc>
        <w:tc>
          <w:tcPr>
            <w:tcW w:w="1179" w:type="pct"/>
            <w:noWrap/>
            <w:hideMark/>
          </w:tcPr>
          <w:p w14:paraId="2587F8EF" w14:textId="77777777" w:rsidR="00E16269" w:rsidRPr="00B93EE1" w:rsidRDefault="00E16269" w:rsidP="006D1F8B">
            <w:pPr>
              <w:jc w:val="left"/>
              <w:rPr>
                <w:sz w:val="14"/>
                <w:szCs w:val="14"/>
              </w:rPr>
            </w:pPr>
            <w:r w:rsidRPr="00B93EE1">
              <w:rPr>
                <w:sz w:val="14"/>
                <w:szCs w:val="14"/>
              </w:rPr>
              <w:t>1-5</w:t>
            </w:r>
          </w:p>
        </w:tc>
        <w:tc>
          <w:tcPr>
            <w:tcW w:w="1023" w:type="pct"/>
            <w:hideMark/>
          </w:tcPr>
          <w:p w14:paraId="6C65AD9B"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13C209C6" w14:textId="77777777" w:rsidR="00E16269" w:rsidRPr="00B93EE1" w:rsidRDefault="00E16269" w:rsidP="006D1F8B">
            <w:pPr>
              <w:jc w:val="left"/>
              <w:rPr>
                <w:sz w:val="14"/>
                <w:szCs w:val="14"/>
              </w:rPr>
            </w:pPr>
            <w:r w:rsidRPr="00B93EE1">
              <w:rPr>
                <w:sz w:val="14"/>
                <w:szCs w:val="14"/>
              </w:rPr>
              <w:t>PI, PPB and ERC</w:t>
            </w:r>
          </w:p>
        </w:tc>
      </w:tr>
      <w:tr w:rsidR="00E16269" w:rsidRPr="00B93EE1" w14:paraId="7683043F"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3F9BAFD0" w14:textId="77777777" w:rsidR="00E16269" w:rsidRPr="00B93EE1" w:rsidRDefault="00E16269" w:rsidP="006D1F8B">
            <w:pPr>
              <w:jc w:val="left"/>
              <w:rPr>
                <w:b/>
                <w:bCs/>
                <w:sz w:val="14"/>
                <w:szCs w:val="14"/>
              </w:rPr>
            </w:pPr>
            <w:r w:rsidRPr="00B93EE1">
              <w:rPr>
                <w:b/>
                <w:bCs/>
                <w:sz w:val="14"/>
                <w:szCs w:val="14"/>
              </w:rPr>
              <w:t>Canada</w:t>
            </w:r>
          </w:p>
        </w:tc>
        <w:tc>
          <w:tcPr>
            <w:tcW w:w="629" w:type="pct"/>
            <w:noWrap/>
            <w:hideMark/>
          </w:tcPr>
          <w:p w14:paraId="52B4A4B0" w14:textId="77777777" w:rsidR="00E16269" w:rsidRPr="00B93EE1" w:rsidRDefault="00E16269" w:rsidP="006D1F8B">
            <w:pPr>
              <w:jc w:val="left"/>
              <w:rPr>
                <w:b/>
                <w:bCs/>
                <w:sz w:val="14"/>
                <w:szCs w:val="14"/>
              </w:rPr>
            </w:pPr>
          </w:p>
        </w:tc>
        <w:tc>
          <w:tcPr>
            <w:tcW w:w="1179" w:type="pct"/>
            <w:noWrap/>
            <w:hideMark/>
          </w:tcPr>
          <w:p w14:paraId="771EE3E1" w14:textId="77777777" w:rsidR="00E16269" w:rsidRPr="00B93EE1" w:rsidRDefault="00E16269" w:rsidP="006D1F8B">
            <w:pPr>
              <w:jc w:val="left"/>
              <w:rPr>
                <w:sz w:val="14"/>
                <w:szCs w:val="14"/>
              </w:rPr>
            </w:pPr>
            <w:r w:rsidRPr="00B93EE1">
              <w:rPr>
                <w:sz w:val="14"/>
                <w:szCs w:val="14"/>
              </w:rPr>
              <w:t>1-6 + 7f cargo</w:t>
            </w:r>
          </w:p>
        </w:tc>
        <w:tc>
          <w:tcPr>
            <w:tcW w:w="1023" w:type="pct"/>
            <w:hideMark/>
          </w:tcPr>
          <w:p w14:paraId="771916D0"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188D0EF1" w14:textId="77777777" w:rsidR="00E16269" w:rsidRPr="00B93EE1" w:rsidRDefault="00E16269" w:rsidP="006D1F8B">
            <w:pPr>
              <w:jc w:val="left"/>
              <w:rPr>
                <w:sz w:val="14"/>
                <w:szCs w:val="14"/>
              </w:rPr>
            </w:pPr>
            <w:r w:rsidRPr="00B93EE1">
              <w:rPr>
                <w:sz w:val="14"/>
                <w:szCs w:val="14"/>
              </w:rPr>
              <w:t>SO and EC</w:t>
            </w:r>
          </w:p>
        </w:tc>
      </w:tr>
      <w:tr w:rsidR="00E16269" w:rsidRPr="00B93EE1" w14:paraId="3691042B" w14:textId="77777777" w:rsidTr="006D1F8B">
        <w:tc>
          <w:tcPr>
            <w:tcW w:w="1019" w:type="pct"/>
            <w:noWrap/>
            <w:hideMark/>
          </w:tcPr>
          <w:p w14:paraId="1B46D6C8" w14:textId="77777777" w:rsidR="00E16269" w:rsidRPr="00B93EE1" w:rsidRDefault="00E16269" w:rsidP="006D1F8B">
            <w:pPr>
              <w:jc w:val="left"/>
              <w:rPr>
                <w:b/>
                <w:bCs/>
                <w:sz w:val="14"/>
                <w:szCs w:val="14"/>
              </w:rPr>
            </w:pPr>
            <w:r w:rsidRPr="00B93EE1">
              <w:rPr>
                <w:b/>
                <w:bCs/>
                <w:sz w:val="14"/>
                <w:szCs w:val="14"/>
              </w:rPr>
              <w:t>Chile</w:t>
            </w:r>
          </w:p>
        </w:tc>
        <w:tc>
          <w:tcPr>
            <w:tcW w:w="629" w:type="pct"/>
            <w:noWrap/>
            <w:hideMark/>
          </w:tcPr>
          <w:p w14:paraId="07AA6DBB" w14:textId="77777777" w:rsidR="00E16269" w:rsidRPr="00B93EE1" w:rsidRDefault="00E16269" w:rsidP="006D1F8B">
            <w:pPr>
              <w:jc w:val="left"/>
              <w:rPr>
                <w:sz w:val="14"/>
                <w:szCs w:val="14"/>
              </w:rPr>
            </w:pPr>
            <w:r w:rsidRPr="00B93EE1">
              <w:rPr>
                <w:sz w:val="14"/>
                <w:szCs w:val="14"/>
              </w:rPr>
              <w:t xml:space="preserve">(See </w:t>
            </w:r>
            <w:proofErr w:type="spellStart"/>
            <w:r w:rsidRPr="00B93EE1">
              <w:rPr>
                <w:sz w:val="14"/>
                <w:szCs w:val="14"/>
              </w:rPr>
              <w:t>MALIAT</w:t>
            </w:r>
            <w:proofErr w:type="spellEnd"/>
            <w:r w:rsidRPr="00B93EE1">
              <w:rPr>
                <w:sz w:val="14"/>
                <w:szCs w:val="14"/>
              </w:rPr>
              <w:t xml:space="preserve"> and </w:t>
            </w:r>
            <w:proofErr w:type="spellStart"/>
            <w:r w:rsidRPr="00B93EE1">
              <w:rPr>
                <w:sz w:val="14"/>
                <w:szCs w:val="14"/>
              </w:rPr>
              <w:t>MALIAT</w:t>
            </w:r>
            <w:proofErr w:type="spellEnd"/>
            <w:r w:rsidRPr="00B93EE1">
              <w:rPr>
                <w:sz w:val="14"/>
                <w:szCs w:val="14"/>
              </w:rPr>
              <w:t xml:space="preserve"> Protocol)</w:t>
            </w:r>
          </w:p>
        </w:tc>
        <w:tc>
          <w:tcPr>
            <w:tcW w:w="1179" w:type="pct"/>
            <w:noWrap/>
            <w:hideMark/>
          </w:tcPr>
          <w:p w14:paraId="304065D1" w14:textId="77777777" w:rsidR="00E16269" w:rsidRPr="00B93EE1" w:rsidRDefault="00E16269" w:rsidP="006D1F8B">
            <w:pPr>
              <w:jc w:val="left"/>
              <w:rPr>
                <w:sz w:val="14"/>
                <w:szCs w:val="14"/>
              </w:rPr>
            </w:pPr>
          </w:p>
        </w:tc>
        <w:tc>
          <w:tcPr>
            <w:tcW w:w="1023" w:type="pct"/>
            <w:hideMark/>
          </w:tcPr>
          <w:p w14:paraId="318ED652" w14:textId="77777777" w:rsidR="00E16269" w:rsidRPr="00B93EE1" w:rsidRDefault="00E16269" w:rsidP="006D1F8B">
            <w:pPr>
              <w:jc w:val="left"/>
              <w:rPr>
                <w:sz w:val="14"/>
                <w:szCs w:val="14"/>
              </w:rPr>
            </w:pPr>
          </w:p>
        </w:tc>
        <w:tc>
          <w:tcPr>
            <w:tcW w:w="1151" w:type="pct"/>
            <w:noWrap/>
            <w:hideMark/>
          </w:tcPr>
          <w:p w14:paraId="4FC0E7FF" w14:textId="77777777" w:rsidR="00E16269" w:rsidRPr="00B93EE1" w:rsidRDefault="00E16269" w:rsidP="006D1F8B">
            <w:pPr>
              <w:jc w:val="left"/>
              <w:rPr>
                <w:sz w:val="14"/>
                <w:szCs w:val="14"/>
              </w:rPr>
            </w:pPr>
          </w:p>
        </w:tc>
      </w:tr>
      <w:tr w:rsidR="00E16269" w:rsidRPr="00B93EE1" w14:paraId="73641947"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7459B9FD" w14:textId="77777777" w:rsidR="00E16269" w:rsidRPr="00B93EE1" w:rsidRDefault="00E16269" w:rsidP="006D1F8B">
            <w:pPr>
              <w:jc w:val="left"/>
              <w:rPr>
                <w:b/>
                <w:bCs/>
                <w:sz w:val="14"/>
                <w:szCs w:val="14"/>
              </w:rPr>
            </w:pPr>
            <w:r w:rsidRPr="00B93EE1">
              <w:rPr>
                <w:b/>
                <w:bCs/>
                <w:sz w:val="14"/>
                <w:szCs w:val="14"/>
              </w:rPr>
              <w:t>China</w:t>
            </w:r>
          </w:p>
        </w:tc>
        <w:tc>
          <w:tcPr>
            <w:tcW w:w="629" w:type="pct"/>
            <w:noWrap/>
            <w:hideMark/>
          </w:tcPr>
          <w:p w14:paraId="31410CFB" w14:textId="77777777" w:rsidR="00E16269" w:rsidRPr="00B93EE1" w:rsidRDefault="00E16269" w:rsidP="006D1F8B">
            <w:pPr>
              <w:jc w:val="left"/>
              <w:rPr>
                <w:b/>
                <w:bCs/>
                <w:sz w:val="14"/>
                <w:szCs w:val="14"/>
              </w:rPr>
            </w:pPr>
          </w:p>
        </w:tc>
        <w:tc>
          <w:tcPr>
            <w:tcW w:w="1179" w:type="pct"/>
            <w:noWrap/>
            <w:hideMark/>
          </w:tcPr>
          <w:p w14:paraId="279BCC95" w14:textId="77777777" w:rsidR="00E16269" w:rsidRPr="00B93EE1" w:rsidRDefault="00E16269" w:rsidP="006D1F8B">
            <w:pPr>
              <w:jc w:val="left"/>
              <w:rPr>
                <w:sz w:val="14"/>
                <w:szCs w:val="14"/>
              </w:rPr>
            </w:pPr>
            <w:r w:rsidRPr="00B93EE1">
              <w:rPr>
                <w:sz w:val="14"/>
                <w:szCs w:val="14"/>
              </w:rPr>
              <w:t>1-6</w:t>
            </w:r>
          </w:p>
        </w:tc>
        <w:tc>
          <w:tcPr>
            <w:tcW w:w="1023" w:type="pct"/>
            <w:hideMark/>
          </w:tcPr>
          <w:p w14:paraId="1F0429FA"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7DCB17FC" w14:textId="77777777" w:rsidR="00E16269" w:rsidRPr="00B93EE1" w:rsidRDefault="00E16269" w:rsidP="006D1F8B">
            <w:pPr>
              <w:jc w:val="left"/>
              <w:rPr>
                <w:sz w:val="14"/>
                <w:szCs w:val="14"/>
              </w:rPr>
            </w:pPr>
            <w:r w:rsidRPr="00B93EE1">
              <w:rPr>
                <w:sz w:val="14"/>
                <w:szCs w:val="14"/>
              </w:rPr>
              <w:t>PPB and ERC</w:t>
            </w:r>
          </w:p>
        </w:tc>
      </w:tr>
      <w:tr w:rsidR="00E16269" w:rsidRPr="00B93EE1" w14:paraId="41D89AE7" w14:textId="77777777" w:rsidTr="006D1F8B">
        <w:tc>
          <w:tcPr>
            <w:tcW w:w="1019" w:type="pct"/>
            <w:noWrap/>
            <w:hideMark/>
          </w:tcPr>
          <w:p w14:paraId="622AA703" w14:textId="77777777" w:rsidR="00E16269" w:rsidRPr="00B93EE1" w:rsidRDefault="00E16269" w:rsidP="006D1F8B">
            <w:pPr>
              <w:jc w:val="left"/>
              <w:rPr>
                <w:b/>
                <w:bCs/>
                <w:sz w:val="14"/>
                <w:szCs w:val="14"/>
              </w:rPr>
            </w:pPr>
            <w:r w:rsidRPr="00B93EE1">
              <w:rPr>
                <w:b/>
                <w:bCs/>
                <w:sz w:val="14"/>
                <w:szCs w:val="14"/>
              </w:rPr>
              <w:t>Colombia</w:t>
            </w:r>
          </w:p>
        </w:tc>
        <w:tc>
          <w:tcPr>
            <w:tcW w:w="629" w:type="pct"/>
            <w:noWrap/>
            <w:hideMark/>
          </w:tcPr>
          <w:p w14:paraId="1955FF6D" w14:textId="77777777" w:rsidR="00E16269" w:rsidRPr="00B93EE1" w:rsidRDefault="00E16269" w:rsidP="006D1F8B">
            <w:pPr>
              <w:jc w:val="left"/>
              <w:rPr>
                <w:b/>
                <w:bCs/>
                <w:sz w:val="14"/>
                <w:szCs w:val="14"/>
              </w:rPr>
            </w:pPr>
          </w:p>
        </w:tc>
        <w:tc>
          <w:tcPr>
            <w:tcW w:w="1179" w:type="pct"/>
            <w:hideMark/>
          </w:tcPr>
          <w:p w14:paraId="1334AA34" w14:textId="3A9CB579" w:rsidR="00E16269" w:rsidRPr="00B93EE1" w:rsidRDefault="00E16269" w:rsidP="006D1F8B">
            <w:pPr>
              <w:jc w:val="left"/>
              <w:rPr>
                <w:sz w:val="14"/>
                <w:szCs w:val="14"/>
              </w:rPr>
            </w:pPr>
            <w:r w:rsidRPr="00B93EE1">
              <w:rPr>
                <w:sz w:val="14"/>
                <w:szCs w:val="14"/>
              </w:rPr>
              <w:t xml:space="preserve">1-5 for pax and 1-4 for cargo + 5 for cargo on 14 </w:t>
            </w:r>
            <w:r w:rsidR="0014272A">
              <w:rPr>
                <w:sz w:val="14"/>
                <w:szCs w:val="14"/>
              </w:rPr>
              <w:t xml:space="preserve">times per week </w:t>
            </w:r>
            <w:r w:rsidRPr="00B93EE1">
              <w:rPr>
                <w:sz w:val="14"/>
                <w:szCs w:val="14"/>
              </w:rPr>
              <w:t>at two points to be nominated</w:t>
            </w:r>
          </w:p>
        </w:tc>
        <w:tc>
          <w:tcPr>
            <w:tcW w:w="1023" w:type="pct"/>
            <w:hideMark/>
          </w:tcPr>
          <w:p w14:paraId="667249CE"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49865786" w14:textId="77777777" w:rsidR="00E16269" w:rsidRPr="00B93EE1" w:rsidRDefault="00E16269" w:rsidP="006D1F8B">
            <w:pPr>
              <w:jc w:val="left"/>
              <w:rPr>
                <w:sz w:val="14"/>
                <w:szCs w:val="14"/>
              </w:rPr>
            </w:pPr>
            <w:r w:rsidRPr="00B93EE1">
              <w:rPr>
                <w:sz w:val="14"/>
                <w:szCs w:val="14"/>
              </w:rPr>
              <w:t>PPB and ERC</w:t>
            </w:r>
          </w:p>
        </w:tc>
      </w:tr>
      <w:tr w:rsidR="00E16269" w:rsidRPr="00B93EE1" w14:paraId="029BAA39"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2DBB66FC" w14:textId="77777777" w:rsidR="00E16269" w:rsidRPr="00B93EE1" w:rsidRDefault="00E16269" w:rsidP="006D1F8B">
            <w:pPr>
              <w:jc w:val="left"/>
              <w:rPr>
                <w:b/>
                <w:bCs/>
                <w:sz w:val="14"/>
                <w:szCs w:val="14"/>
              </w:rPr>
            </w:pPr>
            <w:r w:rsidRPr="00B93EE1">
              <w:rPr>
                <w:b/>
                <w:bCs/>
                <w:sz w:val="14"/>
                <w:szCs w:val="14"/>
              </w:rPr>
              <w:t>Cook Islands</w:t>
            </w:r>
          </w:p>
        </w:tc>
        <w:tc>
          <w:tcPr>
            <w:tcW w:w="629" w:type="pct"/>
            <w:noWrap/>
            <w:hideMark/>
          </w:tcPr>
          <w:p w14:paraId="096AADF0" w14:textId="77777777" w:rsidR="00E16269" w:rsidRPr="00B93EE1" w:rsidRDefault="00E16269" w:rsidP="006D1F8B">
            <w:pPr>
              <w:jc w:val="left"/>
              <w:rPr>
                <w:sz w:val="14"/>
                <w:szCs w:val="14"/>
              </w:rPr>
            </w:pPr>
            <w:r w:rsidRPr="00B93EE1">
              <w:rPr>
                <w:sz w:val="14"/>
                <w:szCs w:val="14"/>
              </w:rPr>
              <w:t xml:space="preserve">(See </w:t>
            </w:r>
            <w:proofErr w:type="spellStart"/>
            <w:r w:rsidRPr="00B93EE1">
              <w:rPr>
                <w:sz w:val="14"/>
                <w:szCs w:val="14"/>
              </w:rPr>
              <w:t>MALIAT</w:t>
            </w:r>
            <w:proofErr w:type="spellEnd"/>
            <w:r w:rsidRPr="00B93EE1">
              <w:rPr>
                <w:sz w:val="14"/>
                <w:szCs w:val="14"/>
              </w:rPr>
              <w:t>)</w:t>
            </w:r>
          </w:p>
        </w:tc>
        <w:tc>
          <w:tcPr>
            <w:tcW w:w="1179" w:type="pct"/>
            <w:noWrap/>
            <w:hideMark/>
          </w:tcPr>
          <w:p w14:paraId="5C9F823D" w14:textId="77777777" w:rsidR="00E16269" w:rsidRPr="00B93EE1" w:rsidRDefault="00E16269" w:rsidP="006D1F8B">
            <w:pPr>
              <w:jc w:val="left"/>
              <w:rPr>
                <w:sz w:val="14"/>
                <w:szCs w:val="14"/>
              </w:rPr>
            </w:pPr>
          </w:p>
        </w:tc>
        <w:tc>
          <w:tcPr>
            <w:tcW w:w="1023" w:type="pct"/>
            <w:hideMark/>
          </w:tcPr>
          <w:p w14:paraId="6E5444E2" w14:textId="77777777" w:rsidR="00E16269" w:rsidRPr="00B93EE1" w:rsidRDefault="00E16269" w:rsidP="006D1F8B">
            <w:pPr>
              <w:jc w:val="left"/>
              <w:rPr>
                <w:sz w:val="14"/>
                <w:szCs w:val="14"/>
              </w:rPr>
            </w:pPr>
          </w:p>
        </w:tc>
        <w:tc>
          <w:tcPr>
            <w:tcW w:w="1151" w:type="pct"/>
            <w:noWrap/>
            <w:hideMark/>
          </w:tcPr>
          <w:p w14:paraId="31E3936E" w14:textId="77777777" w:rsidR="00E16269" w:rsidRPr="00B93EE1" w:rsidRDefault="00E16269" w:rsidP="006D1F8B">
            <w:pPr>
              <w:jc w:val="left"/>
              <w:rPr>
                <w:sz w:val="14"/>
                <w:szCs w:val="14"/>
              </w:rPr>
            </w:pPr>
          </w:p>
        </w:tc>
      </w:tr>
      <w:tr w:rsidR="00E16269" w:rsidRPr="00B93EE1" w14:paraId="215A1036" w14:textId="77777777" w:rsidTr="006D1F8B">
        <w:tc>
          <w:tcPr>
            <w:tcW w:w="1019" w:type="pct"/>
            <w:noWrap/>
            <w:hideMark/>
          </w:tcPr>
          <w:p w14:paraId="28DDF638" w14:textId="77777777" w:rsidR="00E16269" w:rsidRPr="00B93EE1" w:rsidRDefault="00E16269" w:rsidP="006D1F8B">
            <w:pPr>
              <w:jc w:val="left"/>
              <w:rPr>
                <w:b/>
                <w:bCs/>
                <w:sz w:val="14"/>
                <w:szCs w:val="14"/>
              </w:rPr>
            </w:pPr>
            <w:r w:rsidRPr="00B93EE1">
              <w:rPr>
                <w:b/>
                <w:bCs/>
                <w:sz w:val="14"/>
                <w:szCs w:val="14"/>
              </w:rPr>
              <w:t>Denmark</w:t>
            </w:r>
          </w:p>
        </w:tc>
        <w:tc>
          <w:tcPr>
            <w:tcW w:w="629" w:type="pct"/>
            <w:noWrap/>
            <w:hideMark/>
          </w:tcPr>
          <w:p w14:paraId="663B8DF2" w14:textId="77777777" w:rsidR="00E16269" w:rsidRPr="00B93EE1" w:rsidRDefault="00E16269" w:rsidP="006D1F8B">
            <w:pPr>
              <w:jc w:val="left"/>
              <w:rPr>
                <w:b/>
                <w:bCs/>
                <w:sz w:val="14"/>
                <w:szCs w:val="14"/>
              </w:rPr>
            </w:pPr>
          </w:p>
        </w:tc>
        <w:tc>
          <w:tcPr>
            <w:tcW w:w="1179" w:type="pct"/>
            <w:noWrap/>
            <w:hideMark/>
          </w:tcPr>
          <w:p w14:paraId="15C17853" w14:textId="77777777" w:rsidR="00E16269" w:rsidRPr="00B93EE1" w:rsidRDefault="00E16269" w:rsidP="006D1F8B">
            <w:pPr>
              <w:jc w:val="left"/>
              <w:rPr>
                <w:sz w:val="14"/>
                <w:szCs w:val="14"/>
              </w:rPr>
            </w:pPr>
            <w:r w:rsidRPr="00B93EE1">
              <w:rPr>
                <w:sz w:val="14"/>
                <w:szCs w:val="14"/>
              </w:rPr>
              <w:t>1-5</w:t>
            </w:r>
          </w:p>
        </w:tc>
        <w:tc>
          <w:tcPr>
            <w:tcW w:w="1023" w:type="pct"/>
            <w:hideMark/>
          </w:tcPr>
          <w:p w14:paraId="3A31C1D9"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21E6766E" w14:textId="77777777" w:rsidR="00E16269" w:rsidRPr="00B93EE1" w:rsidRDefault="00E16269" w:rsidP="006D1F8B">
            <w:pPr>
              <w:jc w:val="left"/>
              <w:rPr>
                <w:sz w:val="14"/>
                <w:szCs w:val="14"/>
              </w:rPr>
            </w:pPr>
            <w:r w:rsidRPr="00B93EE1">
              <w:rPr>
                <w:sz w:val="14"/>
                <w:szCs w:val="14"/>
              </w:rPr>
              <w:t>PI, PPB and EC</w:t>
            </w:r>
          </w:p>
        </w:tc>
      </w:tr>
      <w:tr w:rsidR="00E16269" w:rsidRPr="00B93EE1" w14:paraId="1DB91DFA"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172CAE94" w14:textId="77777777" w:rsidR="00E16269" w:rsidRPr="00B93EE1" w:rsidRDefault="00E16269" w:rsidP="006D1F8B">
            <w:pPr>
              <w:jc w:val="left"/>
              <w:rPr>
                <w:b/>
                <w:bCs/>
                <w:sz w:val="14"/>
                <w:szCs w:val="14"/>
              </w:rPr>
            </w:pPr>
            <w:r w:rsidRPr="00B93EE1">
              <w:rPr>
                <w:b/>
                <w:bCs/>
                <w:sz w:val="14"/>
                <w:szCs w:val="14"/>
              </w:rPr>
              <w:t>Ecuador</w:t>
            </w:r>
          </w:p>
        </w:tc>
        <w:tc>
          <w:tcPr>
            <w:tcW w:w="629" w:type="pct"/>
            <w:noWrap/>
            <w:hideMark/>
          </w:tcPr>
          <w:p w14:paraId="283217C5" w14:textId="77777777" w:rsidR="00E16269" w:rsidRPr="00B93EE1" w:rsidRDefault="00E16269" w:rsidP="006D1F8B">
            <w:pPr>
              <w:jc w:val="left"/>
              <w:rPr>
                <w:sz w:val="14"/>
                <w:szCs w:val="14"/>
              </w:rPr>
            </w:pPr>
          </w:p>
        </w:tc>
        <w:tc>
          <w:tcPr>
            <w:tcW w:w="1179" w:type="pct"/>
            <w:noWrap/>
            <w:hideMark/>
          </w:tcPr>
          <w:p w14:paraId="24C6964B" w14:textId="77777777" w:rsidR="00E16269" w:rsidRPr="00B93EE1" w:rsidRDefault="00E16269" w:rsidP="006D1F8B">
            <w:pPr>
              <w:jc w:val="left"/>
              <w:rPr>
                <w:sz w:val="14"/>
                <w:szCs w:val="14"/>
              </w:rPr>
            </w:pPr>
            <w:r w:rsidRPr="00B93EE1">
              <w:rPr>
                <w:sz w:val="14"/>
                <w:szCs w:val="14"/>
              </w:rPr>
              <w:t xml:space="preserve">1-6 </w:t>
            </w:r>
          </w:p>
        </w:tc>
        <w:tc>
          <w:tcPr>
            <w:tcW w:w="1023" w:type="pct"/>
            <w:hideMark/>
          </w:tcPr>
          <w:p w14:paraId="718077C9"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6880513A" w14:textId="77777777" w:rsidR="00E16269" w:rsidRPr="00B93EE1" w:rsidRDefault="00E16269" w:rsidP="006D1F8B">
            <w:pPr>
              <w:jc w:val="left"/>
              <w:rPr>
                <w:sz w:val="14"/>
                <w:szCs w:val="14"/>
              </w:rPr>
            </w:pPr>
            <w:r w:rsidRPr="00B93EE1">
              <w:rPr>
                <w:sz w:val="14"/>
                <w:szCs w:val="14"/>
              </w:rPr>
              <w:t>PI, PPB and ERC</w:t>
            </w:r>
          </w:p>
        </w:tc>
      </w:tr>
      <w:tr w:rsidR="00E16269" w:rsidRPr="00B93EE1" w14:paraId="118ADC78" w14:textId="77777777" w:rsidTr="006D1F8B">
        <w:tc>
          <w:tcPr>
            <w:tcW w:w="1019" w:type="pct"/>
            <w:noWrap/>
            <w:hideMark/>
          </w:tcPr>
          <w:p w14:paraId="61BFB59E" w14:textId="77777777" w:rsidR="00E16269" w:rsidRPr="00B93EE1" w:rsidRDefault="00E16269" w:rsidP="006D1F8B">
            <w:pPr>
              <w:jc w:val="left"/>
              <w:rPr>
                <w:b/>
                <w:bCs/>
                <w:sz w:val="14"/>
                <w:szCs w:val="14"/>
              </w:rPr>
            </w:pPr>
            <w:r w:rsidRPr="00B93EE1">
              <w:rPr>
                <w:b/>
                <w:bCs/>
                <w:sz w:val="14"/>
                <w:szCs w:val="14"/>
              </w:rPr>
              <w:t>Fiji</w:t>
            </w:r>
          </w:p>
        </w:tc>
        <w:tc>
          <w:tcPr>
            <w:tcW w:w="629" w:type="pct"/>
            <w:hideMark/>
          </w:tcPr>
          <w:p w14:paraId="12A75846" w14:textId="77777777" w:rsidR="00E16269" w:rsidRPr="00B93EE1" w:rsidRDefault="00E16269" w:rsidP="006D1F8B">
            <w:pPr>
              <w:jc w:val="left"/>
              <w:rPr>
                <w:b/>
                <w:bCs/>
                <w:sz w:val="14"/>
                <w:szCs w:val="14"/>
              </w:rPr>
            </w:pPr>
          </w:p>
        </w:tc>
        <w:tc>
          <w:tcPr>
            <w:tcW w:w="1179" w:type="pct"/>
            <w:noWrap/>
            <w:hideMark/>
          </w:tcPr>
          <w:p w14:paraId="38F24228" w14:textId="77777777" w:rsidR="00E16269" w:rsidRPr="00B93EE1" w:rsidRDefault="00E16269" w:rsidP="006D1F8B">
            <w:pPr>
              <w:jc w:val="left"/>
              <w:rPr>
                <w:sz w:val="14"/>
                <w:szCs w:val="14"/>
              </w:rPr>
            </w:pPr>
            <w:r w:rsidRPr="00B93EE1">
              <w:rPr>
                <w:sz w:val="14"/>
                <w:szCs w:val="14"/>
              </w:rPr>
              <w:t>1-6</w:t>
            </w:r>
          </w:p>
        </w:tc>
        <w:tc>
          <w:tcPr>
            <w:tcW w:w="1023" w:type="pct"/>
            <w:hideMark/>
          </w:tcPr>
          <w:p w14:paraId="40E0D25F"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0BF35830" w14:textId="77777777" w:rsidR="00E16269" w:rsidRPr="00B93EE1" w:rsidRDefault="00E16269" w:rsidP="006D1F8B">
            <w:pPr>
              <w:jc w:val="left"/>
              <w:rPr>
                <w:sz w:val="14"/>
                <w:szCs w:val="14"/>
              </w:rPr>
            </w:pPr>
            <w:r w:rsidRPr="00B93EE1">
              <w:rPr>
                <w:sz w:val="14"/>
                <w:szCs w:val="14"/>
              </w:rPr>
              <w:t>SO and EC</w:t>
            </w:r>
          </w:p>
        </w:tc>
      </w:tr>
      <w:tr w:rsidR="00E16269" w:rsidRPr="00B93EE1" w14:paraId="6D830DF3"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17388F75" w14:textId="77777777" w:rsidR="00E16269" w:rsidRPr="00B93EE1" w:rsidRDefault="00E16269" w:rsidP="006D1F8B">
            <w:pPr>
              <w:jc w:val="left"/>
              <w:rPr>
                <w:b/>
                <w:bCs/>
                <w:sz w:val="14"/>
                <w:szCs w:val="14"/>
              </w:rPr>
            </w:pPr>
            <w:r w:rsidRPr="00B93EE1">
              <w:rPr>
                <w:b/>
                <w:bCs/>
                <w:sz w:val="14"/>
                <w:szCs w:val="14"/>
              </w:rPr>
              <w:t>Finland</w:t>
            </w:r>
          </w:p>
        </w:tc>
        <w:tc>
          <w:tcPr>
            <w:tcW w:w="629" w:type="pct"/>
            <w:hideMark/>
          </w:tcPr>
          <w:p w14:paraId="6FE44741" w14:textId="77777777" w:rsidR="00E16269" w:rsidRPr="00B93EE1" w:rsidRDefault="00E16269" w:rsidP="006D1F8B">
            <w:pPr>
              <w:jc w:val="left"/>
              <w:rPr>
                <w:b/>
                <w:bCs/>
                <w:sz w:val="14"/>
                <w:szCs w:val="14"/>
              </w:rPr>
            </w:pPr>
          </w:p>
        </w:tc>
        <w:tc>
          <w:tcPr>
            <w:tcW w:w="1179" w:type="pct"/>
            <w:noWrap/>
            <w:hideMark/>
          </w:tcPr>
          <w:p w14:paraId="238E7AF5" w14:textId="77777777" w:rsidR="00E16269" w:rsidRPr="00B93EE1" w:rsidRDefault="00E16269" w:rsidP="006D1F8B">
            <w:pPr>
              <w:jc w:val="left"/>
              <w:rPr>
                <w:sz w:val="14"/>
                <w:szCs w:val="14"/>
              </w:rPr>
            </w:pPr>
            <w:r w:rsidRPr="00B93EE1">
              <w:rPr>
                <w:sz w:val="14"/>
                <w:szCs w:val="14"/>
              </w:rPr>
              <w:t>1-8</w:t>
            </w:r>
          </w:p>
        </w:tc>
        <w:tc>
          <w:tcPr>
            <w:tcW w:w="1023" w:type="pct"/>
            <w:hideMark/>
          </w:tcPr>
          <w:p w14:paraId="2C0FC3AD"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73D27FF0" w14:textId="77777777" w:rsidR="00E16269" w:rsidRPr="00B93EE1" w:rsidRDefault="00E16269" w:rsidP="006D1F8B">
            <w:pPr>
              <w:jc w:val="left"/>
              <w:rPr>
                <w:sz w:val="14"/>
                <w:szCs w:val="14"/>
              </w:rPr>
            </w:pPr>
            <w:r w:rsidRPr="00B93EE1">
              <w:rPr>
                <w:sz w:val="14"/>
                <w:szCs w:val="14"/>
              </w:rPr>
              <w:t>PPB and ERC</w:t>
            </w:r>
          </w:p>
        </w:tc>
      </w:tr>
      <w:tr w:rsidR="00E16269" w:rsidRPr="00B93EE1" w14:paraId="48985CA6" w14:textId="77777777" w:rsidTr="006D1F8B">
        <w:tc>
          <w:tcPr>
            <w:tcW w:w="1019" w:type="pct"/>
            <w:noWrap/>
            <w:hideMark/>
          </w:tcPr>
          <w:p w14:paraId="57BB158B" w14:textId="77777777" w:rsidR="00E16269" w:rsidRPr="00B93EE1" w:rsidRDefault="00E16269" w:rsidP="006D1F8B">
            <w:pPr>
              <w:jc w:val="left"/>
              <w:rPr>
                <w:b/>
                <w:bCs/>
                <w:sz w:val="14"/>
                <w:szCs w:val="14"/>
              </w:rPr>
            </w:pPr>
            <w:r w:rsidRPr="00B93EE1">
              <w:rPr>
                <w:b/>
                <w:bCs/>
                <w:sz w:val="14"/>
                <w:szCs w:val="14"/>
              </w:rPr>
              <w:t>France</w:t>
            </w:r>
          </w:p>
        </w:tc>
        <w:tc>
          <w:tcPr>
            <w:tcW w:w="629" w:type="pct"/>
            <w:noWrap/>
            <w:hideMark/>
          </w:tcPr>
          <w:p w14:paraId="3F364F7C" w14:textId="77777777" w:rsidR="00E16269" w:rsidRPr="00B93EE1" w:rsidRDefault="00E16269" w:rsidP="006D1F8B">
            <w:pPr>
              <w:jc w:val="left"/>
              <w:rPr>
                <w:b/>
                <w:bCs/>
                <w:sz w:val="14"/>
                <w:szCs w:val="14"/>
              </w:rPr>
            </w:pPr>
          </w:p>
        </w:tc>
        <w:tc>
          <w:tcPr>
            <w:tcW w:w="1179" w:type="pct"/>
            <w:hideMark/>
          </w:tcPr>
          <w:p w14:paraId="219427A8" w14:textId="77777777" w:rsidR="00E16269" w:rsidRPr="00B93EE1" w:rsidRDefault="00E16269" w:rsidP="006D1F8B">
            <w:pPr>
              <w:jc w:val="left"/>
              <w:rPr>
                <w:sz w:val="14"/>
                <w:szCs w:val="14"/>
              </w:rPr>
            </w:pPr>
            <w:r w:rsidRPr="00B93EE1">
              <w:rPr>
                <w:sz w:val="14"/>
                <w:szCs w:val="14"/>
              </w:rPr>
              <w:t xml:space="preserve">1-4 + limited 5 </w:t>
            </w:r>
          </w:p>
        </w:tc>
        <w:tc>
          <w:tcPr>
            <w:tcW w:w="1023" w:type="pct"/>
            <w:hideMark/>
          </w:tcPr>
          <w:p w14:paraId="4BC2292E" w14:textId="77777777" w:rsidR="00E16269" w:rsidRPr="00B93EE1" w:rsidRDefault="00E16269" w:rsidP="006D1F8B">
            <w:pPr>
              <w:jc w:val="left"/>
              <w:rPr>
                <w:sz w:val="14"/>
                <w:szCs w:val="14"/>
              </w:rPr>
            </w:pPr>
            <w:r w:rsidRPr="00B93EE1">
              <w:rPr>
                <w:sz w:val="14"/>
                <w:szCs w:val="14"/>
              </w:rPr>
              <w:t>Restricted third country code-sharing for French carriers</w:t>
            </w:r>
          </w:p>
        </w:tc>
        <w:tc>
          <w:tcPr>
            <w:tcW w:w="1151" w:type="pct"/>
            <w:noWrap/>
            <w:hideMark/>
          </w:tcPr>
          <w:p w14:paraId="72B298AF" w14:textId="77777777" w:rsidR="00E16269" w:rsidRPr="00B93EE1" w:rsidRDefault="00E16269" w:rsidP="006D1F8B">
            <w:pPr>
              <w:jc w:val="left"/>
              <w:rPr>
                <w:sz w:val="14"/>
                <w:szCs w:val="14"/>
              </w:rPr>
            </w:pPr>
            <w:r w:rsidRPr="00B93EE1">
              <w:rPr>
                <w:sz w:val="14"/>
                <w:szCs w:val="14"/>
              </w:rPr>
              <w:t>SO and EC</w:t>
            </w:r>
          </w:p>
        </w:tc>
      </w:tr>
      <w:tr w:rsidR="00E16269" w:rsidRPr="00B93EE1" w14:paraId="03156C08"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18271583" w14:textId="77777777" w:rsidR="00E16269" w:rsidRPr="00B93EE1" w:rsidRDefault="00E16269" w:rsidP="006D1F8B">
            <w:pPr>
              <w:jc w:val="left"/>
              <w:rPr>
                <w:b/>
                <w:bCs/>
                <w:sz w:val="14"/>
                <w:szCs w:val="14"/>
              </w:rPr>
            </w:pPr>
            <w:r w:rsidRPr="00B93EE1">
              <w:rPr>
                <w:b/>
                <w:bCs/>
                <w:sz w:val="14"/>
                <w:szCs w:val="14"/>
              </w:rPr>
              <w:t>French Polynesia</w:t>
            </w:r>
          </w:p>
        </w:tc>
        <w:tc>
          <w:tcPr>
            <w:tcW w:w="629" w:type="pct"/>
            <w:noWrap/>
            <w:hideMark/>
          </w:tcPr>
          <w:p w14:paraId="2E7107D3" w14:textId="77777777" w:rsidR="00E16269" w:rsidRPr="00B93EE1" w:rsidRDefault="00E16269" w:rsidP="006D1F8B">
            <w:pPr>
              <w:jc w:val="left"/>
              <w:rPr>
                <w:b/>
                <w:bCs/>
                <w:sz w:val="14"/>
                <w:szCs w:val="14"/>
              </w:rPr>
            </w:pPr>
          </w:p>
        </w:tc>
        <w:tc>
          <w:tcPr>
            <w:tcW w:w="1179" w:type="pct"/>
            <w:noWrap/>
            <w:hideMark/>
          </w:tcPr>
          <w:p w14:paraId="4145FD33" w14:textId="77777777" w:rsidR="00E16269" w:rsidRPr="00B93EE1" w:rsidRDefault="00E16269" w:rsidP="006D1F8B">
            <w:pPr>
              <w:jc w:val="left"/>
              <w:rPr>
                <w:sz w:val="14"/>
                <w:szCs w:val="14"/>
              </w:rPr>
            </w:pPr>
            <w:r w:rsidRPr="00B93EE1">
              <w:rPr>
                <w:sz w:val="14"/>
                <w:szCs w:val="14"/>
              </w:rPr>
              <w:t>1-6</w:t>
            </w:r>
          </w:p>
        </w:tc>
        <w:tc>
          <w:tcPr>
            <w:tcW w:w="1023" w:type="pct"/>
            <w:hideMark/>
          </w:tcPr>
          <w:p w14:paraId="350F554F"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284891FD" w14:textId="77777777" w:rsidR="00E16269" w:rsidRPr="00B93EE1" w:rsidRDefault="00E16269" w:rsidP="006D1F8B">
            <w:pPr>
              <w:jc w:val="left"/>
              <w:rPr>
                <w:sz w:val="14"/>
                <w:szCs w:val="14"/>
              </w:rPr>
            </w:pPr>
            <w:r w:rsidRPr="00B93EE1">
              <w:rPr>
                <w:sz w:val="14"/>
                <w:szCs w:val="14"/>
              </w:rPr>
              <w:t>SO and EC</w:t>
            </w:r>
          </w:p>
        </w:tc>
      </w:tr>
      <w:tr w:rsidR="00E16269" w:rsidRPr="00B93EE1" w14:paraId="22AFEF84" w14:textId="77777777" w:rsidTr="006D1F8B">
        <w:tc>
          <w:tcPr>
            <w:tcW w:w="1019" w:type="pct"/>
            <w:noWrap/>
            <w:hideMark/>
          </w:tcPr>
          <w:p w14:paraId="67DE2F91" w14:textId="77777777" w:rsidR="00E16269" w:rsidRPr="00B93EE1" w:rsidRDefault="00E16269" w:rsidP="006D1F8B">
            <w:pPr>
              <w:jc w:val="left"/>
              <w:rPr>
                <w:b/>
                <w:bCs/>
                <w:sz w:val="14"/>
                <w:szCs w:val="14"/>
              </w:rPr>
            </w:pPr>
            <w:r w:rsidRPr="00B93EE1">
              <w:rPr>
                <w:b/>
                <w:bCs/>
                <w:sz w:val="14"/>
                <w:szCs w:val="14"/>
              </w:rPr>
              <w:t>New Caledonia</w:t>
            </w:r>
          </w:p>
        </w:tc>
        <w:tc>
          <w:tcPr>
            <w:tcW w:w="629" w:type="pct"/>
            <w:noWrap/>
            <w:hideMark/>
          </w:tcPr>
          <w:p w14:paraId="51D3C483" w14:textId="77777777" w:rsidR="00E16269" w:rsidRPr="00B93EE1" w:rsidRDefault="00E16269" w:rsidP="006D1F8B">
            <w:pPr>
              <w:jc w:val="left"/>
              <w:rPr>
                <w:b/>
                <w:bCs/>
                <w:sz w:val="14"/>
                <w:szCs w:val="14"/>
              </w:rPr>
            </w:pPr>
          </w:p>
        </w:tc>
        <w:tc>
          <w:tcPr>
            <w:tcW w:w="1179" w:type="pct"/>
            <w:noWrap/>
            <w:hideMark/>
          </w:tcPr>
          <w:p w14:paraId="4426C994" w14:textId="77777777" w:rsidR="00E16269" w:rsidRPr="00B93EE1" w:rsidRDefault="00E16269" w:rsidP="006D1F8B">
            <w:pPr>
              <w:jc w:val="left"/>
              <w:rPr>
                <w:sz w:val="14"/>
                <w:szCs w:val="14"/>
              </w:rPr>
            </w:pPr>
            <w:r w:rsidRPr="00B93EE1">
              <w:rPr>
                <w:sz w:val="14"/>
                <w:szCs w:val="14"/>
              </w:rPr>
              <w:t>1-4</w:t>
            </w:r>
          </w:p>
        </w:tc>
        <w:tc>
          <w:tcPr>
            <w:tcW w:w="1023" w:type="pct"/>
            <w:hideMark/>
          </w:tcPr>
          <w:p w14:paraId="1F101380" w14:textId="77777777" w:rsidR="00E16269" w:rsidRPr="00B93EE1" w:rsidRDefault="00E16269" w:rsidP="006D1F8B">
            <w:pPr>
              <w:jc w:val="left"/>
              <w:rPr>
                <w:sz w:val="14"/>
                <w:szCs w:val="14"/>
              </w:rPr>
            </w:pPr>
            <w:r w:rsidRPr="00B93EE1">
              <w:rPr>
                <w:sz w:val="14"/>
                <w:szCs w:val="14"/>
              </w:rPr>
              <w:t>Code-sharing, but not third country</w:t>
            </w:r>
          </w:p>
        </w:tc>
        <w:tc>
          <w:tcPr>
            <w:tcW w:w="1151" w:type="pct"/>
            <w:noWrap/>
            <w:hideMark/>
          </w:tcPr>
          <w:p w14:paraId="46C8DC15" w14:textId="77777777" w:rsidR="00E16269" w:rsidRPr="00B93EE1" w:rsidRDefault="00E16269" w:rsidP="006D1F8B">
            <w:pPr>
              <w:jc w:val="left"/>
              <w:rPr>
                <w:sz w:val="14"/>
                <w:szCs w:val="14"/>
              </w:rPr>
            </w:pPr>
            <w:r w:rsidRPr="00B93EE1">
              <w:rPr>
                <w:sz w:val="14"/>
                <w:szCs w:val="14"/>
              </w:rPr>
              <w:t>SO and EC</w:t>
            </w:r>
          </w:p>
        </w:tc>
      </w:tr>
      <w:tr w:rsidR="00E16269" w:rsidRPr="00B93EE1" w14:paraId="6A0B0F4E"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52846548" w14:textId="77777777" w:rsidR="00E16269" w:rsidRPr="00B93EE1" w:rsidRDefault="00E16269" w:rsidP="006D1F8B">
            <w:pPr>
              <w:jc w:val="left"/>
              <w:rPr>
                <w:b/>
                <w:bCs/>
                <w:sz w:val="14"/>
                <w:szCs w:val="14"/>
              </w:rPr>
            </w:pPr>
            <w:r w:rsidRPr="00B93EE1">
              <w:rPr>
                <w:b/>
                <w:bCs/>
                <w:sz w:val="14"/>
                <w:szCs w:val="14"/>
              </w:rPr>
              <w:t>Germany</w:t>
            </w:r>
          </w:p>
        </w:tc>
        <w:tc>
          <w:tcPr>
            <w:tcW w:w="629" w:type="pct"/>
            <w:noWrap/>
            <w:hideMark/>
          </w:tcPr>
          <w:p w14:paraId="3C2E5C30" w14:textId="77777777" w:rsidR="00E16269" w:rsidRPr="00B93EE1" w:rsidRDefault="00E16269" w:rsidP="006D1F8B">
            <w:pPr>
              <w:jc w:val="left"/>
              <w:rPr>
                <w:b/>
                <w:bCs/>
                <w:sz w:val="14"/>
                <w:szCs w:val="14"/>
              </w:rPr>
            </w:pPr>
          </w:p>
        </w:tc>
        <w:tc>
          <w:tcPr>
            <w:tcW w:w="1179" w:type="pct"/>
            <w:noWrap/>
            <w:hideMark/>
          </w:tcPr>
          <w:p w14:paraId="59937FE4" w14:textId="75C98102" w:rsidR="00E16269" w:rsidRPr="00B93EE1" w:rsidRDefault="00E16269" w:rsidP="006D1F8B">
            <w:pPr>
              <w:jc w:val="left"/>
              <w:rPr>
                <w:sz w:val="14"/>
                <w:szCs w:val="14"/>
              </w:rPr>
            </w:pPr>
            <w:r w:rsidRPr="00B93EE1">
              <w:rPr>
                <w:sz w:val="14"/>
                <w:szCs w:val="14"/>
              </w:rPr>
              <w:t xml:space="preserve">1-5, 7f </w:t>
            </w:r>
            <w:r w:rsidR="0014272A">
              <w:rPr>
                <w:sz w:val="14"/>
                <w:szCs w:val="14"/>
              </w:rPr>
              <w:t>c</w:t>
            </w:r>
            <w:r w:rsidRPr="00B93EE1">
              <w:rPr>
                <w:sz w:val="14"/>
                <w:szCs w:val="14"/>
              </w:rPr>
              <w:t>argo</w:t>
            </w:r>
          </w:p>
        </w:tc>
        <w:tc>
          <w:tcPr>
            <w:tcW w:w="1023" w:type="pct"/>
            <w:hideMark/>
          </w:tcPr>
          <w:p w14:paraId="0A9E4199"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7447300B" w14:textId="77777777" w:rsidR="00E16269" w:rsidRPr="00B93EE1" w:rsidRDefault="00E16269" w:rsidP="006D1F8B">
            <w:pPr>
              <w:jc w:val="left"/>
              <w:rPr>
                <w:sz w:val="14"/>
                <w:szCs w:val="14"/>
              </w:rPr>
            </w:pPr>
            <w:r w:rsidRPr="00B93EE1">
              <w:rPr>
                <w:sz w:val="14"/>
                <w:szCs w:val="14"/>
              </w:rPr>
              <w:t>PI and PPB</w:t>
            </w:r>
          </w:p>
        </w:tc>
      </w:tr>
      <w:tr w:rsidR="00E16269" w:rsidRPr="00B93EE1" w14:paraId="4261E389" w14:textId="77777777" w:rsidTr="006D1F8B">
        <w:tc>
          <w:tcPr>
            <w:tcW w:w="1019" w:type="pct"/>
            <w:noWrap/>
            <w:hideMark/>
          </w:tcPr>
          <w:p w14:paraId="4557002C" w14:textId="77777777" w:rsidR="00E16269" w:rsidRPr="00B93EE1" w:rsidRDefault="00E16269" w:rsidP="006D1F8B">
            <w:pPr>
              <w:jc w:val="left"/>
              <w:rPr>
                <w:b/>
                <w:bCs/>
                <w:sz w:val="14"/>
                <w:szCs w:val="14"/>
              </w:rPr>
            </w:pPr>
            <w:r w:rsidRPr="00B93EE1">
              <w:rPr>
                <w:b/>
                <w:bCs/>
                <w:sz w:val="14"/>
                <w:szCs w:val="14"/>
              </w:rPr>
              <w:t>Greece</w:t>
            </w:r>
          </w:p>
        </w:tc>
        <w:tc>
          <w:tcPr>
            <w:tcW w:w="629" w:type="pct"/>
            <w:noWrap/>
            <w:hideMark/>
          </w:tcPr>
          <w:p w14:paraId="35AE73D9" w14:textId="77777777" w:rsidR="00E16269" w:rsidRPr="00B93EE1" w:rsidRDefault="00E16269" w:rsidP="006D1F8B">
            <w:pPr>
              <w:jc w:val="left"/>
              <w:rPr>
                <w:b/>
                <w:bCs/>
                <w:sz w:val="14"/>
                <w:szCs w:val="14"/>
              </w:rPr>
            </w:pPr>
          </w:p>
        </w:tc>
        <w:tc>
          <w:tcPr>
            <w:tcW w:w="1179" w:type="pct"/>
            <w:noWrap/>
            <w:hideMark/>
          </w:tcPr>
          <w:p w14:paraId="009F19D6" w14:textId="77777777" w:rsidR="00E16269" w:rsidRPr="00B93EE1" w:rsidRDefault="00E16269" w:rsidP="006D1F8B">
            <w:pPr>
              <w:jc w:val="left"/>
              <w:rPr>
                <w:sz w:val="14"/>
                <w:szCs w:val="14"/>
              </w:rPr>
            </w:pPr>
            <w:r w:rsidRPr="00B93EE1">
              <w:rPr>
                <w:sz w:val="14"/>
                <w:szCs w:val="14"/>
              </w:rPr>
              <w:t>1-5</w:t>
            </w:r>
          </w:p>
        </w:tc>
        <w:tc>
          <w:tcPr>
            <w:tcW w:w="1023" w:type="pct"/>
            <w:hideMark/>
          </w:tcPr>
          <w:p w14:paraId="72AEDD96"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3977C233" w14:textId="77777777" w:rsidR="00E16269" w:rsidRPr="00B93EE1" w:rsidRDefault="00E16269" w:rsidP="006D1F8B">
            <w:pPr>
              <w:jc w:val="left"/>
              <w:rPr>
                <w:sz w:val="14"/>
                <w:szCs w:val="14"/>
              </w:rPr>
            </w:pPr>
            <w:r w:rsidRPr="00B93EE1">
              <w:rPr>
                <w:sz w:val="14"/>
                <w:szCs w:val="14"/>
              </w:rPr>
              <w:t xml:space="preserve">PI, PPB and ERC for NZ / established in Greece in accordance with the Agreement on the European Economic Area and has a valid Operating License in accordance with national law adopted in accordance with the EEA Agreement; and ERC; and SO and EC by states and/or nationals of the European Economic Area </w:t>
            </w:r>
          </w:p>
        </w:tc>
      </w:tr>
      <w:tr w:rsidR="00E16269" w:rsidRPr="00B93EE1" w14:paraId="097DFE7D"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4062E3C6" w14:textId="77777777" w:rsidR="00E16269" w:rsidRPr="00B93EE1" w:rsidRDefault="00E16269" w:rsidP="006D1F8B">
            <w:pPr>
              <w:jc w:val="left"/>
              <w:rPr>
                <w:b/>
                <w:bCs/>
                <w:sz w:val="14"/>
                <w:szCs w:val="14"/>
              </w:rPr>
            </w:pPr>
            <w:r w:rsidRPr="00B93EE1">
              <w:rPr>
                <w:b/>
                <w:bCs/>
                <w:sz w:val="14"/>
                <w:szCs w:val="14"/>
              </w:rPr>
              <w:t>Guyana</w:t>
            </w:r>
          </w:p>
        </w:tc>
        <w:tc>
          <w:tcPr>
            <w:tcW w:w="629" w:type="pct"/>
            <w:noWrap/>
            <w:hideMark/>
          </w:tcPr>
          <w:p w14:paraId="2CC8F713" w14:textId="77777777" w:rsidR="00E16269" w:rsidRPr="00B93EE1" w:rsidRDefault="00E16269" w:rsidP="006D1F8B">
            <w:pPr>
              <w:jc w:val="left"/>
              <w:rPr>
                <w:b/>
                <w:bCs/>
                <w:sz w:val="14"/>
                <w:szCs w:val="14"/>
              </w:rPr>
            </w:pPr>
          </w:p>
        </w:tc>
        <w:tc>
          <w:tcPr>
            <w:tcW w:w="1179" w:type="pct"/>
            <w:hideMark/>
          </w:tcPr>
          <w:p w14:paraId="34BB6D11" w14:textId="77777777" w:rsidR="00E16269" w:rsidRPr="00B93EE1" w:rsidRDefault="00E16269" w:rsidP="006D1F8B">
            <w:pPr>
              <w:jc w:val="left"/>
              <w:rPr>
                <w:sz w:val="14"/>
                <w:szCs w:val="14"/>
              </w:rPr>
            </w:pPr>
            <w:r w:rsidRPr="00B93EE1">
              <w:rPr>
                <w:sz w:val="14"/>
                <w:szCs w:val="14"/>
              </w:rPr>
              <w:t>1-5 for pax and 1-7 for cargo</w:t>
            </w:r>
          </w:p>
        </w:tc>
        <w:tc>
          <w:tcPr>
            <w:tcW w:w="1023" w:type="pct"/>
            <w:hideMark/>
          </w:tcPr>
          <w:p w14:paraId="155404DD"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534B4409" w14:textId="77777777" w:rsidR="00E16269" w:rsidRPr="00B93EE1" w:rsidRDefault="00E16269" w:rsidP="006D1F8B">
            <w:pPr>
              <w:jc w:val="left"/>
              <w:rPr>
                <w:sz w:val="14"/>
                <w:szCs w:val="14"/>
              </w:rPr>
            </w:pPr>
            <w:r w:rsidRPr="00B93EE1">
              <w:rPr>
                <w:sz w:val="14"/>
                <w:szCs w:val="14"/>
              </w:rPr>
              <w:t>PI, PPB and ERC</w:t>
            </w:r>
          </w:p>
        </w:tc>
      </w:tr>
      <w:tr w:rsidR="00E16269" w:rsidRPr="00B93EE1" w14:paraId="47BB8A2C" w14:textId="77777777" w:rsidTr="006D1F8B">
        <w:tc>
          <w:tcPr>
            <w:tcW w:w="1019" w:type="pct"/>
            <w:noWrap/>
            <w:hideMark/>
          </w:tcPr>
          <w:p w14:paraId="4198C67F" w14:textId="77777777" w:rsidR="00E16269" w:rsidRPr="00B93EE1" w:rsidRDefault="00E16269" w:rsidP="006D1F8B">
            <w:pPr>
              <w:jc w:val="left"/>
              <w:rPr>
                <w:b/>
                <w:bCs/>
                <w:sz w:val="14"/>
                <w:szCs w:val="14"/>
              </w:rPr>
            </w:pPr>
            <w:r w:rsidRPr="00B93EE1">
              <w:rPr>
                <w:b/>
                <w:bCs/>
                <w:sz w:val="14"/>
                <w:szCs w:val="14"/>
              </w:rPr>
              <w:t>Hong Kong, China</w:t>
            </w:r>
          </w:p>
        </w:tc>
        <w:tc>
          <w:tcPr>
            <w:tcW w:w="629" w:type="pct"/>
            <w:noWrap/>
            <w:hideMark/>
          </w:tcPr>
          <w:p w14:paraId="1D03BBBF" w14:textId="77777777" w:rsidR="00E16269" w:rsidRPr="00B93EE1" w:rsidRDefault="00E16269" w:rsidP="006D1F8B">
            <w:pPr>
              <w:jc w:val="left"/>
              <w:rPr>
                <w:b/>
                <w:bCs/>
                <w:sz w:val="14"/>
                <w:szCs w:val="14"/>
              </w:rPr>
            </w:pPr>
          </w:p>
        </w:tc>
        <w:tc>
          <w:tcPr>
            <w:tcW w:w="1179" w:type="pct"/>
            <w:hideMark/>
          </w:tcPr>
          <w:p w14:paraId="33465E69" w14:textId="77777777" w:rsidR="00E16269" w:rsidRPr="00B93EE1" w:rsidRDefault="00E16269" w:rsidP="006D1F8B">
            <w:pPr>
              <w:jc w:val="left"/>
              <w:rPr>
                <w:sz w:val="14"/>
                <w:szCs w:val="14"/>
              </w:rPr>
            </w:pPr>
            <w:r w:rsidRPr="00B93EE1">
              <w:rPr>
                <w:sz w:val="14"/>
                <w:szCs w:val="14"/>
              </w:rPr>
              <w:t>1-5</w:t>
            </w:r>
          </w:p>
        </w:tc>
        <w:tc>
          <w:tcPr>
            <w:tcW w:w="1023" w:type="pct"/>
            <w:hideMark/>
          </w:tcPr>
          <w:p w14:paraId="2DA0BBAF"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0A4D04BD" w14:textId="77777777" w:rsidR="00E16269" w:rsidRPr="00B93EE1" w:rsidRDefault="00E16269" w:rsidP="006D1F8B">
            <w:pPr>
              <w:jc w:val="left"/>
              <w:rPr>
                <w:sz w:val="14"/>
                <w:szCs w:val="14"/>
              </w:rPr>
            </w:pPr>
            <w:r w:rsidRPr="00B93EE1">
              <w:rPr>
                <w:sz w:val="14"/>
                <w:szCs w:val="14"/>
              </w:rPr>
              <w:t>PI and PPB</w:t>
            </w:r>
          </w:p>
        </w:tc>
      </w:tr>
      <w:tr w:rsidR="00E16269" w:rsidRPr="00B93EE1" w14:paraId="5B1FF4DE"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00B086B7" w14:textId="77777777" w:rsidR="00E16269" w:rsidRPr="00B93EE1" w:rsidRDefault="00E16269" w:rsidP="006D1F8B">
            <w:pPr>
              <w:jc w:val="left"/>
              <w:rPr>
                <w:b/>
                <w:bCs/>
                <w:sz w:val="14"/>
                <w:szCs w:val="14"/>
              </w:rPr>
            </w:pPr>
            <w:r w:rsidRPr="00B93EE1">
              <w:rPr>
                <w:b/>
                <w:bCs/>
                <w:sz w:val="14"/>
                <w:szCs w:val="14"/>
              </w:rPr>
              <w:t>India</w:t>
            </w:r>
          </w:p>
        </w:tc>
        <w:tc>
          <w:tcPr>
            <w:tcW w:w="629" w:type="pct"/>
            <w:hideMark/>
          </w:tcPr>
          <w:p w14:paraId="0F2CCDF6" w14:textId="77777777" w:rsidR="00E16269" w:rsidRPr="00B93EE1" w:rsidRDefault="00E16269" w:rsidP="006D1F8B">
            <w:pPr>
              <w:jc w:val="left"/>
              <w:rPr>
                <w:b/>
                <w:bCs/>
                <w:sz w:val="14"/>
                <w:szCs w:val="14"/>
              </w:rPr>
            </w:pPr>
          </w:p>
        </w:tc>
        <w:tc>
          <w:tcPr>
            <w:tcW w:w="1179" w:type="pct"/>
            <w:noWrap/>
            <w:hideMark/>
          </w:tcPr>
          <w:p w14:paraId="44E601AD" w14:textId="77777777" w:rsidR="00E16269" w:rsidRPr="00B93EE1" w:rsidRDefault="00E16269" w:rsidP="006D1F8B">
            <w:pPr>
              <w:jc w:val="left"/>
              <w:rPr>
                <w:sz w:val="14"/>
                <w:szCs w:val="14"/>
              </w:rPr>
            </w:pPr>
            <w:r w:rsidRPr="00B93EE1">
              <w:rPr>
                <w:sz w:val="14"/>
                <w:szCs w:val="14"/>
              </w:rPr>
              <w:t>1-5</w:t>
            </w:r>
          </w:p>
        </w:tc>
        <w:tc>
          <w:tcPr>
            <w:tcW w:w="1023" w:type="pct"/>
            <w:hideMark/>
          </w:tcPr>
          <w:p w14:paraId="46DB2EBD" w14:textId="77777777" w:rsidR="00E16269" w:rsidRPr="00B93EE1" w:rsidRDefault="00E16269" w:rsidP="006D1F8B">
            <w:pPr>
              <w:jc w:val="left"/>
              <w:rPr>
                <w:sz w:val="14"/>
                <w:szCs w:val="14"/>
              </w:rPr>
            </w:pPr>
            <w:r w:rsidRPr="00B93EE1">
              <w:rPr>
                <w:sz w:val="14"/>
                <w:szCs w:val="14"/>
              </w:rPr>
              <w:t>Third country, except to New Delhi. Code-share points for New Zealand are New Delhi, Mumbai, Bangalore, Chennai, Kolkata, Hyderabad, and Kochi. Code-share points for India are any point in New Zealand + Wellington and Christchurch domestically.</w:t>
            </w:r>
          </w:p>
        </w:tc>
        <w:tc>
          <w:tcPr>
            <w:tcW w:w="1151" w:type="pct"/>
            <w:hideMark/>
          </w:tcPr>
          <w:p w14:paraId="619CE592" w14:textId="77777777" w:rsidR="00E16269" w:rsidRPr="00B93EE1" w:rsidRDefault="00E16269" w:rsidP="006D1F8B">
            <w:pPr>
              <w:jc w:val="left"/>
              <w:rPr>
                <w:sz w:val="14"/>
                <w:szCs w:val="14"/>
              </w:rPr>
            </w:pPr>
            <w:r w:rsidRPr="00B93EE1">
              <w:rPr>
                <w:sz w:val="14"/>
                <w:szCs w:val="14"/>
              </w:rPr>
              <w:t>SO and EC</w:t>
            </w:r>
          </w:p>
        </w:tc>
      </w:tr>
      <w:tr w:rsidR="00E16269" w:rsidRPr="00B93EE1" w14:paraId="0E834409" w14:textId="77777777" w:rsidTr="006D1F8B">
        <w:tc>
          <w:tcPr>
            <w:tcW w:w="1019" w:type="pct"/>
            <w:noWrap/>
            <w:hideMark/>
          </w:tcPr>
          <w:p w14:paraId="7401D8E3" w14:textId="77777777" w:rsidR="00E16269" w:rsidRPr="00B93EE1" w:rsidRDefault="00E16269" w:rsidP="006D1F8B">
            <w:pPr>
              <w:jc w:val="left"/>
              <w:rPr>
                <w:b/>
                <w:bCs/>
                <w:sz w:val="14"/>
                <w:szCs w:val="14"/>
              </w:rPr>
            </w:pPr>
            <w:r w:rsidRPr="00B93EE1">
              <w:rPr>
                <w:b/>
                <w:bCs/>
                <w:sz w:val="14"/>
                <w:szCs w:val="14"/>
              </w:rPr>
              <w:t>Indonesia</w:t>
            </w:r>
          </w:p>
        </w:tc>
        <w:tc>
          <w:tcPr>
            <w:tcW w:w="629" w:type="pct"/>
            <w:noWrap/>
            <w:hideMark/>
          </w:tcPr>
          <w:p w14:paraId="05EA806B" w14:textId="77777777" w:rsidR="00E16269" w:rsidRPr="00B93EE1" w:rsidRDefault="00E16269" w:rsidP="006D1F8B">
            <w:pPr>
              <w:jc w:val="left"/>
              <w:rPr>
                <w:b/>
                <w:bCs/>
                <w:sz w:val="14"/>
                <w:szCs w:val="14"/>
              </w:rPr>
            </w:pPr>
          </w:p>
        </w:tc>
        <w:tc>
          <w:tcPr>
            <w:tcW w:w="1179" w:type="pct"/>
            <w:noWrap/>
            <w:hideMark/>
          </w:tcPr>
          <w:p w14:paraId="104D3768" w14:textId="77777777" w:rsidR="00E16269" w:rsidRPr="00B93EE1" w:rsidRDefault="00E16269" w:rsidP="006D1F8B">
            <w:pPr>
              <w:jc w:val="left"/>
              <w:rPr>
                <w:sz w:val="14"/>
                <w:szCs w:val="14"/>
              </w:rPr>
            </w:pPr>
            <w:r w:rsidRPr="00B93EE1">
              <w:rPr>
                <w:sz w:val="14"/>
                <w:szCs w:val="14"/>
              </w:rPr>
              <w:t>1-5</w:t>
            </w:r>
          </w:p>
        </w:tc>
        <w:tc>
          <w:tcPr>
            <w:tcW w:w="1023" w:type="pct"/>
            <w:hideMark/>
          </w:tcPr>
          <w:p w14:paraId="7D533C89"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7D4656F7" w14:textId="77777777" w:rsidR="00E16269" w:rsidRPr="00B93EE1" w:rsidRDefault="00E16269" w:rsidP="006D1F8B">
            <w:pPr>
              <w:jc w:val="left"/>
              <w:rPr>
                <w:sz w:val="14"/>
                <w:szCs w:val="14"/>
              </w:rPr>
            </w:pPr>
            <w:r w:rsidRPr="00B93EE1">
              <w:rPr>
                <w:sz w:val="14"/>
                <w:szCs w:val="14"/>
              </w:rPr>
              <w:t>PI, PPB and ERC for New Zealand / SO and EC for Indonesia</w:t>
            </w:r>
          </w:p>
        </w:tc>
      </w:tr>
      <w:tr w:rsidR="00E16269" w:rsidRPr="00B93EE1" w14:paraId="3FC13136"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5CD5BBF3" w14:textId="77777777" w:rsidR="00E16269" w:rsidRPr="00B93EE1" w:rsidRDefault="00E16269" w:rsidP="00E16269">
            <w:pPr>
              <w:keepNext/>
              <w:keepLines/>
              <w:jc w:val="left"/>
              <w:rPr>
                <w:b/>
                <w:bCs/>
                <w:sz w:val="14"/>
                <w:szCs w:val="14"/>
              </w:rPr>
            </w:pPr>
            <w:r w:rsidRPr="00B93EE1">
              <w:rPr>
                <w:b/>
                <w:bCs/>
                <w:sz w:val="14"/>
                <w:szCs w:val="14"/>
              </w:rPr>
              <w:lastRenderedPageBreak/>
              <w:t>Ireland</w:t>
            </w:r>
          </w:p>
        </w:tc>
        <w:tc>
          <w:tcPr>
            <w:tcW w:w="629" w:type="pct"/>
            <w:noWrap/>
            <w:hideMark/>
          </w:tcPr>
          <w:p w14:paraId="0E983957" w14:textId="77777777" w:rsidR="00E16269" w:rsidRPr="00B93EE1" w:rsidRDefault="00E16269" w:rsidP="00E16269">
            <w:pPr>
              <w:keepNext/>
              <w:keepLines/>
              <w:jc w:val="left"/>
              <w:rPr>
                <w:b/>
                <w:bCs/>
                <w:sz w:val="14"/>
                <w:szCs w:val="14"/>
              </w:rPr>
            </w:pPr>
          </w:p>
        </w:tc>
        <w:tc>
          <w:tcPr>
            <w:tcW w:w="1179" w:type="pct"/>
            <w:hideMark/>
          </w:tcPr>
          <w:p w14:paraId="00DC6CD7" w14:textId="77777777" w:rsidR="00E16269" w:rsidRPr="00B93EE1" w:rsidRDefault="00E16269" w:rsidP="00E16269">
            <w:pPr>
              <w:keepNext/>
              <w:keepLines/>
              <w:jc w:val="left"/>
              <w:rPr>
                <w:sz w:val="14"/>
                <w:szCs w:val="14"/>
              </w:rPr>
            </w:pPr>
            <w:r w:rsidRPr="00B93EE1">
              <w:rPr>
                <w:sz w:val="14"/>
                <w:szCs w:val="14"/>
              </w:rPr>
              <w:t>1-7</w:t>
            </w:r>
          </w:p>
          <w:p w14:paraId="23482A5B" w14:textId="77777777" w:rsidR="00E16269" w:rsidRPr="00B93EE1" w:rsidRDefault="00E16269" w:rsidP="00E16269">
            <w:pPr>
              <w:keepNext/>
              <w:keepLines/>
              <w:jc w:val="left"/>
              <w:rPr>
                <w:sz w:val="14"/>
                <w:szCs w:val="14"/>
              </w:rPr>
            </w:pPr>
            <w:r w:rsidRPr="00B93EE1">
              <w:rPr>
                <w:sz w:val="14"/>
                <w:szCs w:val="14"/>
              </w:rPr>
              <w:t>Rights between the Americas and Ireland can only be exercised to and from other points in Ireland while the same designated airline is operating direct corresponding fifth freedom transatlantic services to and from Shannon</w:t>
            </w:r>
          </w:p>
        </w:tc>
        <w:tc>
          <w:tcPr>
            <w:tcW w:w="1023" w:type="pct"/>
            <w:hideMark/>
          </w:tcPr>
          <w:p w14:paraId="228DAC05" w14:textId="77777777" w:rsidR="00E16269" w:rsidRPr="00B93EE1" w:rsidRDefault="00E16269" w:rsidP="00E16269">
            <w:pPr>
              <w:keepNext/>
              <w:keepLines/>
              <w:jc w:val="left"/>
              <w:rPr>
                <w:sz w:val="14"/>
                <w:szCs w:val="14"/>
              </w:rPr>
            </w:pPr>
            <w:r w:rsidRPr="00B93EE1">
              <w:rPr>
                <w:sz w:val="14"/>
                <w:szCs w:val="14"/>
              </w:rPr>
              <w:t>Third country</w:t>
            </w:r>
          </w:p>
          <w:p w14:paraId="300CFB52" w14:textId="77777777" w:rsidR="00E16269" w:rsidRPr="00B93EE1" w:rsidRDefault="00E16269" w:rsidP="00E16269">
            <w:pPr>
              <w:keepNext/>
              <w:keepLines/>
              <w:jc w:val="left"/>
              <w:rPr>
                <w:sz w:val="14"/>
                <w:szCs w:val="14"/>
              </w:rPr>
            </w:pPr>
            <w:r w:rsidRPr="00B93EE1">
              <w:rPr>
                <w:sz w:val="14"/>
                <w:szCs w:val="14"/>
              </w:rPr>
              <w:t>Code share arrangements via London for traffic between the Americas and Ireland will only be permitted while the same designated airline is operating direct corresponding fifth freedom transatlantic services to and from Shannon</w:t>
            </w:r>
          </w:p>
        </w:tc>
        <w:tc>
          <w:tcPr>
            <w:tcW w:w="1151" w:type="pct"/>
            <w:hideMark/>
          </w:tcPr>
          <w:p w14:paraId="7D123D28" w14:textId="77777777" w:rsidR="00E16269" w:rsidRPr="00B93EE1" w:rsidRDefault="00E16269" w:rsidP="00E16269">
            <w:pPr>
              <w:keepNext/>
              <w:keepLines/>
              <w:jc w:val="left"/>
              <w:rPr>
                <w:sz w:val="14"/>
                <w:szCs w:val="14"/>
              </w:rPr>
            </w:pPr>
            <w:r w:rsidRPr="00B93EE1">
              <w:rPr>
                <w:sz w:val="14"/>
                <w:szCs w:val="14"/>
              </w:rPr>
              <w:t>PI, PPB, majority ownership and EC</w:t>
            </w:r>
          </w:p>
        </w:tc>
      </w:tr>
      <w:tr w:rsidR="00E16269" w:rsidRPr="00B93EE1" w14:paraId="47315F01" w14:textId="77777777" w:rsidTr="006D1F8B">
        <w:tc>
          <w:tcPr>
            <w:tcW w:w="1019" w:type="pct"/>
            <w:noWrap/>
            <w:hideMark/>
          </w:tcPr>
          <w:p w14:paraId="7189C8A5" w14:textId="77777777" w:rsidR="00E16269" w:rsidRPr="00B93EE1" w:rsidRDefault="00E16269" w:rsidP="006D1F8B">
            <w:pPr>
              <w:jc w:val="left"/>
              <w:rPr>
                <w:b/>
                <w:bCs/>
                <w:sz w:val="14"/>
                <w:szCs w:val="14"/>
              </w:rPr>
            </w:pPr>
            <w:r w:rsidRPr="00B93EE1">
              <w:rPr>
                <w:b/>
                <w:bCs/>
                <w:sz w:val="14"/>
                <w:szCs w:val="14"/>
              </w:rPr>
              <w:t>Israel</w:t>
            </w:r>
          </w:p>
        </w:tc>
        <w:tc>
          <w:tcPr>
            <w:tcW w:w="629" w:type="pct"/>
            <w:noWrap/>
            <w:hideMark/>
          </w:tcPr>
          <w:p w14:paraId="4DE34E96" w14:textId="77777777" w:rsidR="00E16269" w:rsidRPr="00B93EE1" w:rsidRDefault="00E16269" w:rsidP="006D1F8B">
            <w:pPr>
              <w:jc w:val="left"/>
              <w:rPr>
                <w:b/>
                <w:bCs/>
                <w:sz w:val="14"/>
                <w:szCs w:val="14"/>
              </w:rPr>
            </w:pPr>
          </w:p>
        </w:tc>
        <w:tc>
          <w:tcPr>
            <w:tcW w:w="1179" w:type="pct"/>
            <w:hideMark/>
          </w:tcPr>
          <w:p w14:paraId="244AB905" w14:textId="77777777" w:rsidR="00E16269" w:rsidRPr="00B93EE1" w:rsidRDefault="00E16269" w:rsidP="006D1F8B">
            <w:pPr>
              <w:jc w:val="left"/>
              <w:rPr>
                <w:sz w:val="14"/>
                <w:szCs w:val="14"/>
              </w:rPr>
            </w:pPr>
            <w:r w:rsidRPr="00B93EE1">
              <w:rPr>
                <w:sz w:val="14"/>
                <w:szCs w:val="14"/>
              </w:rPr>
              <w:t>1-5</w:t>
            </w:r>
          </w:p>
        </w:tc>
        <w:tc>
          <w:tcPr>
            <w:tcW w:w="1023" w:type="pct"/>
            <w:hideMark/>
          </w:tcPr>
          <w:p w14:paraId="61A8B733"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20891D2F" w14:textId="77777777" w:rsidR="00E16269" w:rsidRPr="00B93EE1" w:rsidRDefault="00E16269" w:rsidP="006D1F8B">
            <w:pPr>
              <w:jc w:val="left"/>
              <w:rPr>
                <w:sz w:val="14"/>
                <w:szCs w:val="14"/>
              </w:rPr>
            </w:pPr>
            <w:r w:rsidRPr="00B93EE1">
              <w:rPr>
                <w:sz w:val="14"/>
                <w:szCs w:val="14"/>
              </w:rPr>
              <w:t>PI, PPB, and ERC</w:t>
            </w:r>
          </w:p>
        </w:tc>
      </w:tr>
      <w:tr w:rsidR="00E16269" w:rsidRPr="00B93EE1" w14:paraId="2E65855D"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4C16756A" w14:textId="77777777" w:rsidR="00E16269" w:rsidRPr="00B93EE1" w:rsidRDefault="00E16269" w:rsidP="006D1F8B">
            <w:pPr>
              <w:jc w:val="left"/>
              <w:rPr>
                <w:b/>
                <w:bCs/>
                <w:sz w:val="14"/>
                <w:szCs w:val="14"/>
              </w:rPr>
            </w:pPr>
            <w:r w:rsidRPr="00B93EE1">
              <w:rPr>
                <w:b/>
                <w:bCs/>
                <w:sz w:val="14"/>
                <w:szCs w:val="14"/>
              </w:rPr>
              <w:t>Italy</w:t>
            </w:r>
          </w:p>
        </w:tc>
        <w:tc>
          <w:tcPr>
            <w:tcW w:w="629" w:type="pct"/>
            <w:noWrap/>
            <w:hideMark/>
          </w:tcPr>
          <w:p w14:paraId="14A34B5D" w14:textId="77777777" w:rsidR="00E16269" w:rsidRPr="00B93EE1" w:rsidRDefault="00E16269" w:rsidP="006D1F8B">
            <w:pPr>
              <w:jc w:val="left"/>
              <w:rPr>
                <w:b/>
                <w:bCs/>
                <w:sz w:val="14"/>
                <w:szCs w:val="14"/>
              </w:rPr>
            </w:pPr>
          </w:p>
        </w:tc>
        <w:tc>
          <w:tcPr>
            <w:tcW w:w="1179" w:type="pct"/>
            <w:hideMark/>
          </w:tcPr>
          <w:p w14:paraId="578ED8D2" w14:textId="77777777" w:rsidR="00E16269" w:rsidRPr="00B93EE1" w:rsidRDefault="00E16269" w:rsidP="006D1F8B">
            <w:pPr>
              <w:jc w:val="left"/>
              <w:rPr>
                <w:sz w:val="14"/>
                <w:szCs w:val="14"/>
              </w:rPr>
            </w:pPr>
            <w:r w:rsidRPr="00B93EE1">
              <w:rPr>
                <w:sz w:val="14"/>
                <w:szCs w:val="14"/>
              </w:rPr>
              <w:t>1-4</w:t>
            </w:r>
          </w:p>
        </w:tc>
        <w:tc>
          <w:tcPr>
            <w:tcW w:w="1023" w:type="pct"/>
            <w:hideMark/>
          </w:tcPr>
          <w:p w14:paraId="1E20C64F"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6A648C41" w14:textId="77777777" w:rsidR="00E16269" w:rsidRPr="00B93EE1" w:rsidRDefault="00E16269" w:rsidP="006D1F8B">
            <w:pPr>
              <w:jc w:val="left"/>
              <w:rPr>
                <w:sz w:val="14"/>
                <w:szCs w:val="14"/>
              </w:rPr>
            </w:pPr>
            <w:r w:rsidRPr="00B93EE1">
              <w:rPr>
                <w:sz w:val="14"/>
                <w:szCs w:val="14"/>
              </w:rPr>
              <w:t xml:space="preserve">PI, PPB, and ERC for NZ / established in Italy in accordance with the Agreement on the European Economic Area and has a valid Operating License in accordance with national law adopted in accordance with the EEA Agreement; and ERC; and SO and EC by states and/or nationals of the European Economic Area </w:t>
            </w:r>
          </w:p>
        </w:tc>
      </w:tr>
      <w:tr w:rsidR="00E16269" w:rsidRPr="00B93EE1" w14:paraId="752CF37C" w14:textId="77777777" w:rsidTr="006D1F8B">
        <w:tc>
          <w:tcPr>
            <w:tcW w:w="1019" w:type="pct"/>
            <w:noWrap/>
            <w:hideMark/>
          </w:tcPr>
          <w:p w14:paraId="07B9FBE8" w14:textId="77777777" w:rsidR="00E16269" w:rsidRPr="00B93EE1" w:rsidRDefault="00E16269" w:rsidP="006D1F8B">
            <w:pPr>
              <w:jc w:val="left"/>
              <w:rPr>
                <w:b/>
                <w:bCs/>
                <w:sz w:val="14"/>
                <w:szCs w:val="14"/>
              </w:rPr>
            </w:pPr>
            <w:r w:rsidRPr="00B93EE1">
              <w:rPr>
                <w:b/>
                <w:bCs/>
                <w:sz w:val="14"/>
                <w:szCs w:val="14"/>
              </w:rPr>
              <w:t>Jamaica</w:t>
            </w:r>
          </w:p>
        </w:tc>
        <w:tc>
          <w:tcPr>
            <w:tcW w:w="629" w:type="pct"/>
            <w:noWrap/>
            <w:hideMark/>
          </w:tcPr>
          <w:p w14:paraId="0501B2D3" w14:textId="77777777" w:rsidR="00E16269" w:rsidRPr="00B93EE1" w:rsidRDefault="00E16269" w:rsidP="006D1F8B">
            <w:pPr>
              <w:jc w:val="left"/>
              <w:rPr>
                <w:b/>
                <w:bCs/>
                <w:sz w:val="14"/>
                <w:szCs w:val="14"/>
              </w:rPr>
            </w:pPr>
          </w:p>
        </w:tc>
        <w:tc>
          <w:tcPr>
            <w:tcW w:w="1179" w:type="pct"/>
            <w:noWrap/>
            <w:hideMark/>
          </w:tcPr>
          <w:p w14:paraId="2D35FD54" w14:textId="77777777" w:rsidR="00E16269" w:rsidRPr="00B93EE1" w:rsidRDefault="00E16269" w:rsidP="006D1F8B">
            <w:pPr>
              <w:jc w:val="left"/>
              <w:rPr>
                <w:sz w:val="14"/>
                <w:szCs w:val="14"/>
              </w:rPr>
            </w:pPr>
            <w:r w:rsidRPr="00B93EE1">
              <w:rPr>
                <w:sz w:val="14"/>
                <w:szCs w:val="14"/>
              </w:rPr>
              <w:t>1-6 + 7f cargo</w:t>
            </w:r>
          </w:p>
        </w:tc>
        <w:tc>
          <w:tcPr>
            <w:tcW w:w="1023" w:type="pct"/>
            <w:hideMark/>
          </w:tcPr>
          <w:p w14:paraId="0B444D98"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56617E09" w14:textId="77777777" w:rsidR="00E16269" w:rsidRPr="00B93EE1" w:rsidRDefault="00E16269" w:rsidP="006D1F8B">
            <w:pPr>
              <w:jc w:val="left"/>
              <w:rPr>
                <w:sz w:val="14"/>
                <w:szCs w:val="14"/>
              </w:rPr>
            </w:pPr>
            <w:r w:rsidRPr="00B93EE1">
              <w:rPr>
                <w:sz w:val="14"/>
                <w:szCs w:val="14"/>
              </w:rPr>
              <w:t>PI, PPB and ERC + a CARICOM carrier provision for Jamaica</w:t>
            </w:r>
          </w:p>
        </w:tc>
      </w:tr>
      <w:tr w:rsidR="00E16269" w:rsidRPr="00B93EE1" w14:paraId="5AB987A2"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5885E28B" w14:textId="77777777" w:rsidR="00E16269" w:rsidRPr="00B93EE1" w:rsidRDefault="00E16269" w:rsidP="006D1F8B">
            <w:pPr>
              <w:jc w:val="left"/>
              <w:rPr>
                <w:b/>
                <w:bCs/>
                <w:sz w:val="14"/>
                <w:szCs w:val="14"/>
              </w:rPr>
            </w:pPr>
            <w:r w:rsidRPr="00B93EE1">
              <w:rPr>
                <w:b/>
                <w:bCs/>
                <w:sz w:val="14"/>
                <w:szCs w:val="14"/>
              </w:rPr>
              <w:t>Japan</w:t>
            </w:r>
          </w:p>
        </w:tc>
        <w:tc>
          <w:tcPr>
            <w:tcW w:w="629" w:type="pct"/>
            <w:hideMark/>
          </w:tcPr>
          <w:p w14:paraId="2350CA23" w14:textId="77777777" w:rsidR="00E16269" w:rsidRPr="00B93EE1" w:rsidRDefault="00E16269" w:rsidP="006D1F8B">
            <w:pPr>
              <w:jc w:val="left"/>
              <w:rPr>
                <w:b/>
                <w:bCs/>
                <w:sz w:val="14"/>
                <w:szCs w:val="14"/>
              </w:rPr>
            </w:pPr>
          </w:p>
        </w:tc>
        <w:tc>
          <w:tcPr>
            <w:tcW w:w="1179" w:type="pct"/>
            <w:noWrap/>
            <w:hideMark/>
          </w:tcPr>
          <w:p w14:paraId="6D6759CF" w14:textId="77777777" w:rsidR="00E16269" w:rsidRPr="00B93EE1" w:rsidRDefault="00E16269" w:rsidP="006D1F8B">
            <w:pPr>
              <w:jc w:val="left"/>
              <w:rPr>
                <w:sz w:val="14"/>
                <w:szCs w:val="14"/>
              </w:rPr>
            </w:pPr>
            <w:r w:rsidRPr="00B93EE1">
              <w:rPr>
                <w:sz w:val="14"/>
                <w:szCs w:val="14"/>
              </w:rPr>
              <w:t>1-5</w:t>
            </w:r>
          </w:p>
        </w:tc>
        <w:tc>
          <w:tcPr>
            <w:tcW w:w="1023" w:type="pct"/>
            <w:hideMark/>
          </w:tcPr>
          <w:p w14:paraId="30ED43C6"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194DDA39" w14:textId="77777777" w:rsidR="00E16269" w:rsidRPr="00B93EE1" w:rsidRDefault="00E16269" w:rsidP="006D1F8B">
            <w:pPr>
              <w:jc w:val="left"/>
              <w:rPr>
                <w:sz w:val="14"/>
                <w:szCs w:val="14"/>
              </w:rPr>
            </w:pPr>
            <w:r w:rsidRPr="00B93EE1">
              <w:rPr>
                <w:sz w:val="14"/>
                <w:szCs w:val="14"/>
              </w:rPr>
              <w:t>SO and EC</w:t>
            </w:r>
          </w:p>
        </w:tc>
      </w:tr>
      <w:tr w:rsidR="00E16269" w:rsidRPr="00B93EE1" w14:paraId="5A258712" w14:textId="77777777" w:rsidTr="006D1F8B">
        <w:tc>
          <w:tcPr>
            <w:tcW w:w="1019" w:type="pct"/>
            <w:noWrap/>
            <w:hideMark/>
          </w:tcPr>
          <w:p w14:paraId="1A954445" w14:textId="77777777" w:rsidR="00E16269" w:rsidRPr="00B93EE1" w:rsidRDefault="00E16269" w:rsidP="006D1F8B">
            <w:pPr>
              <w:jc w:val="left"/>
              <w:rPr>
                <w:b/>
                <w:bCs/>
                <w:sz w:val="14"/>
                <w:szCs w:val="14"/>
              </w:rPr>
            </w:pPr>
            <w:r w:rsidRPr="00B93EE1">
              <w:rPr>
                <w:b/>
                <w:bCs/>
                <w:sz w:val="14"/>
                <w:szCs w:val="14"/>
              </w:rPr>
              <w:t>Kiribati</w:t>
            </w:r>
          </w:p>
        </w:tc>
        <w:tc>
          <w:tcPr>
            <w:tcW w:w="629" w:type="pct"/>
            <w:hideMark/>
          </w:tcPr>
          <w:p w14:paraId="6B68CC8D" w14:textId="77777777" w:rsidR="00E16269" w:rsidRPr="00B93EE1" w:rsidRDefault="00E16269" w:rsidP="006D1F8B">
            <w:pPr>
              <w:jc w:val="left"/>
              <w:rPr>
                <w:b/>
                <w:bCs/>
                <w:sz w:val="14"/>
                <w:szCs w:val="14"/>
              </w:rPr>
            </w:pPr>
          </w:p>
        </w:tc>
        <w:tc>
          <w:tcPr>
            <w:tcW w:w="1179" w:type="pct"/>
            <w:noWrap/>
            <w:hideMark/>
          </w:tcPr>
          <w:p w14:paraId="2E7C33FC" w14:textId="77777777" w:rsidR="00E16269" w:rsidRPr="00B93EE1" w:rsidRDefault="00E16269" w:rsidP="006D1F8B">
            <w:pPr>
              <w:jc w:val="left"/>
              <w:rPr>
                <w:sz w:val="14"/>
                <w:szCs w:val="14"/>
              </w:rPr>
            </w:pPr>
            <w:r w:rsidRPr="00B93EE1">
              <w:rPr>
                <w:sz w:val="14"/>
                <w:szCs w:val="14"/>
              </w:rPr>
              <w:t xml:space="preserve">1-7 </w:t>
            </w:r>
          </w:p>
        </w:tc>
        <w:tc>
          <w:tcPr>
            <w:tcW w:w="1023" w:type="pct"/>
            <w:hideMark/>
          </w:tcPr>
          <w:p w14:paraId="6DE320A3"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3D68021A" w14:textId="77777777" w:rsidR="00E16269" w:rsidRPr="00B93EE1" w:rsidRDefault="00E16269" w:rsidP="006D1F8B">
            <w:pPr>
              <w:jc w:val="left"/>
              <w:rPr>
                <w:sz w:val="14"/>
                <w:szCs w:val="14"/>
              </w:rPr>
            </w:pPr>
            <w:r w:rsidRPr="00B93EE1">
              <w:rPr>
                <w:sz w:val="14"/>
                <w:szCs w:val="14"/>
              </w:rPr>
              <w:t>PI, PPB and ERC</w:t>
            </w:r>
          </w:p>
        </w:tc>
      </w:tr>
      <w:tr w:rsidR="00E16269" w:rsidRPr="00B93EE1" w14:paraId="037106E4"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6CBB9F65" w14:textId="77777777" w:rsidR="00E16269" w:rsidRPr="00B93EE1" w:rsidRDefault="00E16269" w:rsidP="006D1F8B">
            <w:pPr>
              <w:jc w:val="left"/>
              <w:rPr>
                <w:b/>
                <w:bCs/>
                <w:sz w:val="14"/>
                <w:szCs w:val="14"/>
              </w:rPr>
            </w:pPr>
            <w:r w:rsidRPr="00B93EE1">
              <w:rPr>
                <w:b/>
                <w:bCs/>
                <w:sz w:val="14"/>
                <w:szCs w:val="14"/>
              </w:rPr>
              <w:t>Korea, Republic of</w:t>
            </w:r>
          </w:p>
        </w:tc>
        <w:tc>
          <w:tcPr>
            <w:tcW w:w="629" w:type="pct"/>
            <w:noWrap/>
            <w:hideMark/>
          </w:tcPr>
          <w:p w14:paraId="74DEC812" w14:textId="77777777" w:rsidR="00E16269" w:rsidRPr="00B93EE1" w:rsidRDefault="00E16269" w:rsidP="006D1F8B">
            <w:pPr>
              <w:jc w:val="left"/>
              <w:rPr>
                <w:b/>
                <w:bCs/>
                <w:sz w:val="14"/>
                <w:szCs w:val="14"/>
              </w:rPr>
            </w:pPr>
          </w:p>
        </w:tc>
        <w:tc>
          <w:tcPr>
            <w:tcW w:w="1179" w:type="pct"/>
            <w:noWrap/>
            <w:hideMark/>
          </w:tcPr>
          <w:p w14:paraId="21AE4769" w14:textId="77777777" w:rsidR="00E16269" w:rsidRPr="00B93EE1" w:rsidRDefault="00E16269" w:rsidP="006D1F8B">
            <w:pPr>
              <w:jc w:val="left"/>
              <w:rPr>
                <w:sz w:val="14"/>
                <w:szCs w:val="14"/>
              </w:rPr>
            </w:pPr>
            <w:r w:rsidRPr="00B93EE1">
              <w:rPr>
                <w:sz w:val="14"/>
                <w:szCs w:val="14"/>
              </w:rPr>
              <w:t>1-5</w:t>
            </w:r>
          </w:p>
        </w:tc>
        <w:tc>
          <w:tcPr>
            <w:tcW w:w="1023" w:type="pct"/>
            <w:hideMark/>
          </w:tcPr>
          <w:p w14:paraId="35F65E23"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47863A22" w14:textId="77777777" w:rsidR="00E16269" w:rsidRPr="00B93EE1" w:rsidRDefault="00E16269" w:rsidP="006D1F8B">
            <w:pPr>
              <w:jc w:val="left"/>
              <w:rPr>
                <w:sz w:val="14"/>
                <w:szCs w:val="14"/>
              </w:rPr>
            </w:pPr>
            <w:r w:rsidRPr="00B93EE1">
              <w:rPr>
                <w:sz w:val="14"/>
                <w:szCs w:val="14"/>
              </w:rPr>
              <w:t>SO and EC</w:t>
            </w:r>
          </w:p>
        </w:tc>
      </w:tr>
      <w:tr w:rsidR="00E16269" w:rsidRPr="00B93EE1" w14:paraId="5DA44697" w14:textId="77777777" w:rsidTr="006D1F8B">
        <w:tc>
          <w:tcPr>
            <w:tcW w:w="1019" w:type="pct"/>
            <w:noWrap/>
            <w:hideMark/>
          </w:tcPr>
          <w:p w14:paraId="222218D2" w14:textId="77777777" w:rsidR="00E16269" w:rsidRPr="00B93EE1" w:rsidRDefault="00E16269" w:rsidP="006D1F8B">
            <w:pPr>
              <w:jc w:val="left"/>
              <w:rPr>
                <w:b/>
                <w:bCs/>
                <w:sz w:val="14"/>
                <w:szCs w:val="14"/>
              </w:rPr>
            </w:pPr>
            <w:r w:rsidRPr="00B93EE1">
              <w:rPr>
                <w:b/>
                <w:bCs/>
                <w:sz w:val="14"/>
                <w:szCs w:val="14"/>
              </w:rPr>
              <w:t>Kuwait, State of</w:t>
            </w:r>
          </w:p>
        </w:tc>
        <w:tc>
          <w:tcPr>
            <w:tcW w:w="629" w:type="pct"/>
            <w:noWrap/>
            <w:hideMark/>
          </w:tcPr>
          <w:p w14:paraId="111EE86A" w14:textId="77777777" w:rsidR="00E16269" w:rsidRPr="00B93EE1" w:rsidRDefault="00E16269" w:rsidP="006D1F8B">
            <w:pPr>
              <w:jc w:val="left"/>
              <w:rPr>
                <w:b/>
                <w:bCs/>
                <w:sz w:val="14"/>
                <w:szCs w:val="14"/>
              </w:rPr>
            </w:pPr>
          </w:p>
        </w:tc>
        <w:tc>
          <w:tcPr>
            <w:tcW w:w="1179" w:type="pct"/>
            <w:noWrap/>
            <w:hideMark/>
          </w:tcPr>
          <w:p w14:paraId="69C6DFDB" w14:textId="77777777" w:rsidR="00E16269" w:rsidRPr="00B93EE1" w:rsidRDefault="00E16269" w:rsidP="006D1F8B">
            <w:pPr>
              <w:jc w:val="left"/>
              <w:rPr>
                <w:sz w:val="14"/>
                <w:szCs w:val="14"/>
              </w:rPr>
            </w:pPr>
            <w:r w:rsidRPr="00B93EE1">
              <w:rPr>
                <w:sz w:val="14"/>
                <w:szCs w:val="14"/>
              </w:rPr>
              <w:t>1-6, 7 cargo</w:t>
            </w:r>
          </w:p>
        </w:tc>
        <w:tc>
          <w:tcPr>
            <w:tcW w:w="1023" w:type="pct"/>
            <w:hideMark/>
          </w:tcPr>
          <w:p w14:paraId="0D86BAFD"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04C03B01" w14:textId="77777777" w:rsidR="00E16269" w:rsidRPr="00B93EE1" w:rsidRDefault="00E16269" w:rsidP="006D1F8B">
            <w:pPr>
              <w:jc w:val="left"/>
              <w:rPr>
                <w:sz w:val="14"/>
                <w:szCs w:val="14"/>
              </w:rPr>
            </w:pPr>
            <w:r w:rsidRPr="00B93EE1">
              <w:rPr>
                <w:sz w:val="14"/>
                <w:szCs w:val="14"/>
              </w:rPr>
              <w:t>PI, PPB and ERC</w:t>
            </w:r>
          </w:p>
        </w:tc>
      </w:tr>
      <w:tr w:rsidR="00E16269" w:rsidRPr="00B93EE1" w14:paraId="49C24D0B"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0234F5A9" w14:textId="77777777" w:rsidR="00E16269" w:rsidRPr="00B93EE1" w:rsidRDefault="00E16269" w:rsidP="006D1F8B">
            <w:pPr>
              <w:jc w:val="left"/>
              <w:rPr>
                <w:b/>
                <w:bCs/>
                <w:sz w:val="14"/>
                <w:szCs w:val="14"/>
              </w:rPr>
            </w:pPr>
            <w:r w:rsidRPr="00B93EE1">
              <w:rPr>
                <w:b/>
                <w:bCs/>
                <w:sz w:val="14"/>
                <w:szCs w:val="14"/>
              </w:rPr>
              <w:t>Lao People's Democratic Republic</w:t>
            </w:r>
          </w:p>
        </w:tc>
        <w:tc>
          <w:tcPr>
            <w:tcW w:w="629" w:type="pct"/>
            <w:noWrap/>
            <w:hideMark/>
          </w:tcPr>
          <w:p w14:paraId="44C10FF6" w14:textId="77777777" w:rsidR="00E16269" w:rsidRPr="00B93EE1" w:rsidRDefault="00E16269" w:rsidP="006D1F8B">
            <w:pPr>
              <w:jc w:val="left"/>
              <w:rPr>
                <w:b/>
                <w:bCs/>
                <w:sz w:val="14"/>
                <w:szCs w:val="14"/>
              </w:rPr>
            </w:pPr>
          </w:p>
        </w:tc>
        <w:tc>
          <w:tcPr>
            <w:tcW w:w="1179" w:type="pct"/>
            <w:noWrap/>
            <w:hideMark/>
          </w:tcPr>
          <w:p w14:paraId="3D8E39B8" w14:textId="77777777" w:rsidR="00E16269" w:rsidRPr="00B93EE1" w:rsidRDefault="00E16269" w:rsidP="006D1F8B">
            <w:pPr>
              <w:jc w:val="left"/>
              <w:rPr>
                <w:sz w:val="14"/>
                <w:szCs w:val="14"/>
              </w:rPr>
            </w:pPr>
            <w:r w:rsidRPr="00B93EE1">
              <w:rPr>
                <w:sz w:val="14"/>
                <w:szCs w:val="14"/>
              </w:rPr>
              <w:t>1-5</w:t>
            </w:r>
          </w:p>
        </w:tc>
        <w:tc>
          <w:tcPr>
            <w:tcW w:w="1023" w:type="pct"/>
            <w:hideMark/>
          </w:tcPr>
          <w:p w14:paraId="14492129"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5489E927" w14:textId="77777777" w:rsidR="00E16269" w:rsidRPr="00B93EE1" w:rsidRDefault="00E16269" w:rsidP="006D1F8B">
            <w:pPr>
              <w:jc w:val="left"/>
              <w:rPr>
                <w:sz w:val="14"/>
                <w:szCs w:val="14"/>
              </w:rPr>
            </w:pPr>
            <w:r w:rsidRPr="00B93EE1">
              <w:rPr>
                <w:sz w:val="14"/>
                <w:szCs w:val="14"/>
              </w:rPr>
              <w:t>PI, PPB and ERC</w:t>
            </w:r>
          </w:p>
        </w:tc>
      </w:tr>
      <w:tr w:rsidR="00E16269" w:rsidRPr="00B93EE1" w14:paraId="20C152E6" w14:textId="77777777" w:rsidTr="006D1F8B">
        <w:tc>
          <w:tcPr>
            <w:tcW w:w="1019" w:type="pct"/>
            <w:noWrap/>
            <w:hideMark/>
          </w:tcPr>
          <w:p w14:paraId="3E126A99" w14:textId="77777777" w:rsidR="00E16269" w:rsidRPr="00B93EE1" w:rsidRDefault="00E16269" w:rsidP="006D1F8B">
            <w:pPr>
              <w:jc w:val="left"/>
              <w:rPr>
                <w:b/>
                <w:bCs/>
                <w:sz w:val="14"/>
                <w:szCs w:val="14"/>
              </w:rPr>
            </w:pPr>
            <w:r w:rsidRPr="00B93EE1">
              <w:rPr>
                <w:b/>
                <w:bCs/>
                <w:sz w:val="14"/>
                <w:szCs w:val="14"/>
              </w:rPr>
              <w:t>Luxembourg</w:t>
            </w:r>
          </w:p>
        </w:tc>
        <w:tc>
          <w:tcPr>
            <w:tcW w:w="629" w:type="pct"/>
            <w:noWrap/>
            <w:hideMark/>
          </w:tcPr>
          <w:p w14:paraId="639053FC" w14:textId="77777777" w:rsidR="00E16269" w:rsidRPr="00B93EE1" w:rsidRDefault="00E16269" w:rsidP="006D1F8B">
            <w:pPr>
              <w:jc w:val="left"/>
              <w:rPr>
                <w:b/>
                <w:bCs/>
                <w:sz w:val="14"/>
                <w:szCs w:val="14"/>
              </w:rPr>
            </w:pPr>
          </w:p>
        </w:tc>
        <w:tc>
          <w:tcPr>
            <w:tcW w:w="1179" w:type="pct"/>
            <w:noWrap/>
            <w:hideMark/>
          </w:tcPr>
          <w:p w14:paraId="32F2D3AC" w14:textId="77777777" w:rsidR="00E16269" w:rsidRPr="00B93EE1" w:rsidRDefault="00E16269" w:rsidP="006D1F8B">
            <w:pPr>
              <w:jc w:val="left"/>
              <w:rPr>
                <w:sz w:val="14"/>
                <w:szCs w:val="14"/>
              </w:rPr>
            </w:pPr>
            <w:r w:rsidRPr="00B93EE1">
              <w:rPr>
                <w:sz w:val="14"/>
                <w:szCs w:val="14"/>
              </w:rPr>
              <w:t>1-6, 7 cargo</w:t>
            </w:r>
          </w:p>
        </w:tc>
        <w:tc>
          <w:tcPr>
            <w:tcW w:w="1023" w:type="pct"/>
            <w:hideMark/>
          </w:tcPr>
          <w:p w14:paraId="28AF4142"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6667374C" w14:textId="77777777" w:rsidR="00E16269" w:rsidRPr="00B93EE1" w:rsidRDefault="00E16269" w:rsidP="006D1F8B">
            <w:pPr>
              <w:jc w:val="left"/>
              <w:rPr>
                <w:sz w:val="14"/>
                <w:szCs w:val="14"/>
              </w:rPr>
            </w:pPr>
            <w:r w:rsidRPr="00B93EE1">
              <w:rPr>
                <w:sz w:val="14"/>
                <w:szCs w:val="14"/>
              </w:rPr>
              <w:t>PI, PPB, and ERC</w:t>
            </w:r>
          </w:p>
        </w:tc>
      </w:tr>
      <w:tr w:rsidR="00E16269" w:rsidRPr="00B93EE1" w14:paraId="0BEAF201"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339617CC" w14:textId="77777777" w:rsidR="00E16269" w:rsidRPr="00B93EE1" w:rsidRDefault="00E16269" w:rsidP="006D1F8B">
            <w:pPr>
              <w:jc w:val="left"/>
              <w:rPr>
                <w:b/>
                <w:bCs/>
                <w:sz w:val="14"/>
                <w:szCs w:val="14"/>
              </w:rPr>
            </w:pPr>
            <w:r w:rsidRPr="00B93EE1">
              <w:rPr>
                <w:b/>
                <w:bCs/>
                <w:sz w:val="14"/>
                <w:szCs w:val="14"/>
              </w:rPr>
              <w:t>Macao, China</w:t>
            </w:r>
          </w:p>
        </w:tc>
        <w:tc>
          <w:tcPr>
            <w:tcW w:w="629" w:type="pct"/>
            <w:noWrap/>
            <w:hideMark/>
          </w:tcPr>
          <w:p w14:paraId="201BC993" w14:textId="77777777" w:rsidR="00E16269" w:rsidRPr="00B93EE1" w:rsidRDefault="00E16269" w:rsidP="006D1F8B">
            <w:pPr>
              <w:jc w:val="left"/>
              <w:rPr>
                <w:b/>
                <w:bCs/>
                <w:sz w:val="14"/>
                <w:szCs w:val="14"/>
              </w:rPr>
            </w:pPr>
          </w:p>
        </w:tc>
        <w:tc>
          <w:tcPr>
            <w:tcW w:w="1179" w:type="pct"/>
            <w:noWrap/>
            <w:hideMark/>
          </w:tcPr>
          <w:p w14:paraId="6510C56C" w14:textId="77777777" w:rsidR="00E16269" w:rsidRPr="00B93EE1" w:rsidRDefault="00E16269" w:rsidP="006D1F8B">
            <w:pPr>
              <w:jc w:val="left"/>
              <w:rPr>
                <w:sz w:val="14"/>
                <w:szCs w:val="14"/>
              </w:rPr>
            </w:pPr>
            <w:r w:rsidRPr="00B93EE1">
              <w:rPr>
                <w:sz w:val="14"/>
                <w:szCs w:val="14"/>
              </w:rPr>
              <w:t>1-6</w:t>
            </w:r>
          </w:p>
        </w:tc>
        <w:tc>
          <w:tcPr>
            <w:tcW w:w="1023" w:type="pct"/>
            <w:hideMark/>
          </w:tcPr>
          <w:p w14:paraId="4F72A2D7" w14:textId="77777777" w:rsidR="00E16269" w:rsidRPr="00B93EE1" w:rsidRDefault="00E16269" w:rsidP="006D1F8B">
            <w:pPr>
              <w:jc w:val="left"/>
              <w:rPr>
                <w:sz w:val="14"/>
                <w:szCs w:val="14"/>
              </w:rPr>
            </w:pPr>
            <w:r w:rsidRPr="00B93EE1">
              <w:rPr>
                <w:sz w:val="14"/>
                <w:szCs w:val="14"/>
              </w:rPr>
              <w:t>No code-share provisions</w:t>
            </w:r>
          </w:p>
        </w:tc>
        <w:tc>
          <w:tcPr>
            <w:tcW w:w="1151" w:type="pct"/>
            <w:hideMark/>
          </w:tcPr>
          <w:p w14:paraId="7BDDED71" w14:textId="77777777" w:rsidR="00E16269" w:rsidRPr="00B93EE1" w:rsidRDefault="00E16269" w:rsidP="006D1F8B">
            <w:pPr>
              <w:jc w:val="left"/>
              <w:rPr>
                <w:sz w:val="14"/>
                <w:szCs w:val="14"/>
              </w:rPr>
            </w:pPr>
            <w:r w:rsidRPr="00B93EE1">
              <w:rPr>
                <w:sz w:val="14"/>
                <w:szCs w:val="14"/>
              </w:rPr>
              <w:t>PI and PPB</w:t>
            </w:r>
          </w:p>
        </w:tc>
      </w:tr>
      <w:tr w:rsidR="00E16269" w:rsidRPr="00B93EE1" w14:paraId="27FA3E89" w14:textId="77777777" w:rsidTr="006D1F8B">
        <w:tc>
          <w:tcPr>
            <w:tcW w:w="1019" w:type="pct"/>
            <w:noWrap/>
            <w:hideMark/>
          </w:tcPr>
          <w:p w14:paraId="4F52BDD8" w14:textId="77777777" w:rsidR="00E16269" w:rsidRPr="00B93EE1" w:rsidRDefault="00E16269" w:rsidP="006D1F8B">
            <w:pPr>
              <w:jc w:val="left"/>
              <w:rPr>
                <w:b/>
                <w:bCs/>
                <w:sz w:val="14"/>
                <w:szCs w:val="14"/>
              </w:rPr>
            </w:pPr>
            <w:r w:rsidRPr="00B93EE1">
              <w:rPr>
                <w:b/>
                <w:bCs/>
                <w:sz w:val="14"/>
                <w:szCs w:val="14"/>
              </w:rPr>
              <w:t>Malaysia</w:t>
            </w:r>
          </w:p>
        </w:tc>
        <w:tc>
          <w:tcPr>
            <w:tcW w:w="629" w:type="pct"/>
            <w:noWrap/>
            <w:hideMark/>
          </w:tcPr>
          <w:p w14:paraId="3449EB20" w14:textId="77777777" w:rsidR="00E16269" w:rsidRPr="00B93EE1" w:rsidRDefault="00E16269" w:rsidP="006D1F8B">
            <w:pPr>
              <w:jc w:val="left"/>
              <w:rPr>
                <w:b/>
                <w:bCs/>
                <w:sz w:val="14"/>
                <w:szCs w:val="14"/>
              </w:rPr>
            </w:pPr>
          </w:p>
        </w:tc>
        <w:tc>
          <w:tcPr>
            <w:tcW w:w="1179" w:type="pct"/>
            <w:noWrap/>
            <w:hideMark/>
          </w:tcPr>
          <w:p w14:paraId="12CDF46F" w14:textId="77777777" w:rsidR="00E16269" w:rsidRPr="00B93EE1" w:rsidRDefault="00E16269" w:rsidP="006D1F8B">
            <w:pPr>
              <w:jc w:val="left"/>
              <w:rPr>
                <w:sz w:val="14"/>
                <w:szCs w:val="14"/>
              </w:rPr>
            </w:pPr>
            <w:r w:rsidRPr="00B93EE1">
              <w:rPr>
                <w:sz w:val="14"/>
                <w:szCs w:val="14"/>
              </w:rPr>
              <w:t>1-7</w:t>
            </w:r>
          </w:p>
        </w:tc>
        <w:tc>
          <w:tcPr>
            <w:tcW w:w="1023" w:type="pct"/>
            <w:hideMark/>
          </w:tcPr>
          <w:p w14:paraId="0226F695"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2BCE64B5" w14:textId="77777777" w:rsidR="00E16269" w:rsidRPr="00B93EE1" w:rsidRDefault="00E16269" w:rsidP="006D1F8B">
            <w:pPr>
              <w:jc w:val="left"/>
              <w:rPr>
                <w:sz w:val="14"/>
                <w:szCs w:val="14"/>
              </w:rPr>
            </w:pPr>
            <w:r w:rsidRPr="00B93EE1">
              <w:rPr>
                <w:sz w:val="14"/>
                <w:szCs w:val="14"/>
              </w:rPr>
              <w:t>PI, PPB and EC</w:t>
            </w:r>
          </w:p>
        </w:tc>
      </w:tr>
      <w:tr w:rsidR="00E16269" w:rsidRPr="00B93EE1" w14:paraId="119F7953"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463DE2E3" w14:textId="77777777" w:rsidR="00E16269" w:rsidRPr="00B93EE1" w:rsidRDefault="00E16269" w:rsidP="006D1F8B">
            <w:pPr>
              <w:jc w:val="left"/>
              <w:rPr>
                <w:b/>
                <w:bCs/>
                <w:sz w:val="14"/>
                <w:szCs w:val="14"/>
              </w:rPr>
            </w:pPr>
            <w:r w:rsidRPr="00B93EE1">
              <w:rPr>
                <w:b/>
                <w:bCs/>
                <w:sz w:val="14"/>
                <w:szCs w:val="14"/>
              </w:rPr>
              <w:t>Mauritius</w:t>
            </w:r>
          </w:p>
        </w:tc>
        <w:tc>
          <w:tcPr>
            <w:tcW w:w="629" w:type="pct"/>
            <w:noWrap/>
            <w:hideMark/>
          </w:tcPr>
          <w:p w14:paraId="4F36057E" w14:textId="77777777" w:rsidR="00E16269" w:rsidRPr="00B93EE1" w:rsidRDefault="00E16269" w:rsidP="006D1F8B">
            <w:pPr>
              <w:jc w:val="left"/>
              <w:rPr>
                <w:b/>
                <w:bCs/>
                <w:sz w:val="14"/>
                <w:szCs w:val="14"/>
              </w:rPr>
            </w:pPr>
          </w:p>
        </w:tc>
        <w:tc>
          <w:tcPr>
            <w:tcW w:w="1179" w:type="pct"/>
            <w:hideMark/>
          </w:tcPr>
          <w:p w14:paraId="667D833F" w14:textId="77777777" w:rsidR="00E16269" w:rsidRPr="00B93EE1" w:rsidRDefault="00E16269" w:rsidP="006D1F8B">
            <w:pPr>
              <w:jc w:val="left"/>
              <w:rPr>
                <w:sz w:val="14"/>
                <w:szCs w:val="14"/>
              </w:rPr>
            </w:pPr>
            <w:r w:rsidRPr="00B93EE1">
              <w:rPr>
                <w:sz w:val="14"/>
                <w:szCs w:val="14"/>
              </w:rPr>
              <w:t>1-4 for pax and 1-5 for cargo</w:t>
            </w:r>
          </w:p>
        </w:tc>
        <w:tc>
          <w:tcPr>
            <w:tcW w:w="1023" w:type="pct"/>
            <w:hideMark/>
          </w:tcPr>
          <w:p w14:paraId="7820E4DF"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20F928D0" w14:textId="77777777" w:rsidR="00E16269" w:rsidRPr="00B93EE1" w:rsidRDefault="00E16269" w:rsidP="006D1F8B">
            <w:pPr>
              <w:jc w:val="left"/>
              <w:rPr>
                <w:sz w:val="14"/>
                <w:szCs w:val="14"/>
              </w:rPr>
            </w:pPr>
            <w:r w:rsidRPr="00B93EE1">
              <w:rPr>
                <w:sz w:val="14"/>
                <w:szCs w:val="14"/>
              </w:rPr>
              <w:t>PI, PPB, and ERC for New Zealand and PI, SO and EC and ERC for Mauritius</w:t>
            </w:r>
          </w:p>
        </w:tc>
      </w:tr>
      <w:tr w:rsidR="00E16269" w:rsidRPr="00B93EE1" w14:paraId="38155DE9" w14:textId="77777777" w:rsidTr="006D1F8B">
        <w:tc>
          <w:tcPr>
            <w:tcW w:w="1019" w:type="pct"/>
            <w:noWrap/>
            <w:hideMark/>
          </w:tcPr>
          <w:p w14:paraId="2DFE1CC0" w14:textId="77777777" w:rsidR="00E16269" w:rsidRPr="00B93EE1" w:rsidRDefault="00E16269" w:rsidP="006D1F8B">
            <w:pPr>
              <w:jc w:val="left"/>
              <w:rPr>
                <w:b/>
                <w:bCs/>
                <w:sz w:val="14"/>
                <w:szCs w:val="14"/>
              </w:rPr>
            </w:pPr>
            <w:r w:rsidRPr="00B93EE1">
              <w:rPr>
                <w:b/>
                <w:bCs/>
                <w:sz w:val="14"/>
                <w:szCs w:val="14"/>
              </w:rPr>
              <w:t>Mexico</w:t>
            </w:r>
          </w:p>
        </w:tc>
        <w:tc>
          <w:tcPr>
            <w:tcW w:w="629" w:type="pct"/>
            <w:noWrap/>
            <w:hideMark/>
          </w:tcPr>
          <w:p w14:paraId="08A1C30D" w14:textId="77777777" w:rsidR="00E16269" w:rsidRPr="00B93EE1" w:rsidRDefault="00E16269" w:rsidP="006D1F8B">
            <w:pPr>
              <w:jc w:val="left"/>
              <w:rPr>
                <w:b/>
                <w:bCs/>
                <w:sz w:val="14"/>
                <w:szCs w:val="14"/>
              </w:rPr>
            </w:pPr>
          </w:p>
        </w:tc>
        <w:tc>
          <w:tcPr>
            <w:tcW w:w="1179" w:type="pct"/>
            <w:hideMark/>
          </w:tcPr>
          <w:p w14:paraId="40C48045" w14:textId="77777777" w:rsidR="00E16269" w:rsidRPr="00B93EE1" w:rsidRDefault="00E16269" w:rsidP="006D1F8B">
            <w:pPr>
              <w:jc w:val="left"/>
              <w:rPr>
                <w:sz w:val="14"/>
                <w:szCs w:val="14"/>
              </w:rPr>
            </w:pPr>
            <w:r w:rsidRPr="00B93EE1">
              <w:rPr>
                <w:sz w:val="14"/>
                <w:szCs w:val="14"/>
              </w:rPr>
              <w:t>1-4</w:t>
            </w:r>
          </w:p>
        </w:tc>
        <w:tc>
          <w:tcPr>
            <w:tcW w:w="1023" w:type="pct"/>
            <w:hideMark/>
          </w:tcPr>
          <w:p w14:paraId="4D79B9E5"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51DD766F" w14:textId="77777777" w:rsidR="00E16269" w:rsidRPr="00B93EE1" w:rsidRDefault="00E16269" w:rsidP="006D1F8B">
            <w:pPr>
              <w:jc w:val="left"/>
              <w:rPr>
                <w:sz w:val="14"/>
                <w:szCs w:val="14"/>
              </w:rPr>
            </w:pPr>
            <w:r w:rsidRPr="00B93EE1">
              <w:rPr>
                <w:sz w:val="14"/>
                <w:szCs w:val="14"/>
              </w:rPr>
              <w:t>PI, PPB and EC</w:t>
            </w:r>
          </w:p>
        </w:tc>
      </w:tr>
      <w:tr w:rsidR="00E16269" w:rsidRPr="00B93EE1" w14:paraId="590A7E12"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26C08877" w14:textId="77777777" w:rsidR="00E16269" w:rsidRPr="00B93EE1" w:rsidRDefault="00E16269" w:rsidP="006D1F8B">
            <w:pPr>
              <w:jc w:val="left"/>
              <w:rPr>
                <w:b/>
                <w:bCs/>
                <w:sz w:val="14"/>
                <w:szCs w:val="14"/>
              </w:rPr>
            </w:pPr>
            <w:r w:rsidRPr="00B93EE1">
              <w:rPr>
                <w:b/>
                <w:bCs/>
                <w:sz w:val="14"/>
                <w:szCs w:val="14"/>
              </w:rPr>
              <w:t>Mongolia</w:t>
            </w:r>
          </w:p>
        </w:tc>
        <w:tc>
          <w:tcPr>
            <w:tcW w:w="629" w:type="pct"/>
            <w:noWrap/>
            <w:hideMark/>
          </w:tcPr>
          <w:p w14:paraId="43400862" w14:textId="77777777" w:rsidR="00E16269" w:rsidRPr="00B93EE1" w:rsidRDefault="00E16269" w:rsidP="006D1F8B">
            <w:pPr>
              <w:jc w:val="left"/>
              <w:rPr>
                <w:sz w:val="14"/>
                <w:szCs w:val="14"/>
              </w:rPr>
            </w:pPr>
            <w:r w:rsidRPr="00B93EE1">
              <w:rPr>
                <w:sz w:val="14"/>
                <w:szCs w:val="14"/>
              </w:rPr>
              <w:t xml:space="preserve">(See </w:t>
            </w:r>
            <w:proofErr w:type="spellStart"/>
            <w:r w:rsidRPr="00B93EE1">
              <w:rPr>
                <w:sz w:val="14"/>
                <w:szCs w:val="14"/>
              </w:rPr>
              <w:t>MALIAT</w:t>
            </w:r>
            <w:proofErr w:type="spellEnd"/>
            <w:r w:rsidRPr="00B93EE1">
              <w:rPr>
                <w:sz w:val="14"/>
                <w:szCs w:val="14"/>
              </w:rPr>
              <w:t xml:space="preserve"> cargo-only)</w:t>
            </w:r>
          </w:p>
        </w:tc>
        <w:tc>
          <w:tcPr>
            <w:tcW w:w="1179" w:type="pct"/>
            <w:noWrap/>
            <w:hideMark/>
          </w:tcPr>
          <w:p w14:paraId="0A8E7890" w14:textId="77777777" w:rsidR="00E16269" w:rsidRPr="00B93EE1" w:rsidRDefault="00E16269" w:rsidP="006D1F8B">
            <w:pPr>
              <w:jc w:val="left"/>
              <w:rPr>
                <w:sz w:val="14"/>
                <w:szCs w:val="14"/>
              </w:rPr>
            </w:pPr>
          </w:p>
        </w:tc>
        <w:tc>
          <w:tcPr>
            <w:tcW w:w="1023" w:type="pct"/>
            <w:hideMark/>
          </w:tcPr>
          <w:p w14:paraId="16B3E171"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0DDC5736" w14:textId="77777777" w:rsidR="00E16269" w:rsidRPr="00B93EE1" w:rsidRDefault="00E16269" w:rsidP="006D1F8B">
            <w:pPr>
              <w:jc w:val="left"/>
              <w:rPr>
                <w:sz w:val="14"/>
                <w:szCs w:val="14"/>
              </w:rPr>
            </w:pPr>
          </w:p>
        </w:tc>
      </w:tr>
      <w:tr w:rsidR="00E16269" w:rsidRPr="00B93EE1" w14:paraId="13A3AE74" w14:textId="77777777" w:rsidTr="006D1F8B">
        <w:tc>
          <w:tcPr>
            <w:tcW w:w="1019" w:type="pct"/>
            <w:noWrap/>
            <w:hideMark/>
          </w:tcPr>
          <w:p w14:paraId="02934F03" w14:textId="77777777" w:rsidR="00E16269" w:rsidRPr="00B93EE1" w:rsidRDefault="00E16269" w:rsidP="006D1F8B">
            <w:pPr>
              <w:jc w:val="left"/>
              <w:rPr>
                <w:b/>
                <w:bCs/>
                <w:sz w:val="14"/>
                <w:szCs w:val="14"/>
              </w:rPr>
            </w:pPr>
            <w:r w:rsidRPr="00B93EE1">
              <w:rPr>
                <w:b/>
                <w:bCs/>
                <w:sz w:val="14"/>
                <w:szCs w:val="14"/>
              </w:rPr>
              <w:t>Myanmar</w:t>
            </w:r>
          </w:p>
        </w:tc>
        <w:tc>
          <w:tcPr>
            <w:tcW w:w="629" w:type="pct"/>
            <w:noWrap/>
            <w:hideMark/>
          </w:tcPr>
          <w:p w14:paraId="684ACABA" w14:textId="77777777" w:rsidR="00E16269" w:rsidRPr="00B93EE1" w:rsidRDefault="00E16269" w:rsidP="006D1F8B">
            <w:pPr>
              <w:jc w:val="left"/>
              <w:rPr>
                <w:b/>
                <w:bCs/>
                <w:sz w:val="14"/>
                <w:szCs w:val="14"/>
              </w:rPr>
            </w:pPr>
          </w:p>
        </w:tc>
        <w:tc>
          <w:tcPr>
            <w:tcW w:w="1179" w:type="pct"/>
            <w:noWrap/>
            <w:hideMark/>
          </w:tcPr>
          <w:p w14:paraId="18503AF6" w14:textId="77777777" w:rsidR="00E16269" w:rsidRPr="00B93EE1" w:rsidRDefault="00E16269" w:rsidP="006D1F8B">
            <w:pPr>
              <w:jc w:val="left"/>
              <w:rPr>
                <w:sz w:val="14"/>
                <w:szCs w:val="14"/>
              </w:rPr>
            </w:pPr>
            <w:r w:rsidRPr="00B93EE1">
              <w:rPr>
                <w:sz w:val="14"/>
                <w:szCs w:val="14"/>
              </w:rPr>
              <w:t>1-5</w:t>
            </w:r>
          </w:p>
        </w:tc>
        <w:tc>
          <w:tcPr>
            <w:tcW w:w="1023" w:type="pct"/>
            <w:hideMark/>
          </w:tcPr>
          <w:p w14:paraId="58F29D5F"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6E8C3394" w14:textId="77777777" w:rsidR="00E16269" w:rsidRPr="00B93EE1" w:rsidRDefault="00E16269" w:rsidP="006D1F8B">
            <w:pPr>
              <w:jc w:val="left"/>
              <w:rPr>
                <w:sz w:val="14"/>
                <w:szCs w:val="14"/>
              </w:rPr>
            </w:pPr>
            <w:r w:rsidRPr="00B93EE1">
              <w:rPr>
                <w:sz w:val="14"/>
                <w:szCs w:val="14"/>
              </w:rPr>
              <w:t>PI, PPB and ERC</w:t>
            </w:r>
          </w:p>
        </w:tc>
      </w:tr>
      <w:tr w:rsidR="00E16269" w:rsidRPr="00B93EE1" w14:paraId="6C5BB33D"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09684B05" w14:textId="77777777" w:rsidR="00E16269" w:rsidRPr="00B93EE1" w:rsidRDefault="00E16269" w:rsidP="006D1F8B">
            <w:pPr>
              <w:jc w:val="left"/>
              <w:rPr>
                <w:b/>
                <w:bCs/>
                <w:sz w:val="14"/>
                <w:szCs w:val="14"/>
              </w:rPr>
            </w:pPr>
            <w:r w:rsidRPr="00B93EE1">
              <w:rPr>
                <w:b/>
                <w:bCs/>
                <w:sz w:val="14"/>
                <w:szCs w:val="14"/>
              </w:rPr>
              <w:t>Nauru</w:t>
            </w:r>
          </w:p>
        </w:tc>
        <w:tc>
          <w:tcPr>
            <w:tcW w:w="629" w:type="pct"/>
            <w:noWrap/>
            <w:hideMark/>
          </w:tcPr>
          <w:p w14:paraId="0112BF1C" w14:textId="77777777" w:rsidR="00E16269" w:rsidRPr="00B93EE1" w:rsidRDefault="00E16269" w:rsidP="006D1F8B">
            <w:pPr>
              <w:jc w:val="left"/>
              <w:rPr>
                <w:b/>
                <w:bCs/>
                <w:sz w:val="14"/>
                <w:szCs w:val="14"/>
              </w:rPr>
            </w:pPr>
          </w:p>
        </w:tc>
        <w:tc>
          <w:tcPr>
            <w:tcW w:w="1179" w:type="pct"/>
            <w:noWrap/>
            <w:hideMark/>
          </w:tcPr>
          <w:p w14:paraId="473A42CE" w14:textId="77777777" w:rsidR="00E16269" w:rsidRPr="00B93EE1" w:rsidRDefault="00E16269" w:rsidP="006D1F8B">
            <w:pPr>
              <w:jc w:val="left"/>
              <w:rPr>
                <w:sz w:val="14"/>
                <w:szCs w:val="14"/>
              </w:rPr>
            </w:pPr>
            <w:r w:rsidRPr="00B93EE1">
              <w:rPr>
                <w:sz w:val="14"/>
                <w:szCs w:val="14"/>
              </w:rPr>
              <w:t>1-4</w:t>
            </w:r>
          </w:p>
        </w:tc>
        <w:tc>
          <w:tcPr>
            <w:tcW w:w="1023" w:type="pct"/>
            <w:hideMark/>
          </w:tcPr>
          <w:p w14:paraId="2121A411" w14:textId="77777777" w:rsidR="00E16269" w:rsidRPr="00B93EE1" w:rsidRDefault="00E16269" w:rsidP="006D1F8B">
            <w:pPr>
              <w:jc w:val="left"/>
              <w:rPr>
                <w:sz w:val="14"/>
                <w:szCs w:val="14"/>
              </w:rPr>
            </w:pPr>
            <w:r w:rsidRPr="00B93EE1">
              <w:rPr>
                <w:sz w:val="14"/>
                <w:szCs w:val="14"/>
              </w:rPr>
              <w:t>No code-share provisions</w:t>
            </w:r>
          </w:p>
        </w:tc>
        <w:tc>
          <w:tcPr>
            <w:tcW w:w="1151" w:type="pct"/>
            <w:noWrap/>
            <w:hideMark/>
          </w:tcPr>
          <w:p w14:paraId="229FED34" w14:textId="77777777" w:rsidR="00E16269" w:rsidRPr="00B93EE1" w:rsidRDefault="00E16269" w:rsidP="006D1F8B">
            <w:pPr>
              <w:jc w:val="left"/>
              <w:rPr>
                <w:sz w:val="14"/>
                <w:szCs w:val="14"/>
              </w:rPr>
            </w:pPr>
            <w:r w:rsidRPr="00B93EE1">
              <w:rPr>
                <w:sz w:val="14"/>
                <w:szCs w:val="14"/>
              </w:rPr>
              <w:t>SO and EC</w:t>
            </w:r>
          </w:p>
        </w:tc>
      </w:tr>
      <w:tr w:rsidR="00E16269" w:rsidRPr="00B93EE1" w14:paraId="1F02F87F" w14:textId="77777777" w:rsidTr="006D1F8B">
        <w:tc>
          <w:tcPr>
            <w:tcW w:w="1019" w:type="pct"/>
            <w:noWrap/>
            <w:hideMark/>
          </w:tcPr>
          <w:p w14:paraId="14F812B7" w14:textId="77777777" w:rsidR="00E16269" w:rsidRPr="00B93EE1" w:rsidRDefault="00E16269" w:rsidP="006D1F8B">
            <w:pPr>
              <w:jc w:val="left"/>
              <w:rPr>
                <w:b/>
                <w:bCs/>
                <w:sz w:val="14"/>
                <w:szCs w:val="14"/>
              </w:rPr>
            </w:pPr>
            <w:r w:rsidRPr="00B93EE1">
              <w:rPr>
                <w:b/>
                <w:bCs/>
                <w:sz w:val="14"/>
                <w:szCs w:val="14"/>
              </w:rPr>
              <w:t>Niue</w:t>
            </w:r>
          </w:p>
        </w:tc>
        <w:tc>
          <w:tcPr>
            <w:tcW w:w="629" w:type="pct"/>
            <w:noWrap/>
            <w:hideMark/>
          </w:tcPr>
          <w:p w14:paraId="0BF2AB29" w14:textId="77777777" w:rsidR="00E16269" w:rsidRPr="00B93EE1" w:rsidRDefault="00E16269" w:rsidP="006D1F8B">
            <w:pPr>
              <w:jc w:val="left"/>
              <w:rPr>
                <w:b/>
                <w:bCs/>
                <w:sz w:val="14"/>
                <w:szCs w:val="14"/>
              </w:rPr>
            </w:pPr>
          </w:p>
        </w:tc>
        <w:tc>
          <w:tcPr>
            <w:tcW w:w="1179" w:type="pct"/>
            <w:noWrap/>
            <w:hideMark/>
          </w:tcPr>
          <w:p w14:paraId="779CEB9A" w14:textId="77777777" w:rsidR="00E16269" w:rsidRPr="00B93EE1" w:rsidRDefault="00E16269" w:rsidP="006D1F8B">
            <w:pPr>
              <w:jc w:val="left"/>
              <w:rPr>
                <w:sz w:val="14"/>
                <w:szCs w:val="14"/>
              </w:rPr>
            </w:pPr>
            <w:r w:rsidRPr="00B93EE1">
              <w:rPr>
                <w:sz w:val="14"/>
                <w:szCs w:val="14"/>
              </w:rPr>
              <w:t>1-5</w:t>
            </w:r>
          </w:p>
        </w:tc>
        <w:tc>
          <w:tcPr>
            <w:tcW w:w="1023" w:type="pct"/>
            <w:hideMark/>
          </w:tcPr>
          <w:p w14:paraId="5A077D7D" w14:textId="77777777" w:rsidR="00E16269" w:rsidRPr="00B93EE1" w:rsidRDefault="00E16269" w:rsidP="006D1F8B">
            <w:pPr>
              <w:jc w:val="left"/>
              <w:rPr>
                <w:sz w:val="14"/>
                <w:szCs w:val="14"/>
              </w:rPr>
            </w:pPr>
            <w:r w:rsidRPr="00B93EE1">
              <w:rPr>
                <w:sz w:val="14"/>
                <w:szCs w:val="14"/>
              </w:rPr>
              <w:t>No code-sharing provisions</w:t>
            </w:r>
          </w:p>
        </w:tc>
        <w:tc>
          <w:tcPr>
            <w:tcW w:w="1151" w:type="pct"/>
            <w:noWrap/>
            <w:hideMark/>
          </w:tcPr>
          <w:p w14:paraId="6C65F8B4" w14:textId="77777777" w:rsidR="00E16269" w:rsidRPr="00B93EE1" w:rsidRDefault="00E16269" w:rsidP="006D1F8B">
            <w:pPr>
              <w:jc w:val="left"/>
              <w:rPr>
                <w:sz w:val="14"/>
                <w:szCs w:val="14"/>
              </w:rPr>
            </w:pPr>
            <w:r w:rsidRPr="00B93EE1">
              <w:rPr>
                <w:sz w:val="14"/>
                <w:szCs w:val="14"/>
              </w:rPr>
              <w:t>SO and EC</w:t>
            </w:r>
          </w:p>
        </w:tc>
      </w:tr>
      <w:tr w:rsidR="00E16269" w:rsidRPr="00B93EE1" w14:paraId="653BCC58"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5003D137" w14:textId="77777777" w:rsidR="00E16269" w:rsidRPr="00B93EE1" w:rsidRDefault="00E16269" w:rsidP="006D1F8B">
            <w:pPr>
              <w:jc w:val="left"/>
              <w:rPr>
                <w:b/>
                <w:bCs/>
                <w:sz w:val="14"/>
                <w:szCs w:val="14"/>
              </w:rPr>
            </w:pPr>
            <w:r w:rsidRPr="00B93EE1">
              <w:rPr>
                <w:b/>
                <w:bCs/>
                <w:sz w:val="14"/>
                <w:szCs w:val="14"/>
              </w:rPr>
              <w:t>Norway</w:t>
            </w:r>
          </w:p>
        </w:tc>
        <w:tc>
          <w:tcPr>
            <w:tcW w:w="629" w:type="pct"/>
            <w:noWrap/>
            <w:hideMark/>
          </w:tcPr>
          <w:p w14:paraId="3D7E03D9" w14:textId="77777777" w:rsidR="00E16269" w:rsidRPr="00B93EE1" w:rsidRDefault="00E16269" w:rsidP="006D1F8B">
            <w:pPr>
              <w:jc w:val="left"/>
              <w:rPr>
                <w:b/>
                <w:bCs/>
                <w:sz w:val="14"/>
                <w:szCs w:val="14"/>
              </w:rPr>
            </w:pPr>
          </w:p>
        </w:tc>
        <w:tc>
          <w:tcPr>
            <w:tcW w:w="1179" w:type="pct"/>
            <w:noWrap/>
            <w:hideMark/>
          </w:tcPr>
          <w:p w14:paraId="26665FA5" w14:textId="77777777" w:rsidR="00E16269" w:rsidRPr="00B93EE1" w:rsidRDefault="00E16269" w:rsidP="006D1F8B">
            <w:pPr>
              <w:jc w:val="left"/>
              <w:rPr>
                <w:sz w:val="14"/>
                <w:szCs w:val="14"/>
              </w:rPr>
            </w:pPr>
            <w:r w:rsidRPr="00B93EE1">
              <w:rPr>
                <w:sz w:val="14"/>
                <w:szCs w:val="14"/>
              </w:rPr>
              <w:t>1-5</w:t>
            </w:r>
          </w:p>
        </w:tc>
        <w:tc>
          <w:tcPr>
            <w:tcW w:w="1023" w:type="pct"/>
            <w:hideMark/>
          </w:tcPr>
          <w:p w14:paraId="406FFF2E"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239D5111" w14:textId="77777777" w:rsidR="00E16269" w:rsidRPr="00B93EE1" w:rsidRDefault="00E16269" w:rsidP="006D1F8B">
            <w:pPr>
              <w:jc w:val="left"/>
              <w:rPr>
                <w:sz w:val="14"/>
                <w:szCs w:val="14"/>
              </w:rPr>
            </w:pPr>
            <w:r w:rsidRPr="00B93EE1">
              <w:rPr>
                <w:sz w:val="14"/>
                <w:szCs w:val="14"/>
              </w:rPr>
              <w:t>PI, PPB and EC</w:t>
            </w:r>
          </w:p>
        </w:tc>
      </w:tr>
      <w:tr w:rsidR="00E16269" w:rsidRPr="00B93EE1" w14:paraId="30FB15E4" w14:textId="77777777" w:rsidTr="006D1F8B">
        <w:tc>
          <w:tcPr>
            <w:tcW w:w="1019" w:type="pct"/>
            <w:noWrap/>
            <w:hideMark/>
          </w:tcPr>
          <w:p w14:paraId="421B3DA3" w14:textId="77777777" w:rsidR="00E16269" w:rsidRPr="00B93EE1" w:rsidRDefault="00E16269" w:rsidP="006D1F8B">
            <w:pPr>
              <w:jc w:val="left"/>
              <w:rPr>
                <w:b/>
                <w:bCs/>
                <w:sz w:val="14"/>
                <w:szCs w:val="14"/>
              </w:rPr>
            </w:pPr>
            <w:r w:rsidRPr="00B93EE1">
              <w:rPr>
                <w:b/>
                <w:bCs/>
                <w:sz w:val="14"/>
                <w:szCs w:val="14"/>
              </w:rPr>
              <w:t>Papua New Guinea</w:t>
            </w:r>
          </w:p>
        </w:tc>
        <w:tc>
          <w:tcPr>
            <w:tcW w:w="629" w:type="pct"/>
            <w:noWrap/>
            <w:hideMark/>
          </w:tcPr>
          <w:p w14:paraId="2A185EBF" w14:textId="77777777" w:rsidR="00E16269" w:rsidRPr="00B93EE1" w:rsidRDefault="00E16269" w:rsidP="006D1F8B">
            <w:pPr>
              <w:jc w:val="left"/>
              <w:rPr>
                <w:b/>
                <w:bCs/>
                <w:sz w:val="14"/>
                <w:szCs w:val="14"/>
              </w:rPr>
            </w:pPr>
          </w:p>
        </w:tc>
        <w:tc>
          <w:tcPr>
            <w:tcW w:w="1179" w:type="pct"/>
            <w:hideMark/>
          </w:tcPr>
          <w:p w14:paraId="03F798A3" w14:textId="77777777" w:rsidR="00E16269" w:rsidRPr="00B93EE1" w:rsidRDefault="00E16269" w:rsidP="006D1F8B">
            <w:pPr>
              <w:jc w:val="left"/>
              <w:rPr>
                <w:sz w:val="14"/>
                <w:szCs w:val="14"/>
              </w:rPr>
            </w:pPr>
            <w:r w:rsidRPr="00B93EE1">
              <w:rPr>
                <w:sz w:val="14"/>
                <w:szCs w:val="14"/>
              </w:rPr>
              <w:t xml:space="preserve">1-4 + limited 5 for New Zealand </w:t>
            </w:r>
          </w:p>
        </w:tc>
        <w:tc>
          <w:tcPr>
            <w:tcW w:w="1023" w:type="pct"/>
            <w:hideMark/>
          </w:tcPr>
          <w:p w14:paraId="4CA7511F" w14:textId="77777777" w:rsidR="00E16269" w:rsidRPr="00B93EE1" w:rsidRDefault="00E16269" w:rsidP="006D1F8B">
            <w:pPr>
              <w:jc w:val="left"/>
              <w:rPr>
                <w:sz w:val="14"/>
                <w:szCs w:val="14"/>
              </w:rPr>
            </w:pPr>
            <w:r w:rsidRPr="00B93EE1">
              <w:rPr>
                <w:sz w:val="14"/>
                <w:szCs w:val="14"/>
              </w:rPr>
              <w:t>No third country code-sharing</w:t>
            </w:r>
          </w:p>
        </w:tc>
        <w:tc>
          <w:tcPr>
            <w:tcW w:w="1151" w:type="pct"/>
            <w:hideMark/>
          </w:tcPr>
          <w:p w14:paraId="49DFFD09" w14:textId="77777777" w:rsidR="00E16269" w:rsidRPr="00B93EE1" w:rsidRDefault="00E16269" w:rsidP="006D1F8B">
            <w:pPr>
              <w:jc w:val="left"/>
              <w:rPr>
                <w:sz w:val="14"/>
                <w:szCs w:val="14"/>
              </w:rPr>
            </w:pPr>
            <w:r w:rsidRPr="00B93EE1">
              <w:rPr>
                <w:sz w:val="14"/>
                <w:szCs w:val="14"/>
              </w:rPr>
              <w:t>PI, PPB and ERC</w:t>
            </w:r>
          </w:p>
        </w:tc>
      </w:tr>
      <w:tr w:rsidR="00E16269" w:rsidRPr="00B93EE1" w14:paraId="6C47A40C"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2B839A94" w14:textId="77777777" w:rsidR="00E16269" w:rsidRPr="00B93EE1" w:rsidRDefault="00E16269" w:rsidP="006D1F8B">
            <w:pPr>
              <w:jc w:val="left"/>
              <w:rPr>
                <w:b/>
                <w:bCs/>
                <w:sz w:val="14"/>
                <w:szCs w:val="14"/>
              </w:rPr>
            </w:pPr>
            <w:r w:rsidRPr="00B93EE1">
              <w:rPr>
                <w:b/>
                <w:bCs/>
                <w:sz w:val="14"/>
                <w:szCs w:val="14"/>
              </w:rPr>
              <w:t>Peru</w:t>
            </w:r>
          </w:p>
        </w:tc>
        <w:tc>
          <w:tcPr>
            <w:tcW w:w="629" w:type="pct"/>
            <w:noWrap/>
            <w:hideMark/>
          </w:tcPr>
          <w:p w14:paraId="72CDF5EE" w14:textId="77777777" w:rsidR="00E16269" w:rsidRPr="00B93EE1" w:rsidRDefault="00E16269" w:rsidP="006D1F8B">
            <w:pPr>
              <w:jc w:val="left"/>
              <w:rPr>
                <w:b/>
                <w:bCs/>
                <w:sz w:val="14"/>
                <w:szCs w:val="14"/>
              </w:rPr>
            </w:pPr>
          </w:p>
        </w:tc>
        <w:tc>
          <w:tcPr>
            <w:tcW w:w="1179" w:type="pct"/>
            <w:noWrap/>
            <w:hideMark/>
          </w:tcPr>
          <w:p w14:paraId="6260A751" w14:textId="77777777" w:rsidR="00E16269" w:rsidRPr="00B93EE1" w:rsidRDefault="00E16269" w:rsidP="006D1F8B">
            <w:pPr>
              <w:jc w:val="left"/>
              <w:rPr>
                <w:sz w:val="14"/>
                <w:szCs w:val="14"/>
              </w:rPr>
            </w:pPr>
            <w:r w:rsidRPr="00B93EE1">
              <w:rPr>
                <w:sz w:val="14"/>
                <w:szCs w:val="14"/>
              </w:rPr>
              <w:t>1-6 +7f cargo</w:t>
            </w:r>
          </w:p>
        </w:tc>
        <w:tc>
          <w:tcPr>
            <w:tcW w:w="1023" w:type="pct"/>
            <w:hideMark/>
          </w:tcPr>
          <w:p w14:paraId="30FFB202"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5C5CB990" w14:textId="77777777" w:rsidR="00E16269" w:rsidRPr="00B93EE1" w:rsidRDefault="00E16269" w:rsidP="006D1F8B">
            <w:pPr>
              <w:jc w:val="left"/>
              <w:rPr>
                <w:sz w:val="14"/>
                <w:szCs w:val="14"/>
              </w:rPr>
            </w:pPr>
            <w:r w:rsidRPr="00B93EE1">
              <w:rPr>
                <w:sz w:val="14"/>
                <w:szCs w:val="14"/>
              </w:rPr>
              <w:t>PI, PPB and EC</w:t>
            </w:r>
          </w:p>
        </w:tc>
      </w:tr>
      <w:tr w:rsidR="00E16269" w:rsidRPr="00B93EE1" w14:paraId="1CDF57A6" w14:textId="77777777" w:rsidTr="006D1F8B">
        <w:tc>
          <w:tcPr>
            <w:tcW w:w="1019" w:type="pct"/>
            <w:noWrap/>
            <w:hideMark/>
          </w:tcPr>
          <w:p w14:paraId="136D5F4A" w14:textId="77777777" w:rsidR="00E16269" w:rsidRPr="00B93EE1" w:rsidRDefault="00E16269" w:rsidP="006D1F8B">
            <w:pPr>
              <w:jc w:val="left"/>
              <w:rPr>
                <w:b/>
                <w:bCs/>
                <w:sz w:val="14"/>
                <w:szCs w:val="14"/>
              </w:rPr>
            </w:pPr>
            <w:r w:rsidRPr="00B93EE1">
              <w:rPr>
                <w:b/>
                <w:bCs/>
                <w:sz w:val="14"/>
                <w:szCs w:val="14"/>
              </w:rPr>
              <w:t>Philippines</w:t>
            </w:r>
          </w:p>
        </w:tc>
        <w:tc>
          <w:tcPr>
            <w:tcW w:w="629" w:type="pct"/>
            <w:noWrap/>
            <w:hideMark/>
          </w:tcPr>
          <w:p w14:paraId="65ED6855" w14:textId="77777777" w:rsidR="00E16269" w:rsidRPr="00B93EE1" w:rsidRDefault="00E16269" w:rsidP="006D1F8B">
            <w:pPr>
              <w:jc w:val="left"/>
              <w:rPr>
                <w:b/>
                <w:bCs/>
                <w:sz w:val="14"/>
                <w:szCs w:val="14"/>
              </w:rPr>
            </w:pPr>
          </w:p>
        </w:tc>
        <w:tc>
          <w:tcPr>
            <w:tcW w:w="1179" w:type="pct"/>
            <w:noWrap/>
            <w:hideMark/>
          </w:tcPr>
          <w:p w14:paraId="5FC86589" w14:textId="77777777" w:rsidR="00E16269" w:rsidRPr="00B93EE1" w:rsidRDefault="00E16269" w:rsidP="006D1F8B">
            <w:pPr>
              <w:jc w:val="left"/>
              <w:rPr>
                <w:sz w:val="14"/>
                <w:szCs w:val="14"/>
              </w:rPr>
            </w:pPr>
            <w:r w:rsidRPr="00B93EE1">
              <w:rPr>
                <w:sz w:val="14"/>
                <w:szCs w:val="14"/>
              </w:rPr>
              <w:t>1-5</w:t>
            </w:r>
          </w:p>
        </w:tc>
        <w:tc>
          <w:tcPr>
            <w:tcW w:w="1023" w:type="pct"/>
            <w:hideMark/>
          </w:tcPr>
          <w:p w14:paraId="25EC1EC0" w14:textId="77777777" w:rsidR="00E16269" w:rsidRPr="00B93EE1" w:rsidRDefault="00E16269" w:rsidP="006D1F8B">
            <w:pPr>
              <w:jc w:val="left"/>
              <w:rPr>
                <w:sz w:val="14"/>
                <w:szCs w:val="14"/>
              </w:rPr>
            </w:pPr>
            <w:r w:rsidRPr="00B93EE1">
              <w:rPr>
                <w:sz w:val="14"/>
                <w:szCs w:val="14"/>
              </w:rPr>
              <w:t>Third country code-sharing permitted for 3</w:t>
            </w:r>
            <w:r w:rsidRPr="00B93EE1">
              <w:rPr>
                <w:sz w:val="14"/>
                <w:szCs w:val="14"/>
                <w:vertAlign w:val="superscript"/>
              </w:rPr>
              <w:t>rd</w:t>
            </w:r>
            <w:r w:rsidRPr="00B93EE1">
              <w:rPr>
                <w:sz w:val="14"/>
                <w:szCs w:val="14"/>
              </w:rPr>
              <w:t xml:space="preserve"> and 4</w:t>
            </w:r>
            <w:r w:rsidRPr="00B93EE1">
              <w:rPr>
                <w:sz w:val="14"/>
                <w:szCs w:val="14"/>
                <w:vertAlign w:val="superscript"/>
              </w:rPr>
              <w:t>th</w:t>
            </w:r>
            <w:r w:rsidRPr="00B93EE1">
              <w:rPr>
                <w:sz w:val="14"/>
                <w:szCs w:val="14"/>
              </w:rPr>
              <w:t xml:space="preserve"> freedom services via any one intermediate point to be nominated; own stopover rights permitted; capacity not to count against marketing carrier</w:t>
            </w:r>
          </w:p>
        </w:tc>
        <w:tc>
          <w:tcPr>
            <w:tcW w:w="1151" w:type="pct"/>
            <w:hideMark/>
          </w:tcPr>
          <w:p w14:paraId="6E646764" w14:textId="77777777" w:rsidR="00E16269" w:rsidRPr="00B93EE1" w:rsidRDefault="00E16269" w:rsidP="006D1F8B">
            <w:pPr>
              <w:jc w:val="left"/>
              <w:rPr>
                <w:sz w:val="14"/>
                <w:szCs w:val="14"/>
              </w:rPr>
            </w:pPr>
            <w:r w:rsidRPr="00B93EE1">
              <w:rPr>
                <w:sz w:val="14"/>
                <w:szCs w:val="14"/>
              </w:rPr>
              <w:t>PI, PPB and EC</w:t>
            </w:r>
          </w:p>
        </w:tc>
      </w:tr>
      <w:tr w:rsidR="00E16269" w:rsidRPr="00B93EE1" w14:paraId="06A1C6B1"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3F323992" w14:textId="77777777" w:rsidR="00E16269" w:rsidRPr="00B93EE1" w:rsidRDefault="00E16269" w:rsidP="00E16269">
            <w:pPr>
              <w:keepNext/>
              <w:keepLines/>
              <w:jc w:val="left"/>
              <w:rPr>
                <w:b/>
                <w:bCs/>
                <w:sz w:val="14"/>
                <w:szCs w:val="14"/>
              </w:rPr>
            </w:pPr>
            <w:r w:rsidRPr="00B93EE1">
              <w:rPr>
                <w:b/>
                <w:bCs/>
                <w:sz w:val="14"/>
                <w:szCs w:val="14"/>
              </w:rPr>
              <w:lastRenderedPageBreak/>
              <w:t>Poland</w:t>
            </w:r>
          </w:p>
        </w:tc>
        <w:tc>
          <w:tcPr>
            <w:tcW w:w="629" w:type="pct"/>
            <w:noWrap/>
            <w:hideMark/>
          </w:tcPr>
          <w:p w14:paraId="04D76DB6" w14:textId="77777777" w:rsidR="00E16269" w:rsidRPr="00B93EE1" w:rsidRDefault="00E16269" w:rsidP="00E16269">
            <w:pPr>
              <w:keepNext/>
              <w:keepLines/>
              <w:jc w:val="left"/>
              <w:rPr>
                <w:b/>
                <w:bCs/>
                <w:sz w:val="14"/>
                <w:szCs w:val="14"/>
              </w:rPr>
            </w:pPr>
          </w:p>
        </w:tc>
        <w:tc>
          <w:tcPr>
            <w:tcW w:w="1179" w:type="pct"/>
            <w:noWrap/>
            <w:hideMark/>
          </w:tcPr>
          <w:p w14:paraId="57988029" w14:textId="77777777" w:rsidR="00E16269" w:rsidRPr="00B93EE1" w:rsidRDefault="00E16269" w:rsidP="00E16269">
            <w:pPr>
              <w:keepNext/>
              <w:keepLines/>
              <w:jc w:val="left"/>
              <w:rPr>
                <w:sz w:val="14"/>
                <w:szCs w:val="14"/>
              </w:rPr>
            </w:pPr>
            <w:r w:rsidRPr="00B93EE1">
              <w:rPr>
                <w:sz w:val="14"/>
                <w:szCs w:val="14"/>
              </w:rPr>
              <w:t>1-5 + 7f cargo</w:t>
            </w:r>
          </w:p>
        </w:tc>
        <w:tc>
          <w:tcPr>
            <w:tcW w:w="1023" w:type="pct"/>
            <w:hideMark/>
          </w:tcPr>
          <w:p w14:paraId="107982B5" w14:textId="77777777" w:rsidR="00E16269" w:rsidRPr="00B93EE1" w:rsidRDefault="00E16269" w:rsidP="00E16269">
            <w:pPr>
              <w:keepNext/>
              <w:keepLines/>
              <w:jc w:val="left"/>
              <w:rPr>
                <w:sz w:val="14"/>
                <w:szCs w:val="14"/>
              </w:rPr>
            </w:pPr>
            <w:r w:rsidRPr="00B93EE1">
              <w:rPr>
                <w:sz w:val="14"/>
                <w:szCs w:val="14"/>
              </w:rPr>
              <w:t>Third country</w:t>
            </w:r>
          </w:p>
        </w:tc>
        <w:tc>
          <w:tcPr>
            <w:tcW w:w="1151" w:type="pct"/>
            <w:hideMark/>
          </w:tcPr>
          <w:p w14:paraId="20981D1E" w14:textId="77777777" w:rsidR="00E16269" w:rsidRPr="00B93EE1" w:rsidRDefault="00E16269" w:rsidP="00E16269">
            <w:pPr>
              <w:keepNext/>
              <w:keepLines/>
              <w:jc w:val="left"/>
              <w:rPr>
                <w:sz w:val="14"/>
                <w:szCs w:val="14"/>
              </w:rPr>
            </w:pPr>
            <w:r w:rsidRPr="00B93EE1">
              <w:rPr>
                <w:sz w:val="14"/>
                <w:szCs w:val="14"/>
              </w:rPr>
              <w:t xml:space="preserve">PI, PPB and ERC for New Zealand / established in Poland in accordance with the Agreement on the European Economic Area and has a valid Operating License in accordance with national law adopted in accordance with the EEA Agreement; and ERC; and SO and EC by states and/or nationals of the European Economic Area </w:t>
            </w:r>
          </w:p>
        </w:tc>
      </w:tr>
      <w:tr w:rsidR="00E16269" w:rsidRPr="00B93EE1" w14:paraId="2BF9ABF2" w14:textId="77777777" w:rsidTr="006D1F8B">
        <w:tc>
          <w:tcPr>
            <w:tcW w:w="1019" w:type="pct"/>
            <w:noWrap/>
            <w:hideMark/>
          </w:tcPr>
          <w:p w14:paraId="07503006" w14:textId="77777777" w:rsidR="00E16269" w:rsidRPr="00B93EE1" w:rsidRDefault="00E16269" w:rsidP="006D1F8B">
            <w:pPr>
              <w:jc w:val="left"/>
              <w:rPr>
                <w:b/>
                <w:bCs/>
                <w:sz w:val="14"/>
                <w:szCs w:val="14"/>
              </w:rPr>
            </w:pPr>
            <w:r w:rsidRPr="00B93EE1">
              <w:rPr>
                <w:b/>
                <w:bCs/>
                <w:sz w:val="14"/>
                <w:szCs w:val="14"/>
              </w:rPr>
              <w:t>Qatar</w:t>
            </w:r>
          </w:p>
        </w:tc>
        <w:tc>
          <w:tcPr>
            <w:tcW w:w="629" w:type="pct"/>
            <w:noWrap/>
            <w:hideMark/>
          </w:tcPr>
          <w:p w14:paraId="2A4F00BE" w14:textId="77777777" w:rsidR="00E16269" w:rsidRPr="00B93EE1" w:rsidRDefault="00E16269" w:rsidP="006D1F8B">
            <w:pPr>
              <w:jc w:val="left"/>
              <w:rPr>
                <w:b/>
                <w:bCs/>
                <w:sz w:val="14"/>
                <w:szCs w:val="14"/>
              </w:rPr>
            </w:pPr>
          </w:p>
        </w:tc>
        <w:tc>
          <w:tcPr>
            <w:tcW w:w="1179" w:type="pct"/>
            <w:noWrap/>
            <w:hideMark/>
          </w:tcPr>
          <w:p w14:paraId="33DC3318" w14:textId="77777777" w:rsidR="00E16269" w:rsidRPr="00B93EE1" w:rsidRDefault="00E16269" w:rsidP="006D1F8B">
            <w:pPr>
              <w:jc w:val="left"/>
              <w:rPr>
                <w:sz w:val="14"/>
                <w:szCs w:val="14"/>
              </w:rPr>
            </w:pPr>
            <w:r w:rsidRPr="00B93EE1">
              <w:rPr>
                <w:sz w:val="14"/>
                <w:szCs w:val="14"/>
              </w:rPr>
              <w:t>1-8</w:t>
            </w:r>
          </w:p>
        </w:tc>
        <w:tc>
          <w:tcPr>
            <w:tcW w:w="1023" w:type="pct"/>
            <w:hideMark/>
          </w:tcPr>
          <w:p w14:paraId="21A0F0CB"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364263C1" w14:textId="77777777" w:rsidR="00E16269" w:rsidRPr="00B93EE1" w:rsidRDefault="00E16269" w:rsidP="006D1F8B">
            <w:pPr>
              <w:jc w:val="left"/>
              <w:rPr>
                <w:sz w:val="14"/>
                <w:szCs w:val="14"/>
              </w:rPr>
            </w:pPr>
            <w:r w:rsidRPr="00B93EE1">
              <w:rPr>
                <w:sz w:val="14"/>
                <w:szCs w:val="14"/>
              </w:rPr>
              <w:t>SO and EC</w:t>
            </w:r>
          </w:p>
        </w:tc>
      </w:tr>
      <w:tr w:rsidR="00E16269" w:rsidRPr="00B93EE1" w14:paraId="581A5903"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24462BAC" w14:textId="77777777" w:rsidR="00E16269" w:rsidRPr="00B93EE1" w:rsidRDefault="00E16269" w:rsidP="006D1F8B">
            <w:pPr>
              <w:jc w:val="left"/>
              <w:rPr>
                <w:b/>
                <w:bCs/>
                <w:sz w:val="14"/>
                <w:szCs w:val="14"/>
              </w:rPr>
            </w:pPr>
            <w:r w:rsidRPr="00B93EE1">
              <w:rPr>
                <w:b/>
                <w:bCs/>
                <w:sz w:val="14"/>
                <w:szCs w:val="14"/>
              </w:rPr>
              <w:t>Russian Federation</w:t>
            </w:r>
          </w:p>
        </w:tc>
        <w:tc>
          <w:tcPr>
            <w:tcW w:w="629" w:type="pct"/>
            <w:noWrap/>
            <w:hideMark/>
          </w:tcPr>
          <w:p w14:paraId="33062746" w14:textId="77777777" w:rsidR="00E16269" w:rsidRPr="00B93EE1" w:rsidRDefault="00E16269" w:rsidP="006D1F8B">
            <w:pPr>
              <w:jc w:val="left"/>
              <w:rPr>
                <w:b/>
                <w:bCs/>
                <w:sz w:val="14"/>
                <w:szCs w:val="14"/>
              </w:rPr>
            </w:pPr>
          </w:p>
        </w:tc>
        <w:tc>
          <w:tcPr>
            <w:tcW w:w="1179" w:type="pct"/>
            <w:noWrap/>
            <w:hideMark/>
          </w:tcPr>
          <w:p w14:paraId="0E1D6E57" w14:textId="77777777" w:rsidR="00E16269" w:rsidRPr="00B93EE1" w:rsidRDefault="00E16269" w:rsidP="006D1F8B">
            <w:pPr>
              <w:jc w:val="left"/>
              <w:rPr>
                <w:sz w:val="14"/>
                <w:szCs w:val="14"/>
              </w:rPr>
            </w:pPr>
            <w:r w:rsidRPr="00B93EE1">
              <w:rPr>
                <w:sz w:val="14"/>
                <w:szCs w:val="14"/>
              </w:rPr>
              <w:t>1-6</w:t>
            </w:r>
          </w:p>
        </w:tc>
        <w:tc>
          <w:tcPr>
            <w:tcW w:w="1023" w:type="pct"/>
            <w:hideMark/>
          </w:tcPr>
          <w:p w14:paraId="1A1EC524"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297DBF23" w14:textId="77777777" w:rsidR="00E16269" w:rsidRPr="00B93EE1" w:rsidRDefault="00E16269" w:rsidP="006D1F8B">
            <w:pPr>
              <w:jc w:val="left"/>
              <w:rPr>
                <w:sz w:val="14"/>
                <w:szCs w:val="14"/>
              </w:rPr>
            </w:pPr>
            <w:r w:rsidRPr="00B93EE1">
              <w:rPr>
                <w:sz w:val="14"/>
                <w:szCs w:val="14"/>
              </w:rPr>
              <w:t>SO and EC</w:t>
            </w:r>
          </w:p>
        </w:tc>
      </w:tr>
      <w:tr w:rsidR="00E16269" w:rsidRPr="00B93EE1" w14:paraId="6D7ADBCC" w14:textId="77777777" w:rsidTr="006D1F8B">
        <w:tc>
          <w:tcPr>
            <w:tcW w:w="1019" w:type="pct"/>
            <w:noWrap/>
            <w:hideMark/>
          </w:tcPr>
          <w:p w14:paraId="05D5A3E2" w14:textId="77777777" w:rsidR="00E16269" w:rsidRPr="00B93EE1" w:rsidRDefault="00E16269" w:rsidP="006D1F8B">
            <w:pPr>
              <w:jc w:val="left"/>
              <w:rPr>
                <w:b/>
                <w:bCs/>
                <w:sz w:val="14"/>
                <w:szCs w:val="14"/>
              </w:rPr>
            </w:pPr>
            <w:r w:rsidRPr="00B93EE1">
              <w:rPr>
                <w:b/>
                <w:bCs/>
                <w:sz w:val="14"/>
                <w:szCs w:val="14"/>
              </w:rPr>
              <w:t>Samoa</w:t>
            </w:r>
          </w:p>
        </w:tc>
        <w:tc>
          <w:tcPr>
            <w:tcW w:w="629" w:type="pct"/>
            <w:noWrap/>
            <w:hideMark/>
          </w:tcPr>
          <w:p w14:paraId="6FFCB5C5" w14:textId="77777777" w:rsidR="00E16269" w:rsidRPr="00B93EE1" w:rsidRDefault="00E16269" w:rsidP="006D1F8B">
            <w:pPr>
              <w:jc w:val="left"/>
              <w:rPr>
                <w:b/>
                <w:bCs/>
                <w:sz w:val="14"/>
                <w:szCs w:val="14"/>
              </w:rPr>
            </w:pPr>
          </w:p>
        </w:tc>
        <w:tc>
          <w:tcPr>
            <w:tcW w:w="1179" w:type="pct"/>
            <w:noWrap/>
            <w:hideMark/>
          </w:tcPr>
          <w:p w14:paraId="4CD627E6" w14:textId="77777777" w:rsidR="00E16269" w:rsidRPr="00B93EE1" w:rsidRDefault="00E16269" w:rsidP="006D1F8B">
            <w:pPr>
              <w:jc w:val="left"/>
              <w:rPr>
                <w:sz w:val="14"/>
                <w:szCs w:val="14"/>
              </w:rPr>
            </w:pPr>
            <w:r w:rsidRPr="00B93EE1">
              <w:rPr>
                <w:sz w:val="14"/>
                <w:szCs w:val="14"/>
              </w:rPr>
              <w:t>1-7</w:t>
            </w:r>
          </w:p>
        </w:tc>
        <w:tc>
          <w:tcPr>
            <w:tcW w:w="1023" w:type="pct"/>
            <w:hideMark/>
          </w:tcPr>
          <w:p w14:paraId="4EC57A98"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08FD0379" w14:textId="77777777" w:rsidR="00E16269" w:rsidRPr="00B93EE1" w:rsidRDefault="00E16269" w:rsidP="006D1F8B">
            <w:pPr>
              <w:jc w:val="left"/>
              <w:rPr>
                <w:sz w:val="14"/>
                <w:szCs w:val="14"/>
              </w:rPr>
            </w:pPr>
            <w:r w:rsidRPr="00B93EE1">
              <w:rPr>
                <w:sz w:val="14"/>
                <w:szCs w:val="14"/>
              </w:rPr>
              <w:t>PI, PPB and EC</w:t>
            </w:r>
          </w:p>
        </w:tc>
      </w:tr>
      <w:tr w:rsidR="00E16269" w:rsidRPr="00B93EE1" w14:paraId="27278094"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1D4F0CB5" w14:textId="77777777" w:rsidR="00E16269" w:rsidRPr="00B93EE1" w:rsidRDefault="00E16269" w:rsidP="006D1F8B">
            <w:pPr>
              <w:jc w:val="left"/>
              <w:rPr>
                <w:b/>
                <w:bCs/>
                <w:sz w:val="14"/>
                <w:szCs w:val="14"/>
              </w:rPr>
            </w:pPr>
            <w:r w:rsidRPr="00B93EE1">
              <w:rPr>
                <w:b/>
                <w:bCs/>
                <w:sz w:val="14"/>
                <w:szCs w:val="14"/>
              </w:rPr>
              <w:t>Saudi Arabia, Kingdom of</w:t>
            </w:r>
          </w:p>
        </w:tc>
        <w:tc>
          <w:tcPr>
            <w:tcW w:w="629" w:type="pct"/>
            <w:noWrap/>
            <w:hideMark/>
          </w:tcPr>
          <w:p w14:paraId="7CA74F4C" w14:textId="77777777" w:rsidR="00E16269" w:rsidRPr="00B93EE1" w:rsidRDefault="00E16269" w:rsidP="006D1F8B">
            <w:pPr>
              <w:jc w:val="left"/>
              <w:rPr>
                <w:b/>
                <w:bCs/>
                <w:sz w:val="14"/>
                <w:szCs w:val="14"/>
              </w:rPr>
            </w:pPr>
          </w:p>
        </w:tc>
        <w:tc>
          <w:tcPr>
            <w:tcW w:w="1179" w:type="pct"/>
            <w:noWrap/>
            <w:hideMark/>
          </w:tcPr>
          <w:p w14:paraId="399A04C1" w14:textId="77777777" w:rsidR="00E16269" w:rsidRPr="00B93EE1" w:rsidRDefault="00E16269" w:rsidP="006D1F8B">
            <w:pPr>
              <w:jc w:val="left"/>
              <w:rPr>
                <w:sz w:val="14"/>
                <w:szCs w:val="14"/>
              </w:rPr>
            </w:pPr>
            <w:r w:rsidRPr="00B93EE1">
              <w:rPr>
                <w:sz w:val="14"/>
                <w:szCs w:val="14"/>
              </w:rPr>
              <w:t>1-6 +7f cargo</w:t>
            </w:r>
          </w:p>
        </w:tc>
        <w:tc>
          <w:tcPr>
            <w:tcW w:w="1023" w:type="pct"/>
            <w:hideMark/>
          </w:tcPr>
          <w:p w14:paraId="64B53A8D"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17941648" w14:textId="77777777" w:rsidR="00E16269" w:rsidRPr="00B93EE1" w:rsidRDefault="00E16269" w:rsidP="006D1F8B">
            <w:pPr>
              <w:jc w:val="left"/>
              <w:rPr>
                <w:sz w:val="14"/>
                <w:szCs w:val="14"/>
              </w:rPr>
            </w:pPr>
            <w:r w:rsidRPr="00B93EE1">
              <w:rPr>
                <w:sz w:val="14"/>
                <w:szCs w:val="14"/>
              </w:rPr>
              <w:t>PI, PPB and ERC</w:t>
            </w:r>
          </w:p>
        </w:tc>
      </w:tr>
      <w:tr w:rsidR="00E16269" w:rsidRPr="00B93EE1" w14:paraId="21A54543" w14:textId="77777777" w:rsidTr="006D1F8B">
        <w:tc>
          <w:tcPr>
            <w:tcW w:w="1019" w:type="pct"/>
            <w:noWrap/>
            <w:hideMark/>
          </w:tcPr>
          <w:p w14:paraId="317C7EFD" w14:textId="77777777" w:rsidR="00E16269" w:rsidRPr="00B93EE1" w:rsidRDefault="00E16269" w:rsidP="006D1F8B">
            <w:pPr>
              <w:jc w:val="left"/>
              <w:rPr>
                <w:b/>
                <w:bCs/>
                <w:sz w:val="14"/>
                <w:szCs w:val="14"/>
              </w:rPr>
            </w:pPr>
            <w:r w:rsidRPr="00B93EE1">
              <w:rPr>
                <w:b/>
                <w:bCs/>
                <w:sz w:val="14"/>
                <w:szCs w:val="14"/>
              </w:rPr>
              <w:t>Seychelles</w:t>
            </w:r>
          </w:p>
        </w:tc>
        <w:tc>
          <w:tcPr>
            <w:tcW w:w="629" w:type="pct"/>
            <w:noWrap/>
            <w:hideMark/>
          </w:tcPr>
          <w:p w14:paraId="102085DB" w14:textId="77777777" w:rsidR="00E16269" w:rsidRPr="00B93EE1" w:rsidRDefault="00E16269" w:rsidP="006D1F8B">
            <w:pPr>
              <w:jc w:val="left"/>
              <w:rPr>
                <w:b/>
                <w:bCs/>
                <w:sz w:val="14"/>
                <w:szCs w:val="14"/>
              </w:rPr>
            </w:pPr>
          </w:p>
        </w:tc>
        <w:tc>
          <w:tcPr>
            <w:tcW w:w="1179" w:type="pct"/>
            <w:noWrap/>
            <w:hideMark/>
          </w:tcPr>
          <w:p w14:paraId="4ABBE325" w14:textId="77777777" w:rsidR="00E16269" w:rsidRPr="00B93EE1" w:rsidRDefault="00E16269" w:rsidP="006D1F8B">
            <w:pPr>
              <w:jc w:val="left"/>
              <w:rPr>
                <w:sz w:val="14"/>
                <w:szCs w:val="14"/>
              </w:rPr>
            </w:pPr>
            <w:r w:rsidRPr="00B93EE1">
              <w:rPr>
                <w:sz w:val="14"/>
                <w:szCs w:val="14"/>
              </w:rPr>
              <w:t>1-5 + 7f cargo</w:t>
            </w:r>
          </w:p>
        </w:tc>
        <w:tc>
          <w:tcPr>
            <w:tcW w:w="1023" w:type="pct"/>
            <w:hideMark/>
          </w:tcPr>
          <w:p w14:paraId="2505F250"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702DA1CE" w14:textId="77777777" w:rsidR="00E16269" w:rsidRPr="00B93EE1" w:rsidRDefault="00E16269" w:rsidP="006D1F8B">
            <w:pPr>
              <w:jc w:val="left"/>
              <w:rPr>
                <w:sz w:val="14"/>
                <w:szCs w:val="14"/>
              </w:rPr>
            </w:pPr>
            <w:r w:rsidRPr="00B93EE1">
              <w:rPr>
                <w:sz w:val="14"/>
                <w:szCs w:val="14"/>
              </w:rPr>
              <w:t>PI, PPB and ERC</w:t>
            </w:r>
          </w:p>
        </w:tc>
      </w:tr>
      <w:tr w:rsidR="00E16269" w:rsidRPr="00B93EE1" w14:paraId="38B5392D"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5C5EE4B1" w14:textId="77777777" w:rsidR="00E16269" w:rsidRPr="00B93EE1" w:rsidRDefault="00E16269" w:rsidP="006D1F8B">
            <w:pPr>
              <w:jc w:val="left"/>
              <w:rPr>
                <w:b/>
                <w:bCs/>
                <w:sz w:val="14"/>
                <w:szCs w:val="14"/>
              </w:rPr>
            </w:pPr>
            <w:r w:rsidRPr="00B93EE1">
              <w:rPr>
                <w:b/>
                <w:bCs/>
                <w:sz w:val="14"/>
                <w:szCs w:val="14"/>
              </w:rPr>
              <w:t>Singapore</w:t>
            </w:r>
          </w:p>
        </w:tc>
        <w:tc>
          <w:tcPr>
            <w:tcW w:w="629" w:type="pct"/>
            <w:noWrap/>
            <w:hideMark/>
          </w:tcPr>
          <w:p w14:paraId="3F7853D6" w14:textId="77777777" w:rsidR="00E16269" w:rsidRPr="00B93EE1" w:rsidRDefault="00E16269" w:rsidP="006D1F8B">
            <w:pPr>
              <w:jc w:val="left"/>
              <w:rPr>
                <w:sz w:val="14"/>
                <w:szCs w:val="14"/>
              </w:rPr>
            </w:pPr>
            <w:r w:rsidRPr="00B93EE1">
              <w:rPr>
                <w:sz w:val="14"/>
                <w:szCs w:val="14"/>
              </w:rPr>
              <w:t xml:space="preserve">(See </w:t>
            </w:r>
            <w:proofErr w:type="spellStart"/>
            <w:r w:rsidRPr="00B93EE1">
              <w:rPr>
                <w:sz w:val="14"/>
                <w:szCs w:val="14"/>
              </w:rPr>
              <w:t>MALIAT</w:t>
            </w:r>
            <w:proofErr w:type="spellEnd"/>
            <w:r w:rsidRPr="00B93EE1">
              <w:rPr>
                <w:sz w:val="14"/>
                <w:szCs w:val="14"/>
              </w:rPr>
              <w:t xml:space="preserve"> and </w:t>
            </w:r>
            <w:proofErr w:type="spellStart"/>
            <w:r w:rsidRPr="00B93EE1">
              <w:rPr>
                <w:sz w:val="14"/>
                <w:szCs w:val="14"/>
              </w:rPr>
              <w:t>MALIAT</w:t>
            </w:r>
            <w:proofErr w:type="spellEnd"/>
            <w:r w:rsidRPr="00B93EE1">
              <w:rPr>
                <w:sz w:val="14"/>
                <w:szCs w:val="14"/>
              </w:rPr>
              <w:t xml:space="preserve"> Protocol)</w:t>
            </w:r>
          </w:p>
        </w:tc>
        <w:tc>
          <w:tcPr>
            <w:tcW w:w="1179" w:type="pct"/>
            <w:noWrap/>
            <w:hideMark/>
          </w:tcPr>
          <w:p w14:paraId="0635040D" w14:textId="77777777" w:rsidR="00E16269" w:rsidRPr="00B93EE1" w:rsidRDefault="00E16269" w:rsidP="006D1F8B">
            <w:pPr>
              <w:jc w:val="left"/>
              <w:rPr>
                <w:sz w:val="14"/>
                <w:szCs w:val="14"/>
              </w:rPr>
            </w:pPr>
          </w:p>
        </w:tc>
        <w:tc>
          <w:tcPr>
            <w:tcW w:w="1023" w:type="pct"/>
            <w:hideMark/>
          </w:tcPr>
          <w:p w14:paraId="3AE908E4" w14:textId="77777777" w:rsidR="00E16269" w:rsidRPr="00B93EE1" w:rsidRDefault="00E16269" w:rsidP="006D1F8B">
            <w:pPr>
              <w:jc w:val="left"/>
              <w:rPr>
                <w:sz w:val="14"/>
                <w:szCs w:val="14"/>
              </w:rPr>
            </w:pPr>
          </w:p>
        </w:tc>
        <w:tc>
          <w:tcPr>
            <w:tcW w:w="1151" w:type="pct"/>
            <w:noWrap/>
            <w:hideMark/>
          </w:tcPr>
          <w:p w14:paraId="1906E613" w14:textId="77777777" w:rsidR="00E16269" w:rsidRPr="00B93EE1" w:rsidRDefault="00E16269" w:rsidP="006D1F8B">
            <w:pPr>
              <w:jc w:val="left"/>
              <w:rPr>
                <w:sz w:val="14"/>
                <w:szCs w:val="14"/>
              </w:rPr>
            </w:pPr>
          </w:p>
        </w:tc>
      </w:tr>
      <w:tr w:rsidR="00E16269" w:rsidRPr="00B93EE1" w14:paraId="75A6EB33" w14:textId="77777777" w:rsidTr="006D1F8B">
        <w:tc>
          <w:tcPr>
            <w:tcW w:w="1019" w:type="pct"/>
            <w:noWrap/>
            <w:hideMark/>
          </w:tcPr>
          <w:p w14:paraId="1B5F37C2" w14:textId="77777777" w:rsidR="00E16269" w:rsidRPr="00B93EE1" w:rsidRDefault="00E16269" w:rsidP="006D1F8B">
            <w:pPr>
              <w:jc w:val="left"/>
              <w:rPr>
                <w:b/>
                <w:bCs/>
                <w:sz w:val="14"/>
                <w:szCs w:val="14"/>
              </w:rPr>
            </w:pPr>
            <w:r w:rsidRPr="00B93EE1">
              <w:rPr>
                <w:b/>
                <w:bCs/>
                <w:sz w:val="14"/>
                <w:szCs w:val="14"/>
              </w:rPr>
              <w:t>Solomon Islands</w:t>
            </w:r>
          </w:p>
        </w:tc>
        <w:tc>
          <w:tcPr>
            <w:tcW w:w="629" w:type="pct"/>
            <w:noWrap/>
            <w:hideMark/>
          </w:tcPr>
          <w:p w14:paraId="2EEAE119" w14:textId="77777777" w:rsidR="00E16269" w:rsidRPr="00B93EE1" w:rsidRDefault="00E16269" w:rsidP="006D1F8B">
            <w:pPr>
              <w:jc w:val="left"/>
              <w:rPr>
                <w:b/>
                <w:bCs/>
                <w:sz w:val="14"/>
                <w:szCs w:val="14"/>
              </w:rPr>
            </w:pPr>
          </w:p>
        </w:tc>
        <w:tc>
          <w:tcPr>
            <w:tcW w:w="1179" w:type="pct"/>
            <w:noWrap/>
            <w:hideMark/>
          </w:tcPr>
          <w:p w14:paraId="03CA4AD6" w14:textId="77777777" w:rsidR="00E16269" w:rsidRPr="00B93EE1" w:rsidRDefault="00E16269" w:rsidP="006D1F8B">
            <w:pPr>
              <w:jc w:val="left"/>
              <w:rPr>
                <w:sz w:val="14"/>
                <w:szCs w:val="14"/>
              </w:rPr>
            </w:pPr>
            <w:r w:rsidRPr="00B93EE1">
              <w:rPr>
                <w:sz w:val="14"/>
                <w:szCs w:val="14"/>
              </w:rPr>
              <w:t>1-5</w:t>
            </w:r>
          </w:p>
        </w:tc>
        <w:tc>
          <w:tcPr>
            <w:tcW w:w="1023" w:type="pct"/>
            <w:hideMark/>
          </w:tcPr>
          <w:p w14:paraId="02A5A38D" w14:textId="77777777" w:rsidR="00E16269" w:rsidRPr="00B93EE1" w:rsidRDefault="00E16269" w:rsidP="006D1F8B">
            <w:pPr>
              <w:jc w:val="left"/>
              <w:rPr>
                <w:sz w:val="14"/>
                <w:szCs w:val="14"/>
              </w:rPr>
            </w:pPr>
            <w:r w:rsidRPr="00B93EE1">
              <w:rPr>
                <w:sz w:val="14"/>
                <w:szCs w:val="14"/>
              </w:rPr>
              <w:t>No code-sharing provisions</w:t>
            </w:r>
          </w:p>
        </w:tc>
        <w:tc>
          <w:tcPr>
            <w:tcW w:w="1151" w:type="pct"/>
            <w:noWrap/>
            <w:hideMark/>
          </w:tcPr>
          <w:p w14:paraId="2780075B" w14:textId="77777777" w:rsidR="00E16269" w:rsidRPr="00B93EE1" w:rsidRDefault="00E16269" w:rsidP="006D1F8B">
            <w:pPr>
              <w:jc w:val="left"/>
              <w:rPr>
                <w:sz w:val="14"/>
                <w:szCs w:val="14"/>
              </w:rPr>
            </w:pPr>
            <w:r w:rsidRPr="00B93EE1">
              <w:rPr>
                <w:sz w:val="14"/>
                <w:szCs w:val="14"/>
              </w:rPr>
              <w:t>SO and EC</w:t>
            </w:r>
          </w:p>
        </w:tc>
      </w:tr>
      <w:tr w:rsidR="00E16269" w:rsidRPr="00B93EE1" w14:paraId="5A70F158"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1F99FCC3" w14:textId="77777777" w:rsidR="00E16269" w:rsidRPr="00B93EE1" w:rsidRDefault="00E16269" w:rsidP="006D1F8B">
            <w:pPr>
              <w:jc w:val="left"/>
              <w:rPr>
                <w:b/>
                <w:bCs/>
                <w:sz w:val="14"/>
                <w:szCs w:val="14"/>
              </w:rPr>
            </w:pPr>
            <w:r w:rsidRPr="00B93EE1">
              <w:rPr>
                <w:b/>
                <w:bCs/>
                <w:sz w:val="14"/>
                <w:szCs w:val="14"/>
              </w:rPr>
              <w:t>South Africa</w:t>
            </w:r>
          </w:p>
        </w:tc>
        <w:tc>
          <w:tcPr>
            <w:tcW w:w="629" w:type="pct"/>
            <w:noWrap/>
            <w:hideMark/>
          </w:tcPr>
          <w:p w14:paraId="71829AC8" w14:textId="77777777" w:rsidR="00E16269" w:rsidRPr="00B93EE1" w:rsidRDefault="00E16269" w:rsidP="006D1F8B">
            <w:pPr>
              <w:jc w:val="left"/>
              <w:rPr>
                <w:b/>
                <w:bCs/>
                <w:sz w:val="14"/>
                <w:szCs w:val="14"/>
              </w:rPr>
            </w:pPr>
          </w:p>
        </w:tc>
        <w:tc>
          <w:tcPr>
            <w:tcW w:w="1179" w:type="pct"/>
            <w:hideMark/>
          </w:tcPr>
          <w:p w14:paraId="3A78D19C" w14:textId="77777777" w:rsidR="00E16269" w:rsidRPr="00B93EE1" w:rsidRDefault="00E16269" w:rsidP="006D1F8B">
            <w:pPr>
              <w:jc w:val="left"/>
              <w:rPr>
                <w:sz w:val="14"/>
                <w:szCs w:val="14"/>
              </w:rPr>
            </w:pPr>
            <w:r w:rsidRPr="00B93EE1">
              <w:rPr>
                <w:sz w:val="14"/>
                <w:szCs w:val="14"/>
              </w:rPr>
              <w:t>1-5</w:t>
            </w:r>
          </w:p>
        </w:tc>
        <w:tc>
          <w:tcPr>
            <w:tcW w:w="1023" w:type="pct"/>
            <w:hideMark/>
          </w:tcPr>
          <w:p w14:paraId="480E1754"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5FA1BA32" w14:textId="77777777" w:rsidR="00E16269" w:rsidRPr="00B93EE1" w:rsidRDefault="00E16269" w:rsidP="006D1F8B">
            <w:pPr>
              <w:jc w:val="left"/>
              <w:rPr>
                <w:sz w:val="14"/>
                <w:szCs w:val="14"/>
              </w:rPr>
            </w:pPr>
            <w:r w:rsidRPr="00B93EE1">
              <w:rPr>
                <w:sz w:val="14"/>
                <w:szCs w:val="14"/>
              </w:rPr>
              <w:t>PI, PPB and EC vested in Contracting Party (not nationals)</w:t>
            </w:r>
          </w:p>
        </w:tc>
      </w:tr>
      <w:tr w:rsidR="00E16269" w:rsidRPr="00B93EE1" w14:paraId="71304AD7" w14:textId="77777777" w:rsidTr="006D1F8B">
        <w:tc>
          <w:tcPr>
            <w:tcW w:w="1019" w:type="pct"/>
            <w:noWrap/>
            <w:hideMark/>
          </w:tcPr>
          <w:p w14:paraId="39E7AD5D" w14:textId="77777777" w:rsidR="00E16269" w:rsidRPr="00B93EE1" w:rsidRDefault="00E16269" w:rsidP="006D1F8B">
            <w:pPr>
              <w:jc w:val="left"/>
              <w:rPr>
                <w:b/>
                <w:bCs/>
                <w:sz w:val="14"/>
                <w:szCs w:val="14"/>
              </w:rPr>
            </w:pPr>
            <w:r w:rsidRPr="00B93EE1">
              <w:rPr>
                <w:b/>
                <w:bCs/>
                <w:sz w:val="14"/>
                <w:szCs w:val="14"/>
              </w:rPr>
              <w:t>Spain</w:t>
            </w:r>
          </w:p>
        </w:tc>
        <w:tc>
          <w:tcPr>
            <w:tcW w:w="629" w:type="pct"/>
            <w:noWrap/>
            <w:hideMark/>
          </w:tcPr>
          <w:p w14:paraId="07F28DF3" w14:textId="77777777" w:rsidR="00E16269" w:rsidRPr="00B93EE1" w:rsidRDefault="00E16269" w:rsidP="006D1F8B">
            <w:pPr>
              <w:jc w:val="left"/>
              <w:rPr>
                <w:b/>
                <w:bCs/>
                <w:sz w:val="14"/>
                <w:szCs w:val="14"/>
              </w:rPr>
            </w:pPr>
          </w:p>
        </w:tc>
        <w:tc>
          <w:tcPr>
            <w:tcW w:w="1179" w:type="pct"/>
            <w:hideMark/>
          </w:tcPr>
          <w:p w14:paraId="7F3C497D" w14:textId="77777777" w:rsidR="00E16269" w:rsidRPr="00B93EE1" w:rsidRDefault="00E16269" w:rsidP="006D1F8B">
            <w:pPr>
              <w:jc w:val="left"/>
              <w:rPr>
                <w:sz w:val="14"/>
                <w:szCs w:val="14"/>
              </w:rPr>
            </w:pPr>
            <w:r w:rsidRPr="00B93EE1">
              <w:rPr>
                <w:sz w:val="14"/>
                <w:szCs w:val="14"/>
              </w:rPr>
              <w:t>1-4</w:t>
            </w:r>
          </w:p>
          <w:p w14:paraId="46DC32AD" w14:textId="77777777" w:rsidR="00E16269" w:rsidRPr="00B93EE1" w:rsidRDefault="00E16269" w:rsidP="006D1F8B">
            <w:pPr>
              <w:jc w:val="left"/>
              <w:rPr>
                <w:sz w:val="14"/>
                <w:szCs w:val="14"/>
              </w:rPr>
            </w:pPr>
            <w:r w:rsidRPr="00B93EE1">
              <w:rPr>
                <w:sz w:val="14"/>
                <w:szCs w:val="14"/>
              </w:rPr>
              <w:t>Fifths to be determined</w:t>
            </w:r>
          </w:p>
        </w:tc>
        <w:tc>
          <w:tcPr>
            <w:tcW w:w="1023" w:type="pct"/>
            <w:hideMark/>
          </w:tcPr>
          <w:p w14:paraId="0890F0D7"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3B74215A" w14:textId="77777777" w:rsidR="00E16269" w:rsidRPr="00B93EE1" w:rsidRDefault="00E16269" w:rsidP="006D1F8B">
            <w:pPr>
              <w:jc w:val="left"/>
              <w:rPr>
                <w:sz w:val="14"/>
                <w:szCs w:val="14"/>
              </w:rPr>
            </w:pPr>
            <w:r w:rsidRPr="00B93EE1">
              <w:rPr>
                <w:sz w:val="14"/>
                <w:szCs w:val="14"/>
              </w:rPr>
              <w:t>PI, PPB and EC</w:t>
            </w:r>
          </w:p>
        </w:tc>
      </w:tr>
      <w:tr w:rsidR="00E16269" w:rsidRPr="00B93EE1" w14:paraId="57721D72"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64B40F71" w14:textId="77777777" w:rsidR="00E16269" w:rsidRPr="00B93EE1" w:rsidRDefault="00E16269" w:rsidP="006D1F8B">
            <w:pPr>
              <w:jc w:val="left"/>
              <w:rPr>
                <w:b/>
                <w:bCs/>
                <w:sz w:val="14"/>
                <w:szCs w:val="14"/>
              </w:rPr>
            </w:pPr>
            <w:r w:rsidRPr="00B93EE1">
              <w:rPr>
                <w:b/>
                <w:bCs/>
                <w:sz w:val="14"/>
                <w:szCs w:val="14"/>
              </w:rPr>
              <w:t>Sri Lanka</w:t>
            </w:r>
          </w:p>
        </w:tc>
        <w:tc>
          <w:tcPr>
            <w:tcW w:w="629" w:type="pct"/>
            <w:noWrap/>
            <w:hideMark/>
          </w:tcPr>
          <w:p w14:paraId="6AC14D45" w14:textId="77777777" w:rsidR="00E16269" w:rsidRPr="00B93EE1" w:rsidRDefault="00E16269" w:rsidP="006D1F8B">
            <w:pPr>
              <w:jc w:val="left"/>
              <w:rPr>
                <w:b/>
                <w:bCs/>
                <w:sz w:val="14"/>
                <w:szCs w:val="14"/>
              </w:rPr>
            </w:pPr>
          </w:p>
        </w:tc>
        <w:tc>
          <w:tcPr>
            <w:tcW w:w="1179" w:type="pct"/>
            <w:noWrap/>
            <w:hideMark/>
          </w:tcPr>
          <w:p w14:paraId="14BE4D80" w14:textId="77777777" w:rsidR="00E16269" w:rsidRPr="00B93EE1" w:rsidRDefault="00E16269" w:rsidP="006D1F8B">
            <w:pPr>
              <w:jc w:val="left"/>
              <w:rPr>
                <w:sz w:val="14"/>
                <w:szCs w:val="14"/>
              </w:rPr>
            </w:pPr>
            <w:r w:rsidRPr="00B93EE1">
              <w:rPr>
                <w:sz w:val="14"/>
                <w:szCs w:val="14"/>
              </w:rPr>
              <w:t>1-5</w:t>
            </w:r>
          </w:p>
        </w:tc>
        <w:tc>
          <w:tcPr>
            <w:tcW w:w="1023" w:type="pct"/>
            <w:hideMark/>
          </w:tcPr>
          <w:p w14:paraId="63AFDD85"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6CD23618" w14:textId="77777777" w:rsidR="00E16269" w:rsidRPr="00B93EE1" w:rsidRDefault="00E16269" w:rsidP="006D1F8B">
            <w:pPr>
              <w:jc w:val="left"/>
              <w:rPr>
                <w:sz w:val="14"/>
                <w:szCs w:val="14"/>
              </w:rPr>
            </w:pPr>
            <w:r w:rsidRPr="00B93EE1">
              <w:rPr>
                <w:sz w:val="14"/>
                <w:szCs w:val="14"/>
              </w:rPr>
              <w:t>PPB and ERC</w:t>
            </w:r>
          </w:p>
        </w:tc>
      </w:tr>
      <w:tr w:rsidR="00E16269" w:rsidRPr="00B93EE1" w14:paraId="5A539D93" w14:textId="77777777" w:rsidTr="006D1F8B">
        <w:tc>
          <w:tcPr>
            <w:tcW w:w="1019" w:type="pct"/>
            <w:noWrap/>
            <w:hideMark/>
          </w:tcPr>
          <w:p w14:paraId="4FE07974" w14:textId="77777777" w:rsidR="00E16269" w:rsidRPr="00B93EE1" w:rsidRDefault="00E16269" w:rsidP="006D1F8B">
            <w:pPr>
              <w:jc w:val="left"/>
              <w:rPr>
                <w:b/>
                <w:bCs/>
                <w:sz w:val="14"/>
                <w:szCs w:val="14"/>
              </w:rPr>
            </w:pPr>
            <w:r w:rsidRPr="00B93EE1">
              <w:rPr>
                <w:b/>
                <w:bCs/>
                <w:sz w:val="14"/>
                <w:szCs w:val="14"/>
              </w:rPr>
              <w:t>Sweden</w:t>
            </w:r>
          </w:p>
        </w:tc>
        <w:tc>
          <w:tcPr>
            <w:tcW w:w="629" w:type="pct"/>
            <w:noWrap/>
            <w:hideMark/>
          </w:tcPr>
          <w:p w14:paraId="71A02537" w14:textId="77777777" w:rsidR="00E16269" w:rsidRPr="00B93EE1" w:rsidRDefault="00E16269" w:rsidP="006D1F8B">
            <w:pPr>
              <w:jc w:val="left"/>
              <w:rPr>
                <w:b/>
                <w:bCs/>
                <w:sz w:val="14"/>
                <w:szCs w:val="14"/>
              </w:rPr>
            </w:pPr>
          </w:p>
        </w:tc>
        <w:tc>
          <w:tcPr>
            <w:tcW w:w="1179" w:type="pct"/>
            <w:noWrap/>
            <w:hideMark/>
          </w:tcPr>
          <w:p w14:paraId="27C09329" w14:textId="77777777" w:rsidR="00E16269" w:rsidRPr="00B93EE1" w:rsidRDefault="00E16269" w:rsidP="006D1F8B">
            <w:pPr>
              <w:jc w:val="left"/>
              <w:rPr>
                <w:sz w:val="14"/>
                <w:szCs w:val="14"/>
              </w:rPr>
            </w:pPr>
            <w:r w:rsidRPr="00B93EE1">
              <w:rPr>
                <w:sz w:val="14"/>
                <w:szCs w:val="14"/>
              </w:rPr>
              <w:t>1-5</w:t>
            </w:r>
          </w:p>
        </w:tc>
        <w:tc>
          <w:tcPr>
            <w:tcW w:w="1023" w:type="pct"/>
            <w:hideMark/>
          </w:tcPr>
          <w:p w14:paraId="21DA6031"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51A8F88A" w14:textId="77777777" w:rsidR="00E16269" w:rsidRPr="00B93EE1" w:rsidRDefault="00E16269" w:rsidP="006D1F8B">
            <w:pPr>
              <w:jc w:val="left"/>
              <w:rPr>
                <w:sz w:val="14"/>
                <w:szCs w:val="14"/>
              </w:rPr>
            </w:pPr>
            <w:r w:rsidRPr="00B93EE1">
              <w:rPr>
                <w:sz w:val="14"/>
                <w:szCs w:val="14"/>
              </w:rPr>
              <w:t>PI, PPB and EC</w:t>
            </w:r>
          </w:p>
        </w:tc>
      </w:tr>
      <w:tr w:rsidR="00E16269" w:rsidRPr="00B93EE1" w14:paraId="15BCF29F"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54D0E944" w14:textId="77777777" w:rsidR="00E16269" w:rsidRPr="00B93EE1" w:rsidRDefault="00E16269" w:rsidP="006D1F8B">
            <w:pPr>
              <w:jc w:val="left"/>
              <w:rPr>
                <w:b/>
                <w:bCs/>
                <w:sz w:val="14"/>
                <w:szCs w:val="14"/>
              </w:rPr>
            </w:pPr>
            <w:r w:rsidRPr="00B93EE1">
              <w:rPr>
                <w:b/>
                <w:bCs/>
                <w:sz w:val="14"/>
                <w:szCs w:val="14"/>
              </w:rPr>
              <w:t>Switzerland</w:t>
            </w:r>
          </w:p>
        </w:tc>
        <w:tc>
          <w:tcPr>
            <w:tcW w:w="629" w:type="pct"/>
            <w:noWrap/>
            <w:hideMark/>
          </w:tcPr>
          <w:p w14:paraId="6D91BFE0" w14:textId="77777777" w:rsidR="00E16269" w:rsidRPr="00B93EE1" w:rsidRDefault="00E16269" w:rsidP="006D1F8B">
            <w:pPr>
              <w:jc w:val="left"/>
              <w:rPr>
                <w:b/>
                <w:bCs/>
                <w:sz w:val="14"/>
                <w:szCs w:val="14"/>
              </w:rPr>
            </w:pPr>
          </w:p>
        </w:tc>
        <w:tc>
          <w:tcPr>
            <w:tcW w:w="1179" w:type="pct"/>
            <w:noWrap/>
            <w:hideMark/>
          </w:tcPr>
          <w:p w14:paraId="0B7ADCFA" w14:textId="77777777" w:rsidR="00E16269" w:rsidRPr="00B93EE1" w:rsidRDefault="00E16269" w:rsidP="006D1F8B">
            <w:pPr>
              <w:jc w:val="left"/>
              <w:rPr>
                <w:sz w:val="14"/>
                <w:szCs w:val="14"/>
              </w:rPr>
            </w:pPr>
            <w:r w:rsidRPr="00B93EE1">
              <w:rPr>
                <w:sz w:val="14"/>
                <w:szCs w:val="14"/>
              </w:rPr>
              <w:t>1-6</w:t>
            </w:r>
          </w:p>
        </w:tc>
        <w:tc>
          <w:tcPr>
            <w:tcW w:w="1023" w:type="pct"/>
            <w:hideMark/>
          </w:tcPr>
          <w:p w14:paraId="037C2C2E"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4DB78D84" w14:textId="77777777" w:rsidR="00E16269" w:rsidRPr="00B93EE1" w:rsidRDefault="00E16269" w:rsidP="006D1F8B">
            <w:pPr>
              <w:jc w:val="left"/>
              <w:rPr>
                <w:sz w:val="14"/>
                <w:szCs w:val="14"/>
              </w:rPr>
            </w:pPr>
            <w:r w:rsidRPr="00B93EE1">
              <w:rPr>
                <w:sz w:val="14"/>
                <w:szCs w:val="14"/>
              </w:rPr>
              <w:t>PI, PPB and ERC</w:t>
            </w:r>
          </w:p>
        </w:tc>
      </w:tr>
      <w:tr w:rsidR="00E16269" w:rsidRPr="00B93EE1" w14:paraId="10470731" w14:textId="77777777" w:rsidTr="006D1F8B">
        <w:tc>
          <w:tcPr>
            <w:tcW w:w="1019" w:type="pct"/>
            <w:hideMark/>
          </w:tcPr>
          <w:p w14:paraId="0CB4864C" w14:textId="77777777" w:rsidR="00E16269" w:rsidRPr="00B93EE1" w:rsidRDefault="00E16269" w:rsidP="006D1F8B">
            <w:pPr>
              <w:keepNext/>
              <w:keepLines/>
              <w:jc w:val="left"/>
              <w:rPr>
                <w:b/>
                <w:bCs/>
                <w:sz w:val="14"/>
                <w:szCs w:val="14"/>
              </w:rPr>
            </w:pPr>
            <w:r w:rsidRPr="00B93EE1">
              <w:rPr>
                <w:b/>
                <w:bCs/>
                <w:sz w:val="14"/>
                <w:szCs w:val="14"/>
              </w:rPr>
              <w:t xml:space="preserve">Chinese Taipei </w:t>
            </w:r>
          </w:p>
        </w:tc>
        <w:tc>
          <w:tcPr>
            <w:tcW w:w="629" w:type="pct"/>
            <w:noWrap/>
            <w:hideMark/>
          </w:tcPr>
          <w:p w14:paraId="0490BE7F" w14:textId="77777777" w:rsidR="00E16269" w:rsidRPr="00B93EE1" w:rsidRDefault="00E16269" w:rsidP="006D1F8B">
            <w:pPr>
              <w:keepNext/>
              <w:keepLines/>
              <w:jc w:val="left"/>
              <w:rPr>
                <w:b/>
                <w:bCs/>
                <w:sz w:val="14"/>
                <w:szCs w:val="14"/>
              </w:rPr>
            </w:pPr>
          </w:p>
        </w:tc>
        <w:tc>
          <w:tcPr>
            <w:tcW w:w="1179" w:type="pct"/>
            <w:noWrap/>
            <w:hideMark/>
          </w:tcPr>
          <w:p w14:paraId="3FE8BA0C" w14:textId="77777777" w:rsidR="00E16269" w:rsidRPr="00B93EE1" w:rsidRDefault="00E16269" w:rsidP="006D1F8B">
            <w:pPr>
              <w:keepNext/>
              <w:keepLines/>
              <w:jc w:val="left"/>
              <w:rPr>
                <w:sz w:val="14"/>
                <w:szCs w:val="14"/>
              </w:rPr>
            </w:pPr>
            <w:r w:rsidRPr="00B93EE1">
              <w:rPr>
                <w:sz w:val="14"/>
                <w:szCs w:val="14"/>
              </w:rPr>
              <w:t>1-6</w:t>
            </w:r>
          </w:p>
        </w:tc>
        <w:tc>
          <w:tcPr>
            <w:tcW w:w="1023" w:type="pct"/>
            <w:hideMark/>
          </w:tcPr>
          <w:p w14:paraId="5E3622C4" w14:textId="77777777" w:rsidR="00E16269" w:rsidRPr="00B93EE1" w:rsidRDefault="00E16269" w:rsidP="006D1F8B">
            <w:pPr>
              <w:keepNext/>
              <w:keepLines/>
              <w:jc w:val="left"/>
              <w:rPr>
                <w:sz w:val="14"/>
                <w:szCs w:val="14"/>
              </w:rPr>
            </w:pPr>
            <w:r w:rsidRPr="00B93EE1">
              <w:rPr>
                <w:sz w:val="14"/>
                <w:szCs w:val="14"/>
              </w:rPr>
              <w:t>Third country</w:t>
            </w:r>
          </w:p>
        </w:tc>
        <w:tc>
          <w:tcPr>
            <w:tcW w:w="1151" w:type="pct"/>
            <w:hideMark/>
          </w:tcPr>
          <w:p w14:paraId="5DE0B32F" w14:textId="77777777" w:rsidR="00E16269" w:rsidRPr="00B93EE1" w:rsidRDefault="00E16269" w:rsidP="006D1F8B">
            <w:pPr>
              <w:keepNext/>
              <w:keepLines/>
              <w:jc w:val="left"/>
              <w:rPr>
                <w:sz w:val="14"/>
                <w:szCs w:val="14"/>
              </w:rPr>
            </w:pPr>
            <w:r w:rsidRPr="00B93EE1">
              <w:rPr>
                <w:sz w:val="14"/>
                <w:szCs w:val="14"/>
              </w:rPr>
              <w:t>PPB and ERC</w:t>
            </w:r>
          </w:p>
        </w:tc>
      </w:tr>
      <w:tr w:rsidR="00E16269" w:rsidRPr="00B93EE1" w14:paraId="6C816A51"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0FEB929C" w14:textId="77777777" w:rsidR="00E16269" w:rsidRPr="00B93EE1" w:rsidRDefault="00E16269" w:rsidP="006D1F8B">
            <w:pPr>
              <w:jc w:val="left"/>
              <w:rPr>
                <w:b/>
                <w:bCs/>
                <w:sz w:val="14"/>
                <w:szCs w:val="14"/>
              </w:rPr>
            </w:pPr>
            <w:r w:rsidRPr="00B93EE1">
              <w:rPr>
                <w:b/>
                <w:bCs/>
                <w:sz w:val="14"/>
                <w:szCs w:val="14"/>
              </w:rPr>
              <w:t>Thailand</w:t>
            </w:r>
          </w:p>
        </w:tc>
        <w:tc>
          <w:tcPr>
            <w:tcW w:w="629" w:type="pct"/>
            <w:noWrap/>
            <w:hideMark/>
          </w:tcPr>
          <w:p w14:paraId="5B6419CD" w14:textId="77777777" w:rsidR="00E16269" w:rsidRPr="00B93EE1" w:rsidRDefault="00E16269" w:rsidP="006D1F8B">
            <w:pPr>
              <w:jc w:val="left"/>
              <w:rPr>
                <w:b/>
                <w:bCs/>
                <w:sz w:val="14"/>
                <w:szCs w:val="14"/>
              </w:rPr>
            </w:pPr>
          </w:p>
        </w:tc>
        <w:tc>
          <w:tcPr>
            <w:tcW w:w="1179" w:type="pct"/>
            <w:noWrap/>
            <w:hideMark/>
          </w:tcPr>
          <w:p w14:paraId="2A3EB0FB" w14:textId="77777777" w:rsidR="00E16269" w:rsidRPr="00B93EE1" w:rsidRDefault="00E16269" w:rsidP="006D1F8B">
            <w:pPr>
              <w:jc w:val="left"/>
              <w:rPr>
                <w:sz w:val="14"/>
                <w:szCs w:val="14"/>
              </w:rPr>
            </w:pPr>
            <w:r w:rsidRPr="00B93EE1">
              <w:rPr>
                <w:sz w:val="14"/>
                <w:szCs w:val="14"/>
              </w:rPr>
              <w:t>1-6 + 7f cargo</w:t>
            </w:r>
          </w:p>
        </w:tc>
        <w:tc>
          <w:tcPr>
            <w:tcW w:w="1023" w:type="pct"/>
            <w:hideMark/>
          </w:tcPr>
          <w:p w14:paraId="4218490D"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38B75695" w14:textId="77777777" w:rsidR="00E16269" w:rsidRPr="00B93EE1" w:rsidRDefault="00E16269" w:rsidP="006D1F8B">
            <w:pPr>
              <w:jc w:val="left"/>
              <w:rPr>
                <w:sz w:val="14"/>
                <w:szCs w:val="14"/>
              </w:rPr>
            </w:pPr>
            <w:r w:rsidRPr="00B93EE1">
              <w:rPr>
                <w:sz w:val="14"/>
                <w:szCs w:val="14"/>
              </w:rPr>
              <w:t>SO and EC</w:t>
            </w:r>
          </w:p>
        </w:tc>
      </w:tr>
      <w:tr w:rsidR="00E16269" w:rsidRPr="00B93EE1" w14:paraId="1267773D" w14:textId="77777777" w:rsidTr="006D1F8B">
        <w:tc>
          <w:tcPr>
            <w:tcW w:w="1019" w:type="pct"/>
            <w:noWrap/>
            <w:hideMark/>
          </w:tcPr>
          <w:p w14:paraId="3BD89D9D" w14:textId="77777777" w:rsidR="00E16269" w:rsidRPr="00B93EE1" w:rsidRDefault="00E16269" w:rsidP="006D1F8B">
            <w:pPr>
              <w:jc w:val="left"/>
              <w:rPr>
                <w:b/>
                <w:bCs/>
                <w:sz w:val="14"/>
                <w:szCs w:val="14"/>
              </w:rPr>
            </w:pPr>
            <w:r w:rsidRPr="00B93EE1">
              <w:rPr>
                <w:b/>
                <w:bCs/>
                <w:sz w:val="14"/>
                <w:szCs w:val="14"/>
              </w:rPr>
              <w:t>Tonga</w:t>
            </w:r>
          </w:p>
        </w:tc>
        <w:tc>
          <w:tcPr>
            <w:tcW w:w="629" w:type="pct"/>
            <w:noWrap/>
            <w:hideMark/>
          </w:tcPr>
          <w:p w14:paraId="00235101" w14:textId="77777777" w:rsidR="00E16269" w:rsidRPr="00B93EE1" w:rsidRDefault="00E16269" w:rsidP="006D1F8B">
            <w:pPr>
              <w:jc w:val="left"/>
              <w:rPr>
                <w:sz w:val="14"/>
                <w:szCs w:val="14"/>
              </w:rPr>
            </w:pPr>
            <w:r w:rsidRPr="00B93EE1">
              <w:rPr>
                <w:sz w:val="14"/>
                <w:szCs w:val="14"/>
              </w:rPr>
              <w:t xml:space="preserve">(See </w:t>
            </w:r>
            <w:proofErr w:type="spellStart"/>
            <w:r w:rsidRPr="00B93EE1">
              <w:rPr>
                <w:sz w:val="14"/>
                <w:szCs w:val="14"/>
              </w:rPr>
              <w:t>MALIAT</w:t>
            </w:r>
            <w:proofErr w:type="spellEnd"/>
            <w:r w:rsidRPr="00B93EE1">
              <w:rPr>
                <w:sz w:val="14"/>
                <w:szCs w:val="14"/>
              </w:rPr>
              <w:t>)</w:t>
            </w:r>
          </w:p>
        </w:tc>
        <w:tc>
          <w:tcPr>
            <w:tcW w:w="1179" w:type="pct"/>
            <w:noWrap/>
            <w:hideMark/>
          </w:tcPr>
          <w:p w14:paraId="65E732FB" w14:textId="77777777" w:rsidR="00E16269" w:rsidRPr="00B93EE1" w:rsidRDefault="00E16269" w:rsidP="006D1F8B">
            <w:pPr>
              <w:jc w:val="left"/>
              <w:rPr>
                <w:sz w:val="14"/>
                <w:szCs w:val="14"/>
              </w:rPr>
            </w:pPr>
          </w:p>
        </w:tc>
        <w:tc>
          <w:tcPr>
            <w:tcW w:w="1023" w:type="pct"/>
            <w:hideMark/>
          </w:tcPr>
          <w:p w14:paraId="719BBA0C" w14:textId="77777777" w:rsidR="00E16269" w:rsidRPr="00B93EE1" w:rsidRDefault="00E16269" w:rsidP="006D1F8B">
            <w:pPr>
              <w:jc w:val="left"/>
              <w:rPr>
                <w:sz w:val="14"/>
                <w:szCs w:val="14"/>
              </w:rPr>
            </w:pPr>
          </w:p>
        </w:tc>
        <w:tc>
          <w:tcPr>
            <w:tcW w:w="1151" w:type="pct"/>
            <w:noWrap/>
            <w:hideMark/>
          </w:tcPr>
          <w:p w14:paraId="7E3D580A" w14:textId="77777777" w:rsidR="00E16269" w:rsidRPr="00B93EE1" w:rsidRDefault="00E16269" w:rsidP="006D1F8B">
            <w:pPr>
              <w:jc w:val="left"/>
              <w:rPr>
                <w:sz w:val="14"/>
                <w:szCs w:val="14"/>
              </w:rPr>
            </w:pPr>
          </w:p>
        </w:tc>
      </w:tr>
      <w:tr w:rsidR="00E16269" w:rsidRPr="00B93EE1" w14:paraId="69CDF04A"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26561F87" w14:textId="77777777" w:rsidR="00E16269" w:rsidRPr="00B93EE1" w:rsidRDefault="00E16269" w:rsidP="006D1F8B">
            <w:pPr>
              <w:jc w:val="left"/>
              <w:rPr>
                <w:b/>
                <w:bCs/>
                <w:sz w:val="14"/>
                <w:szCs w:val="14"/>
              </w:rPr>
            </w:pPr>
            <w:r w:rsidRPr="00B93EE1">
              <w:rPr>
                <w:b/>
                <w:bCs/>
                <w:sz w:val="14"/>
                <w:szCs w:val="14"/>
              </w:rPr>
              <w:t>Turkey</w:t>
            </w:r>
          </w:p>
        </w:tc>
        <w:tc>
          <w:tcPr>
            <w:tcW w:w="629" w:type="pct"/>
            <w:noWrap/>
            <w:hideMark/>
          </w:tcPr>
          <w:p w14:paraId="510432A4" w14:textId="77777777" w:rsidR="00E16269" w:rsidRPr="00B93EE1" w:rsidRDefault="00E16269" w:rsidP="006D1F8B">
            <w:pPr>
              <w:jc w:val="left"/>
              <w:rPr>
                <w:b/>
                <w:bCs/>
                <w:sz w:val="14"/>
                <w:szCs w:val="14"/>
              </w:rPr>
            </w:pPr>
          </w:p>
        </w:tc>
        <w:tc>
          <w:tcPr>
            <w:tcW w:w="1179" w:type="pct"/>
            <w:noWrap/>
            <w:hideMark/>
          </w:tcPr>
          <w:p w14:paraId="2917AB0D" w14:textId="77777777" w:rsidR="00E16269" w:rsidRPr="00B93EE1" w:rsidRDefault="00E16269" w:rsidP="006D1F8B">
            <w:pPr>
              <w:jc w:val="left"/>
              <w:rPr>
                <w:sz w:val="14"/>
                <w:szCs w:val="14"/>
              </w:rPr>
            </w:pPr>
            <w:r w:rsidRPr="00B93EE1">
              <w:rPr>
                <w:sz w:val="14"/>
                <w:szCs w:val="14"/>
              </w:rPr>
              <w:t xml:space="preserve">1-4 + 7f cargo </w:t>
            </w:r>
          </w:p>
          <w:p w14:paraId="0C09D3AA" w14:textId="77777777" w:rsidR="00E16269" w:rsidRPr="00B93EE1" w:rsidRDefault="00E16269" w:rsidP="006D1F8B">
            <w:pPr>
              <w:jc w:val="left"/>
              <w:rPr>
                <w:sz w:val="14"/>
                <w:szCs w:val="14"/>
              </w:rPr>
            </w:pPr>
            <w:r w:rsidRPr="00B93EE1">
              <w:rPr>
                <w:sz w:val="14"/>
                <w:szCs w:val="14"/>
              </w:rPr>
              <w:t>Fifth to be determined</w:t>
            </w:r>
          </w:p>
        </w:tc>
        <w:tc>
          <w:tcPr>
            <w:tcW w:w="1023" w:type="pct"/>
            <w:hideMark/>
          </w:tcPr>
          <w:p w14:paraId="7009CE3D"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4339DDD1" w14:textId="77777777" w:rsidR="00E16269" w:rsidRPr="00B93EE1" w:rsidRDefault="00E16269" w:rsidP="006D1F8B">
            <w:pPr>
              <w:jc w:val="left"/>
              <w:rPr>
                <w:sz w:val="14"/>
                <w:szCs w:val="14"/>
              </w:rPr>
            </w:pPr>
            <w:r w:rsidRPr="00B93EE1">
              <w:rPr>
                <w:sz w:val="14"/>
                <w:szCs w:val="14"/>
              </w:rPr>
              <w:t>SO and EC</w:t>
            </w:r>
          </w:p>
          <w:p w14:paraId="1DFF64E2" w14:textId="77777777" w:rsidR="00E16269" w:rsidRPr="00B93EE1" w:rsidRDefault="00E16269" w:rsidP="006D1F8B">
            <w:pPr>
              <w:jc w:val="left"/>
              <w:rPr>
                <w:sz w:val="14"/>
                <w:szCs w:val="14"/>
              </w:rPr>
            </w:pPr>
            <w:r w:rsidRPr="00B93EE1">
              <w:rPr>
                <w:sz w:val="14"/>
                <w:szCs w:val="14"/>
              </w:rPr>
              <w:t xml:space="preserve">PI and PPB </w:t>
            </w:r>
          </w:p>
        </w:tc>
      </w:tr>
      <w:tr w:rsidR="00E16269" w:rsidRPr="00B93EE1" w14:paraId="41F209C9" w14:textId="77777777" w:rsidTr="006D1F8B">
        <w:tc>
          <w:tcPr>
            <w:tcW w:w="1019" w:type="pct"/>
            <w:noWrap/>
            <w:hideMark/>
          </w:tcPr>
          <w:p w14:paraId="1C883DF2" w14:textId="77777777" w:rsidR="00E16269" w:rsidRPr="00B93EE1" w:rsidRDefault="00E16269" w:rsidP="006D1F8B">
            <w:pPr>
              <w:jc w:val="left"/>
              <w:rPr>
                <w:b/>
                <w:bCs/>
                <w:sz w:val="14"/>
                <w:szCs w:val="14"/>
              </w:rPr>
            </w:pPr>
            <w:r w:rsidRPr="00B93EE1">
              <w:rPr>
                <w:b/>
                <w:bCs/>
                <w:sz w:val="14"/>
                <w:szCs w:val="14"/>
              </w:rPr>
              <w:t>United Arab Emirates</w:t>
            </w:r>
          </w:p>
        </w:tc>
        <w:tc>
          <w:tcPr>
            <w:tcW w:w="629" w:type="pct"/>
            <w:noWrap/>
            <w:hideMark/>
          </w:tcPr>
          <w:p w14:paraId="31BD3871" w14:textId="77777777" w:rsidR="00E16269" w:rsidRPr="00B93EE1" w:rsidRDefault="00E16269" w:rsidP="006D1F8B">
            <w:pPr>
              <w:jc w:val="left"/>
              <w:rPr>
                <w:b/>
                <w:bCs/>
                <w:sz w:val="14"/>
                <w:szCs w:val="14"/>
              </w:rPr>
            </w:pPr>
          </w:p>
        </w:tc>
        <w:tc>
          <w:tcPr>
            <w:tcW w:w="1179" w:type="pct"/>
            <w:hideMark/>
          </w:tcPr>
          <w:p w14:paraId="432B247D" w14:textId="77777777" w:rsidR="00E16269" w:rsidRPr="00B93EE1" w:rsidRDefault="00E16269" w:rsidP="006D1F8B">
            <w:pPr>
              <w:jc w:val="left"/>
              <w:rPr>
                <w:sz w:val="14"/>
                <w:szCs w:val="14"/>
              </w:rPr>
            </w:pPr>
            <w:r w:rsidRPr="00B93EE1">
              <w:rPr>
                <w:sz w:val="14"/>
                <w:szCs w:val="14"/>
              </w:rPr>
              <w:t>1-7, cabotage code share with designated airlines of other party</w:t>
            </w:r>
          </w:p>
        </w:tc>
        <w:tc>
          <w:tcPr>
            <w:tcW w:w="1023" w:type="pct"/>
            <w:hideMark/>
          </w:tcPr>
          <w:p w14:paraId="6923964A"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15498EA5" w14:textId="77777777" w:rsidR="00E16269" w:rsidRPr="00B93EE1" w:rsidRDefault="00E16269" w:rsidP="006D1F8B">
            <w:pPr>
              <w:jc w:val="left"/>
              <w:rPr>
                <w:sz w:val="14"/>
                <w:szCs w:val="14"/>
              </w:rPr>
            </w:pPr>
            <w:r w:rsidRPr="00B93EE1">
              <w:rPr>
                <w:sz w:val="14"/>
                <w:szCs w:val="14"/>
              </w:rPr>
              <w:t>PI, PPB and ERC</w:t>
            </w:r>
          </w:p>
        </w:tc>
      </w:tr>
      <w:tr w:rsidR="00E16269" w:rsidRPr="00B93EE1" w14:paraId="7A4EECA3"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7D6E468C" w14:textId="77777777" w:rsidR="00E16269" w:rsidRPr="00B93EE1" w:rsidRDefault="00E16269" w:rsidP="006D1F8B">
            <w:pPr>
              <w:jc w:val="left"/>
              <w:rPr>
                <w:b/>
                <w:bCs/>
                <w:sz w:val="14"/>
                <w:szCs w:val="14"/>
              </w:rPr>
            </w:pPr>
            <w:r w:rsidRPr="00B93EE1">
              <w:rPr>
                <w:b/>
                <w:bCs/>
                <w:sz w:val="14"/>
                <w:szCs w:val="14"/>
              </w:rPr>
              <w:t>United Kingdom</w:t>
            </w:r>
          </w:p>
        </w:tc>
        <w:tc>
          <w:tcPr>
            <w:tcW w:w="629" w:type="pct"/>
            <w:noWrap/>
            <w:hideMark/>
          </w:tcPr>
          <w:p w14:paraId="0A956398" w14:textId="77777777" w:rsidR="00E16269" w:rsidRPr="00B93EE1" w:rsidRDefault="00E16269" w:rsidP="006D1F8B">
            <w:pPr>
              <w:jc w:val="left"/>
              <w:rPr>
                <w:b/>
                <w:bCs/>
                <w:sz w:val="14"/>
                <w:szCs w:val="14"/>
              </w:rPr>
            </w:pPr>
          </w:p>
        </w:tc>
        <w:tc>
          <w:tcPr>
            <w:tcW w:w="1179" w:type="pct"/>
            <w:noWrap/>
            <w:hideMark/>
          </w:tcPr>
          <w:p w14:paraId="201A8614" w14:textId="77777777" w:rsidR="00E16269" w:rsidRPr="00B93EE1" w:rsidRDefault="00E16269" w:rsidP="006D1F8B">
            <w:pPr>
              <w:jc w:val="left"/>
              <w:rPr>
                <w:sz w:val="14"/>
                <w:szCs w:val="14"/>
              </w:rPr>
            </w:pPr>
            <w:r w:rsidRPr="00B93EE1">
              <w:rPr>
                <w:sz w:val="14"/>
                <w:szCs w:val="14"/>
              </w:rPr>
              <w:t>1-9</w:t>
            </w:r>
          </w:p>
        </w:tc>
        <w:tc>
          <w:tcPr>
            <w:tcW w:w="1023" w:type="pct"/>
            <w:hideMark/>
          </w:tcPr>
          <w:p w14:paraId="34966829"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0926BDE5" w14:textId="77777777" w:rsidR="00E16269" w:rsidRPr="00B93EE1" w:rsidRDefault="00E16269" w:rsidP="006D1F8B">
            <w:pPr>
              <w:jc w:val="left"/>
              <w:rPr>
                <w:sz w:val="14"/>
                <w:szCs w:val="14"/>
              </w:rPr>
            </w:pPr>
            <w:r w:rsidRPr="00B93EE1">
              <w:rPr>
                <w:sz w:val="14"/>
                <w:szCs w:val="14"/>
              </w:rPr>
              <w:t>NZ: PI, PPB and ERC</w:t>
            </w:r>
          </w:p>
          <w:p w14:paraId="2E4FBB3B" w14:textId="77777777" w:rsidR="00E16269" w:rsidRPr="00B93EE1" w:rsidRDefault="00E16269" w:rsidP="006D1F8B">
            <w:pPr>
              <w:jc w:val="left"/>
              <w:rPr>
                <w:sz w:val="14"/>
                <w:szCs w:val="14"/>
              </w:rPr>
            </w:pPr>
            <w:r w:rsidRPr="00B93EE1">
              <w:rPr>
                <w:sz w:val="14"/>
                <w:szCs w:val="14"/>
              </w:rPr>
              <w:t>UK:</w:t>
            </w:r>
          </w:p>
          <w:p w14:paraId="43CE9363" w14:textId="77777777" w:rsidR="00E16269" w:rsidRPr="00B93EE1" w:rsidRDefault="00E16269" w:rsidP="006D1F8B">
            <w:pPr>
              <w:jc w:val="left"/>
              <w:rPr>
                <w:sz w:val="14"/>
                <w:szCs w:val="14"/>
              </w:rPr>
            </w:pPr>
            <w:r w:rsidRPr="00B93EE1">
              <w:rPr>
                <w:sz w:val="14"/>
                <w:szCs w:val="14"/>
              </w:rPr>
              <w:t>PPB and ERC in EU member states</w:t>
            </w:r>
          </w:p>
          <w:p w14:paraId="66F90558" w14:textId="77777777" w:rsidR="00E16269" w:rsidRPr="00B93EE1" w:rsidRDefault="00E16269" w:rsidP="006D1F8B">
            <w:pPr>
              <w:jc w:val="left"/>
              <w:rPr>
                <w:sz w:val="14"/>
                <w:szCs w:val="14"/>
              </w:rPr>
            </w:pPr>
            <w:r w:rsidRPr="00B93EE1">
              <w:rPr>
                <w:sz w:val="14"/>
                <w:szCs w:val="14"/>
              </w:rPr>
              <w:t>Direct or Majority ownership and Effective Control by EU member states, Iceland, Liechtenstein, Norway, or Switzerland and/or nationals of those States</w:t>
            </w:r>
          </w:p>
        </w:tc>
      </w:tr>
      <w:tr w:rsidR="00E16269" w:rsidRPr="00B93EE1" w14:paraId="3E271B18" w14:textId="77777777" w:rsidTr="006D1F8B">
        <w:tc>
          <w:tcPr>
            <w:tcW w:w="1019" w:type="pct"/>
            <w:noWrap/>
            <w:hideMark/>
          </w:tcPr>
          <w:p w14:paraId="40D92A17" w14:textId="77777777" w:rsidR="00E16269" w:rsidRPr="00B93EE1" w:rsidRDefault="00E16269" w:rsidP="006D1F8B">
            <w:pPr>
              <w:jc w:val="left"/>
              <w:rPr>
                <w:b/>
                <w:bCs/>
                <w:sz w:val="14"/>
                <w:szCs w:val="14"/>
              </w:rPr>
            </w:pPr>
            <w:r w:rsidRPr="00B93EE1">
              <w:rPr>
                <w:b/>
                <w:bCs/>
                <w:sz w:val="14"/>
                <w:szCs w:val="14"/>
              </w:rPr>
              <w:t xml:space="preserve">United States </w:t>
            </w:r>
          </w:p>
        </w:tc>
        <w:tc>
          <w:tcPr>
            <w:tcW w:w="629" w:type="pct"/>
            <w:noWrap/>
            <w:hideMark/>
          </w:tcPr>
          <w:p w14:paraId="66309E61" w14:textId="77777777" w:rsidR="00E16269" w:rsidRPr="00B93EE1" w:rsidRDefault="00E16269" w:rsidP="006D1F8B">
            <w:pPr>
              <w:jc w:val="left"/>
              <w:rPr>
                <w:sz w:val="14"/>
                <w:szCs w:val="14"/>
              </w:rPr>
            </w:pPr>
            <w:r w:rsidRPr="00B93EE1">
              <w:rPr>
                <w:sz w:val="14"/>
                <w:szCs w:val="14"/>
              </w:rPr>
              <w:t xml:space="preserve">(See </w:t>
            </w:r>
            <w:proofErr w:type="spellStart"/>
            <w:r w:rsidRPr="00B93EE1">
              <w:rPr>
                <w:sz w:val="14"/>
                <w:szCs w:val="14"/>
              </w:rPr>
              <w:t>MALIAT</w:t>
            </w:r>
            <w:proofErr w:type="spellEnd"/>
            <w:r w:rsidRPr="00B93EE1">
              <w:rPr>
                <w:sz w:val="14"/>
                <w:szCs w:val="14"/>
              </w:rPr>
              <w:t>)</w:t>
            </w:r>
          </w:p>
        </w:tc>
        <w:tc>
          <w:tcPr>
            <w:tcW w:w="1179" w:type="pct"/>
            <w:noWrap/>
            <w:hideMark/>
          </w:tcPr>
          <w:p w14:paraId="7238C9E6" w14:textId="77777777" w:rsidR="00E16269" w:rsidRPr="00B93EE1" w:rsidRDefault="00E16269" w:rsidP="006D1F8B">
            <w:pPr>
              <w:jc w:val="left"/>
              <w:rPr>
                <w:sz w:val="14"/>
                <w:szCs w:val="14"/>
              </w:rPr>
            </w:pPr>
          </w:p>
        </w:tc>
        <w:tc>
          <w:tcPr>
            <w:tcW w:w="1023" w:type="pct"/>
            <w:hideMark/>
          </w:tcPr>
          <w:p w14:paraId="07A67485" w14:textId="77777777" w:rsidR="00E16269" w:rsidRPr="00B93EE1" w:rsidRDefault="00E16269" w:rsidP="006D1F8B">
            <w:pPr>
              <w:jc w:val="left"/>
              <w:rPr>
                <w:sz w:val="14"/>
                <w:szCs w:val="14"/>
              </w:rPr>
            </w:pPr>
          </w:p>
        </w:tc>
        <w:tc>
          <w:tcPr>
            <w:tcW w:w="1151" w:type="pct"/>
            <w:noWrap/>
            <w:hideMark/>
          </w:tcPr>
          <w:p w14:paraId="17D0BE74" w14:textId="77777777" w:rsidR="00E16269" w:rsidRPr="00B93EE1" w:rsidRDefault="00E16269" w:rsidP="006D1F8B">
            <w:pPr>
              <w:jc w:val="left"/>
              <w:rPr>
                <w:sz w:val="14"/>
                <w:szCs w:val="14"/>
              </w:rPr>
            </w:pPr>
          </w:p>
        </w:tc>
      </w:tr>
      <w:tr w:rsidR="00E16269" w:rsidRPr="00B93EE1" w14:paraId="6E327A12"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7D472EF9" w14:textId="77777777" w:rsidR="00E16269" w:rsidRPr="00B93EE1" w:rsidRDefault="00E16269" w:rsidP="006D1F8B">
            <w:pPr>
              <w:jc w:val="left"/>
              <w:rPr>
                <w:b/>
                <w:bCs/>
                <w:sz w:val="14"/>
                <w:szCs w:val="14"/>
              </w:rPr>
            </w:pPr>
            <w:r w:rsidRPr="00B93EE1">
              <w:rPr>
                <w:b/>
                <w:bCs/>
                <w:sz w:val="14"/>
                <w:szCs w:val="14"/>
              </w:rPr>
              <w:t>Uruguay</w:t>
            </w:r>
          </w:p>
        </w:tc>
        <w:tc>
          <w:tcPr>
            <w:tcW w:w="629" w:type="pct"/>
            <w:noWrap/>
            <w:hideMark/>
          </w:tcPr>
          <w:p w14:paraId="2EE1FCB2" w14:textId="77777777" w:rsidR="00E16269" w:rsidRPr="00B93EE1" w:rsidRDefault="00E16269" w:rsidP="006D1F8B">
            <w:pPr>
              <w:jc w:val="left"/>
              <w:rPr>
                <w:b/>
                <w:bCs/>
                <w:sz w:val="14"/>
                <w:szCs w:val="14"/>
              </w:rPr>
            </w:pPr>
          </w:p>
        </w:tc>
        <w:tc>
          <w:tcPr>
            <w:tcW w:w="1179" w:type="pct"/>
            <w:noWrap/>
            <w:hideMark/>
          </w:tcPr>
          <w:p w14:paraId="2EA8046B" w14:textId="77777777" w:rsidR="00E16269" w:rsidRPr="00B93EE1" w:rsidRDefault="00E16269" w:rsidP="006D1F8B">
            <w:pPr>
              <w:jc w:val="left"/>
              <w:rPr>
                <w:sz w:val="14"/>
                <w:szCs w:val="14"/>
              </w:rPr>
            </w:pPr>
            <w:r w:rsidRPr="00B93EE1">
              <w:rPr>
                <w:sz w:val="14"/>
                <w:szCs w:val="14"/>
              </w:rPr>
              <w:t>1-6 + 7f cargo</w:t>
            </w:r>
          </w:p>
        </w:tc>
        <w:tc>
          <w:tcPr>
            <w:tcW w:w="1023" w:type="pct"/>
            <w:hideMark/>
          </w:tcPr>
          <w:p w14:paraId="7EBE48D8" w14:textId="77777777" w:rsidR="00E16269" w:rsidRPr="00B93EE1" w:rsidRDefault="00E16269" w:rsidP="006D1F8B">
            <w:pPr>
              <w:jc w:val="left"/>
              <w:rPr>
                <w:sz w:val="14"/>
                <w:szCs w:val="14"/>
              </w:rPr>
            </w:pPr>
            <w:r w:rsidRPr="00B93EE1">
              <w:rPr>
                <w:sz w:val="14"/>
                <w:szCs w:val="14"/>
              </w:rPr>
              <w:t>Third country</w:t>
            </w:r>
          </w:p>
        </w:tc>
        <w:tc>
          <w:tcPr>
            <w:tcW w:w="1151" w:type="pct"/>
            <w:noWrap/>
            <w:hideMark/>
          </w:tcPr>
          <w:p w14:paraId="64FD8DB6" w14:textId="77777777" w:rsidR="00E16269" w:rsidRPr="00B93EE1" w:rsidRDefault="00E16269" w:rsidP="006D1F8B">
            <w:pPr>
              <w:jc w:val="left"/>
              <w:rPr>
                <w:sz w:val="14"/>
                <w:szCs w:val="14"/>
              </w:rPr>
            </w:pPr>
            <w:r w:rsidRPr="00B93EE1">
              <w:rPr>
                <w:sz w:val="14"/>
                <w:szCs w:val="14"/>
              </w:rPr>
              <w:t>PI, PPB and ERC</w:t>
            </w:r>
          </w:p>
        </w:tc>
      </w:tr>
      <w:tr w:rsidR="00E16269" w:rsidRPr="00B93EE1" w14:paraId="4C218C71" w14:textId="77777777" w:rsidTr="006D1F8B">
        <w:tc>
          <w:tcPr>
            <w:tcW w:w="1019" w:type="pct"/>
            <w:noWrap/>
            <w:hideMark/>
          </w:tcPr>
          <w:p w14:paraId="21820784" w14:textId="77777777" w:rsidR="00E16269" w:rsidRPr="00B93EE1" w:rsidRDefault="00E16269" w:rsidP="006D1F8B">
            <w:pPr>
              <w:jc w:val="left"/>
              <w:rPr>
                <w:b/>
                <w:bCs/>
                <w:sz w:val="14"/>
                <w:szCs w:val="14"/>
              </w:rPr>
            </w:pPr>
            <w:r w:rsidRPr="00B93EE1">
              <w:rPr>
                <w:b/>
                <w:bCs/>
                <w:sz w:val="14"/>
                <w:szCs w:val="14"/>
              </w:rPr>
              <w:t>Vanuatu</w:t>
            </w:r>
          </w:p>
        </w:tc>
        <w:tc>
          <w:tcPr>
            <w:tcW w:w="629" w:type="pct"/>
            <w:noWrap/>
            <w:hideMark/>
          </w:tcPr>
          <w:p w14:paraId="146719EA" w14:textId="77777777" w:rsidR="00E16269" w:rsidRPr="00B93EE1" w:rsidRDefault="00E16269" w:rsidP="006D1F8B">
            <w:pPr>
              <w:jc w:val="left"/>
              <w:rPr>
                <w:b/>
                <w:bCs/>
                <w:sz w:val="14"/>
                <w:szCs w:val="14"/>
              </w:rPr>
            </w:pPr>
          </w:p>
        </w:tc>
        <w:tc>
          <w:tcPr>
            <w:tcW w:w="1179" w:type="pct"/>
            <w:noWrap/>
            <w:hideMark/>
          </w:tcPr>
          <w:p w14:paraId="5259DA02" w14:textId="77777777" w:rsidR="00E16269" w:rsidRPr="00B93EE1" w:rsidRDefault="00E16269" w:rsidP="006D1F8B">
            <w:pPr>
              <w:jc w:val="left"/>
              <w:rPr>
                <w:sz w:val="14"/>
                <w:szCs w:val="14"/>
              </w:rPr>
            </w:pPr>
            <w:r w:rsidRPr="00B93EE1">
              <w:rPr>
                <w:sz w:val="14"/>
                <w:szCs w:val="14"/>
              </w:rPr>
              <w:t>1-5</w:t>
            </w:r>
          </w:p>
        </w:tc>
        <w:tc>
          <w:tcPr>
            <w:tcW w:w="1023" w:type="pct"/>
            <w:hideMark/>
          </w:tcPr>
          <w:p w14:paraId="5C0D5AD0"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0761C079" w14:textId="77777777" w:rsidR="00E16269" w:rsidRPr="00B93EE1" w:rsidRDefault="00E16269" w:rsidP="006D1F8B">
            <w:pPr>
              <w:jc w:val="left"/>
              <w:rPr>
                <w:sz w:val="14"/>
                <w:szCs w:val="14"/>
              </w:rPr>
            </w:pPr>
            <w:r w:rsidRPr="00B93EE1">
              <w:rPr>
                <w:sz w:val="14"/>
                <w:szCs w:val="14"/>
              </w:rPr>
              <w:t>SO and EC</w:t>
            </w:r>
          </w:p>
        </w:tc>
      </w:tr>
      <w:tr w:rsidR="00E16269" w:rsidRPr="00B93EE1" w14:paraId="4975BDB3"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3E15A484" w14:textId="77777777" w:rsidR="00E16269" w:rsidRPr="00B93EE1" w:rsidRDefault="00E16269" w:rsidP="006D1F8B">
            <w:pPr>
              <w:jc w:val="left"/>
              <w:rPr>
                <w:b/>
                <w:bCs/>
                <w:sz w:val="14"/>
                <w:szCs w:val="14"/>
              </w:rPr>
            </w:pPr>
            <w:r w:rsidRPr="00B93EE1">
              <w:rPr>
                <w:b/>
                <w:bCs/>
                <w:sz w:val="14"/>
                <w:szCs w:val="14"/>
              </w:rPr>
              <w:t>Viet Nam</w:t>
            </w:r>
          </w:p>
        </w:tc>
        <w:tc>
          <w:tcPr>
            <w:tcW w:w="629" w:type="pct"/>
            <w:noWrap/>
            <w:hideMark/>
          </w:tcPr>
          <w:p w14:paraId="5F553125" w14:textId="77777777" w:rsidR="00E16269" w:rsidRPr="00B93EE1" w:rsidRDefault="00E16269" w:rsidP="006D1F8B">
            <w:pPr>
              <w:jc w:val="left"/>
              <w:rPr>
                <w:b/>
                <w:bCs/>
                <w:sz w:val="14"/>
                <w:szCs w:val="14"/>
              </w:rPr>
            </w:pPr>
          </w:p>
        </w:tc>
        <w:tc>
          <w:tcPr>
            <w:tcW w:w="1179" w:type="pct"/>
            <w:hideMark/>
          </w:tcPr>
          <w:p w14:paraId="624B466F" w14:textId="77777777" w:rsidR="00E16269" w:rsidRPr="00B93EE1" w:rsidRDefault="00E16269" w:rsidP="006D1F8B">
            <w:pPr>
              <w:jc w:val="left"/>
              <w:rPr>
                <w:sz w:val="14"/>
                <w:szCs w:val="14"/>
              </w:rPr>
            </w:pPr>
            <w:r w:rsidRPr="00B93EE1">
              <w:rPr>
                <w:sz w:val="14"/>
                <w:szCs w:val="14"/>
              </w:rPr>
              <w:t>1-4 + limited 7f cargo</w:t>
            </w:r>
          </w:p>
        </w:tc>
        <w:tc>
          <w:tcPr>
            <w:tcW w:w="1023" w:type="pct"/>
            <w:hideMark/>
          </w:tcPr>
          <w:p w14:paraId="7CDA0309"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52B373FE" w14:textId="77777777" w:rsidR="00E16269" w:rsidRPr="00B93EE1" w:rsidRDefault="00E16269" w:rsidP="006D1F8B">
            <w:pPr>
              <w:jc w:val="left"/>
              <w:rPr>
                <w:sz w:val="14"/>
                <w:szCs w:val="14"/>
              </w:rPr>
            </w:pPr>
            <w:r w:rsidRPr="00B93EE1">
              <w:rPr>
                <w:sz w:val="14"/>
                <w:szCs w:val="14"/>
              </w:rPr>
              <w:t>PPB and ERC</w:t>
            </w:r>
          </w:p>
        </w:tc>
      </w:tr>
      <w:tr w:rsidR="00E16269" w:rsidRPr="00B93EE1" w14:paraId="5DE7FE06" w14:textId="77777777" w:rsidTr="006D1F8B">
        <w:tc>
          <w:tcPr>
            <w:tcW w:w="1019" w:type="pct"/>
            <w:noWrap/>
            <w:hideMark/>
          </w:tcPr>
          <w:p w14:paraId="44FB617B" w14:textId="77777777" w:rsidR="00E16269" w:rsidRPr="00B93EE1" w:rsidRDefault="00E16269" w:rsidP="006D1F8B">
            <w:pPr>
              <w:jc w:val="left"/>
              <w:rPr>
                <w:b/>
                <w:bCs/>
                <w:sz w:val="14"/>
                <w:szCs w:val="14"/>
              </w:rPr>
            </w:pPr>
            <w:r w:rsidRPr="00B93EE1">
              <w:rPr>
                <w:b/>
                <w:bCs/>
                <w:sz w:val="14"/>
                <w:szCs w:val="14"/>
              </w:rPr>
              <w:t>Zambia</w:t>
            </w:r>
          </w:p>
        </w:tc>
        <w:tc>
          <w:tcPr>
            <w:tcW w:w="629" w:type="pct"/>
            <w:noWrap/>
            <w:hideMark/>
          </w:tcPr>
          <w:p w14:paraId="7AD78346" w14:textId="77777777" w:rsidR="00E16269" w:rsidRPr="00B93EE1" w:rsidRDefault="00E16269" w:rsidP="006D1F8B">
            <w:pPr>
              <w:jc w:val="left"/>
              <w:rPr>
                <w:b/>
                <w:bCs/>
                <w:sz w:val="14"/>
                <w:szCs w:val="14"/>
              </w:rPr>
            </w:pPr>
          </w:p>
        </w:tc>
        <w:tc>
          <w:tcPr>
            <w:tcW w:w="1179" w:type="pct"/>
            <w:noWrap/>
            <w:hideMark/>
          </w:tcPr>
          <w:p w14:paraId="38D3FB3B" w14:textId="77777777" w:rsidR="00E16269" w:rsidRPr="00B93EE1" w:rsidRDefault="00E16269" w:rsidP="006D1F8B">
            <w:pPr>
              <w:jc w:val="left"/>
              <w:rPr>
                <w:sz w:val="14"/>
                <w:szCs w:val="14"/>
              </w:rPr>
            </w:pPr>
            <w:r w:rsidRPr="00B93EE1">
              <w:rPr>
                <w:sz w:val="14"/>
                <w:szCs w:val="14"/>
              </w:rPr>
              <w:t>1-6</w:t>
            </w:r>
          </w:p>
        </w:tc>
        <w:tc>
          <w:tcPr>
            <w:tcW w:w="1023" w:type="pct"/>
            <w:hideMark/>
          </w:tcPr>
          <w:p w14:paraId="3759E85E" w14:textId="77777777" w:rsidR="00E16269" w:rsidRPr="00B93EE1" w:rsidRDefault="00E16269" w:rsidP="006D1F8B">
            <w:pPr>
              <w:jc w:val="left"/>
              <w:rPr>
                <w:sz w:val="14"/>
                <w:szCs w:val="14"/>
              </w:rPr>
            </w:pPr>
            <w:r w:rsidRPr="00B93EE1">
              <w:rPr>
                <w:sz w:val="14"/>
                <w:szCs w:val="14"/>
              </w:rPr>
              <w:t>Third country</w:t>
            </w:r>
          </w:p>
        </w:tc>
        <w:tc>
          <w:tcPr>
            <w:tcW w:w="1151" w:type="pct"/>
            <w:hideMark/>
          </w:tcPr>
          <w:p w14:paraId="0F342123" w14:textId="77777777" w:rsidR="00E16269" w:rsidRPr="00B93EE1" w:rsidRDefault="00E16269" w:rsidP="006D1F8B">
            <w:pPr>
              <w:jc w:val="left"/>
              <w:rPr>
                <w:sz w:val="14"/>
                <w:szCs w:val="14"/>
              </w:rPr>
            </w:pPr>
            <w:r w:rsidRPr="00B93EE1">
              <w:rPr>
                <w:sz w:val="14"/>
                <w:szCs w:val="14"/>
              </w:rPr>
              <w:t>PPC and ERC</w:t>
            </w:r>
          </w:p>
        </w:tc>
      </w:tr>
      <w:tr w:rsidR="00E16269" w:rsidRPr="00B93EE1" w14:paraId="4E0A9ED3"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280922DE" w14:textId="77777777" w:rsidR="00E16269" w:rsidRPr="00B93EE1" w:rsidRDefault="00E16269" w:rsidP="006D1F8B">
            <w:pPr>
              <w:jc w:val="left"/>
              <w:rPr>
                <w:b/>
                <w:bCs/>
                <w:sz w:val="14"/>
                <w:szCs w:val="14"/>
              </w:rPr>
            </w:pPr>
            <w:proofErr w:type="spellStart"/>
            <w:r w:rsidRPr="00B93EE1">
              <w:rPr>
                <w:b/>
                <w:bCs/>
                <w:sz w:val="14"/>
                <w:szCs w:val="14"/>
              </w:rPr>
              <w:t>MALIAT</w:t>
            </w:r>
            <w:proofErr w:type="spellEnd"/>
          </w:p>
        </w:tc>
        <w:tc>
          <w:tcPr>
            <w:tcW w:w="629" w:type="pct"/>
            <w:noWrap/>
            <w:hideMark/>
          </w:tcPr>
          <w:p w14:paraId="018B6DB4" w14:textId="77777777" w:rsidR="00E16269" w:rsidRPr="00B93EE1" w:rsidRDefault="00E16269" w:rsidP="006D1F8B">
            <w:pPr>
              <w:jc w:val="left"/>
              <w:rPr>
                <w:b/>
                <w:bCs/>
                <w:sz w:val="14"/>
                <w:szCs w:val="14"/>
              </w:rPr>
            </w:pPr>
          </w:p>
        </w:tc>
        <w:tc>
          <w:tcPr>
            <w:tcW w:w="1179" w:type="pct"/>
            <w:noWrap/>
            <w:hideMark/>
          </w:tcPr>
          <w:p w14:paraId="5CFC37B4" w14:textId="77777777" w:rsidR="00E16269" w:rsidRPr="00B93EE1" w:rsidRDefault="00E16269" w:rsidP="006D1F8B">
            <w:pPr>
              <w:jc w:val="left"/>
              <w:rPr>
                <w:sz w:val="14"/>
                <w:szCs w:val="14"/>
              </w:rPr>
            </w:pPr>
            <w:r w:rsidRPr="00B93EE1">
              <w:rPr>
                <w:sz w:val="14"/>
                <w:szCs w:val="14"/>
              </w:rPr>
              <w:t>1-6 + 7f cargo</w:t>
            </w:r>
          </w:p>
        </w:tc>
        <w:tc>
          <w:tcPr>
            <w:tcW w:w="1023" w:type="pct"/>
            <w:hideMark/>
          </w:tcPr>
          <w:p w14:paraId="52F1DFC3" w14:textId="77777777" w:rsidR="00E16269" w:rsidRPr="00B93EE1" w:rsidRDefault="00E16269" w:rsidP="006D1F8B">
            <w:pPr>
              <w:jc w:val="left"/>
              <w:rPr>
                <w:sz w:val="14"/>
                <w:szCs w:val="14"/>
              </w:rPr>
            </w:pPr>
          </w:p>
        </w:tc>
        <w:tc>
          <w:tcPr>
            <w:tcW w:w="1151" w:type="pct"/>
            <w:noWrap/>
            <w:hideMark/>
          </w:tcPr>
          <w:p w14:paraId="24222C4F" w14:textId="77777777" w:rsidR="00E16269" w:rsidRPr="00B93EE1" w:rsidRDefault="00E16269" w:rsidP="006D1F8B">
            <w:pPr>
              <w:jc w:val="left"/>
              <w:rPr>
                <w:sz w:val="14"/>
                <w:szCs w:val="14"/>
              </w:rPr>
            </w:pPr>
            <w:r w:rsidRPr="00B93EE1">
              <w:rPr>
                <w:sz w:val="14"/>
                <w:szCs w:val="14"/>
              </w:rPr>
              <w:t xml:space="preserve">PI, PPB and EC </w:t>
            </w:r>
          </w:p>
        </w:tc>
      </w:tr>
      <w:tr w:rsidR="00E16269" w:rsidRPr="00B93EE1" w14:paraId="16EAA576" w14:textId="77777777" w:rsidTr="006D1F8B">
        <w:tc>
          <w:tcPr>
            <w:tcW w:w="1019" w:type="pct"/>
            <w:noWrap/>
            <w:hideMark/>
          </w:tcPr>
          <w:p w14:paraId="087BF37A" w14:textId="77777777" w:rsidR="00E16269" w:rsidRPr="00B93EE1" w:rsidRDefault="00E16269" w:rsidP="006D1F8B">
            <w:pPr>
              <w:jc w:val="left"/>
              <w:rPr>
                <w:b/>
                <w:bCs/>
                <w:sz w:val="14"/>
                <w:szCs w:val="14"/>
              </w:rPr>
            </w:pPr>
            <w:proofErr w:type="spellStart"/>
            <w:r w:rsidRPr="00B93EE1">
              <w:rPr>
                <w:b/>
                <w:bCs/>
                <w:sz w:val="14"/>
                <w:szCs w:val="14"/>
              </w:rPr>
              <w:t>MALIAT</w:t>
            </w:r>
            <w:proofErr w:type="spellEnd"/>
            <w:r w:rsidRPr="00B93EE1">
              <w:rPr>
                <w:b/>
                <w:bCs/>
                <w:sz w:val="14"/>
                <w:szCs w:val="14"/>
              </w:rPr>
              <w:t xml:space="preserve"> Protocol </w:t>
            </w:r>
          </w:p>
        </w:tc>
        <w:tc>
          <w:tcPr>
            <w:tcW w:w="629" w:type="pct"/>
            <w:noWrap/>
            <w:hideMark/>
          </w:tcPr>
          <w:p w14:paraId="1638353D" w14:textId="77777777" w:rsidR="00E16269" w:rsidRPr="00B93EE1" w:rsidRDefault="00E16269" w:rsidP="006D1F8B">
            <w:pPr>
              <w:jc w:val="left"/>
              <w:rPr>
                <w:b/>
                <w:bCs/>
                <w:sz w:val="14"/>
                <w:szCs w:val="14"/>
              </w:rPr>
            </w:pPr>
          </w:p>
        </w:tc>
        <w:tc>
          <w:tcPr>
            <w:tcW w:w="1179" w:type="pct"/>
            <w:noWrap/>
            <w:hideMark/>
          </w:tcPr>
          <w:p w14:paraId="055F1531" w14:textId="77777777" w:rsidR="00E16269" w:rsidRPr="00B93EE1" w:rsidRDefault="00E16269" w:rsidP="006D1F8B">
            <w:pPr>
              <w:jc w:val="left"/>
              <w:rPr>
                <w:sz w:val="14"/>
                <w:szCs w:val="14"/>
              </w:rPr>
            </w:pPr>
            <w:r w:rsidRPr="00B93EE1">
              <w:rPr>
                <w:sz w:val="14"/>
                <w:szCs w:val="14"/>
              </w:rPr>
              <w:t>7 pax + 8</w:t>
            </w:r>
          </w:p>
        </w:tc>
        <w:tc>
          <w:tcPr>
            <w:tcW w:w="1023" w:type="pct"/>
            <w:hideMark/>
          </w:tcPr>
          <w:p w14:paraId="2BBCBCD6" w14:textId="77777777" w:rsidR="00E16269" w:rsidRPr="00B93EE1" w:rsidRDefault="00E16269" w:rsidP="006D1F8B">
            <w:pPr>
              <w:jc w:val="left"/>
              <w:rPr>
                <w:sz w:val="14"/>
                <w:szCs w:val="14"/>
              </w:rPr>
            </w:pPr>
          </w:p>
        </w:tc>
        <w:tc>
          <w:tcPr>
            <w:tcW w:w="1151" w:type="pct"/>
            <w:noWrap/>
            <w:hideMark/>
          </w:tcPr>
          <w:p w14:paraId="02A534E3" w14:textId="77777777" w:rsidR="00E16269" w:rsidRPr="00B93EE1" w:rsidRDefault="00E16269" w:rsidP="006D1F8B">
            <w:pPr>
              <w:jc w:val="left"/>
              <w:rPr>
                <w:sz w:val="14"/>
                <w:szCs w:val="14"/>
              </w:rPr>
            </w:pPr>
            <w:r w:rsidRPr="00B93EE1">
              <w:rPr>
                <w:sz w:val="14"/>
                <w:szCs w:val="14"/>
              </w:rPr>
              <w:t xml:space="preserve">PI, PPB and EC </w:t>
            </w:r>
          </w:p>
        </w:tc>
      </w:tr>
      <w:tr w:rsidR="00E16269" w:rsidRPr="00B93EE1" w14:paraId="19D2ACAE" w14:textId="77777777" w:rsidTr="006D1F8B">
        <w:trPr>
          <w:cnfStyle w:val="000000010000" w:firstRow="0" w:lastRow="0" w:firstColumn="0" w:lastColumn="0" w:oddVBand="0" w:evenVBand="0" w:oddHBand="0" w:evenHBand="1" w:firstRowFirstColumn="0" w:firstRowLastColumn="0" w:lastRowFirstColumn="0" w:lastRowLastColumn="0"/>
        </w:trPr>
        <w:tc>
          <w:tcPr>
            <w:tcW w:w="1019" w:type="pct"/>
            <w:noWrap/>
            <w:hideMark/>
          </w:tcPr>
          <w:p w14:paraId="42DA4DCD" w14:textId="77777777" w:rsidR="00E16269" w:rsidRPr="00B93EE1" w:rsidRDefault="00E16269" w:rsidP="006D1F8B">
            <w:pPr>
              <w:jc w:val="left"/>
              <w:rPr>
                <w:b/>
                <w:bCs/>
                <w:sz w:val="14"/>
                <w:szCs w:val="14"/>
              </w:rPr>
            </w:pPr>
            <w:proofErr w:type="spellStart"/>
            <w:r w:rsidRPr="00B93EE1">
              <w:rPr>
                <w:b/>
                <w:bCs/>
                <w:sz w:val="14"/>
                <w:szCs w:val="14"/>
              </w:rPr>
              <w:t>MALIAT</w:t>
            </w:r>
            <w:proofErr w:type="spellEnd"/>
            <w:r w:rsidRPr="00B93EE1">
              <w:rPr>
                <w:b/>
                <w:bCs/>
                <w:sz w:val="14"/>
                <w:szCs w:val="14"/>
              </w:rPr>
              <w:t xml:space="preserve"> cargo-only</w:t>
            </w:r>
          </w:p>
        </w:tc>
        <w:tc>
          <w:tcPr>
            <w:tcW w:w="629" w:type="pct"/>
            <w:noWrap/>
            <w:hideMark/>
          </w:tcPr>
          <w:p w14:paraId="4BE78937" w14:textId="77777777" w:rsidR="00E16269" w:rsidRPr="00B93EE1" w:rsidRDefault="00E16269" w:rsidP="006D1F8B">
            <w:pPr>
              <w:jc w:val="left"/>
              <w:rPr>
                <w:b/>
                <w:bCs/>
                <w:sz w:val="14"/>
                <w:szCs w:val="14"/>
              </w:rPr>
            </w:pPr>
          </w:p>
        </w:tc>
        <w:tc>
          <w:tcPr>
            <w:tcW w:w="1179" w:type="pct"/>
            <w:noWrap/>
            <w:hideMark/>
          </w:tcPr>
          <w:p w14:paraId="0C87D15C" w14:textId="77777777" w:rsidR="00E16269" w:rsidRPr="00B93EE1" w:rsidRDefault="00E16269" w:rsidP="006D1F8B">
            <w:pPr>
              <w:jc w:val="left"/>
              <w:rPr>
                <w:sz w:val="14"/>
                <w:szCs w:val="14"/>
              </w:rPr>
            </w:pPr>
            <w:r w:rsidRPr="00B93EE1">
              <w:rPr>
                <w:sz w:val="14"/>
                <w:szCs w:val="14"/>
              </w:rPr>
              <w:t>1-7f</w:t>
            </w:r>
          </w:p>
        </w:tc>
        <w:tc>
          <w:tcPr>
            <w:tcW w:w="1023" w:type="pct"/>
            <w:hideMark/>
          </w:tcPr>
          <w:p w14:paraId="517769BF" w14:textId="77777777" w:rsidR="00E16269" w:rsidRPr="00B93EE1" w:rsidRDefault="00E16269" w:rsidP="006D1F8B">
            <w:pPr>
              <w:jc w:val="left"/>
              <w:rPr>
                <w:sz w:val="14"/>
                <w:szCs w:val="14"/>
              </w:rPr>
            </w:pPr>
          </w:p>
        </w:tc>
        <w:tc>
          <w:tcPr>
            <w:tcW w:w="1151" w:type="pct"/>
            <w:noWrap/>
            <w:hideMark/>
          </w:tcPr>
          <w:p w14:paraId="6D20AE7C" w14:textId="77777777" w:rsidR="00E16269" w:rsidRPr="00B93EE1" w:rsidRDefault="00E16269" w:rsidP="006D1F8B">
            <w:pPr>
              <w:jc w:val="left"/>
              <w:rPr>
                <w:sz w:val="14"/>
                <w:szCs w:val="14"/>
              </w:rPr>
            </w:pPr>
            <w:r w:rsidRPr="00B93EE1">
              <w:rPr>
                <w:sz w:val="14"/>
                <w:szCs w:val="14"/>
              </w:rPr>
              <w:t xml:space="preserve">PI, PPB and EC </w:t>
            </w:r>
          </w:p>
        </w:tc>
      </w:tr>
    </w:tbl>
    <w:p w14:paraId="2A0A1E55" w14:textId="74DEF1EC" w:rsidR="00120717" w:rsidRPr="00B93EE1" w:rsidRDefault="00120717" w:rsidP="006B1D61">
      <w:pPr>
        <w:pStyle w:val="NoteText"/>
        <w:spacing w:before="120"/>
      </w:pPr>
      <w:bookmarkStart w:id="273" w:name="_Hlk97048318"/>
      <w:r w:rsidRPr="00B93EE1">
        <w:t>Note:</w:t>
      </w:r>
      <w:r w:rsidRPr="00B93EE1">
        <w:tab/>
      </w:r>
      <w:r w:rsidR="008D2D1F" w:rsidRPr="00B93EE1">
        <w:t xml:space="preserve">SO = Substantial Ownership, EC = Effective Control, PI = Place of Incorporation, PPB = Principal Place of Business, ERC = Effective Regulatory Control, </w:t>
      </w:r>
      <w:r w:rsidR="008D2D1F" w:rsidRPr="006B1D61">
        <w:t>X PW = times per week.</w:t>
      </w:r>
    </w:p>
    <w:bookmarkEnd w:id="273"/>
    <w:p w14:paraId="613A7F44" w14:textId="77777777" w:rsidR="00120717" w:rsidRPr="00B93EE1" w:rsidRDefault="00120717" w:rsidP="006B1D61">
      <w:pPr>
        <w:pStyle w:val="NoteText"/>
        <w:spacing w:before="120" w:after="240"/>
      </w:pPr>
      <w:r w:rsidRPr="00B93EE1">
        <w:t>Source:</w:t>
      </w:r>
      <w:r w:rsidRPr="00B93EE1">
        <w:tab/>
        <w:t>Information provided by the authorities.</w:t>
      </w:r>
    </w:p>
    <w:bookmarkEnd w:id="271"/>
    <w:p w14:paraId="1C312C1F" w14:textId="77777777" w:rsidR="00120717" w:rsidRPr="00B93EE1" w:rsidRDefault="00120717" w:rsidP="007C46B3">
      <w:pPr>
        <w:jc w:val="center"/>
      </w:pPr>
      <w:r w:rsidRPr="00B93EE1">
        <w:rPr>
          <w:b/>
        </w:rPr>
        <w:t>__________</w:t>
      </w:r>
    </w:p>
    <w:p w14:paraId="1D9EC377" w14:textId="77777777" w:rsidR="00120717" w:rsidRPr="00B93EE1" w:rsidRDefault="00120717" w:rsidP="009D5168"/>
    <w:sectPr w:rsidR="00120717" w:rsidRPr="00B93EE1" w:rsidSect="003D7746">
      <w:type w:val="continuous"/>
      <w:pgSz w:w="11906" w:h="16838" w:code="9"/>
      <w:pgMar w:top="1701"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E460" w14:textId="77777777" w:rsidR="003312DD" w:rsidRDefault="003312DD" w:rsidP="00120717">
      <w:r>
        <w:separator/>
      </w:r>
    </w:p>
  </w:endnote>
  <w:endnote w:type="continuationSeparator" w:id="0">
    <w:p w14:paraId="7CF88BAD" w14:textId="77777777" w:rsidR="003312DD" w:rsidRDefault="003312DD" w:rsidP="0012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UI">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69D9" w14:textId="59811934" w:rsidR="00120717" w:rsidRPr="008F77AA" w:rsidRDefault="003D7746" w:rsidP="003D77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F866" w14:textId="0D1C8F82" w:rsidR="00120717" w:rsidRPr="008F77AA" w:rsidRDefault="003D7746" w:rsidP="003D77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3C70" w14:textId="4FD6BA9D" w:rsidR="00120717" w:rsidRPr="003D7746" w:rsidRDefault="003D7746" w:rsidP="003D774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6A75" w14:textId="77777777" w:rsidR="003312DD" w:rsidRDefault="003312DD" w:rsidP="00120717">
      <w:r>
        <w:separator/>
      </w:r>
    </w:p>
  </w:footnote>
  <w:footnote w:type="continuationSeparator" w:id="0">
    <w:p w14:paraId="234F097C" w14:textId="77777777" w:rsidR="003312DD" w:rsidRDefault="003312DD" w:rsidP="00120717">
      <w:r>
        <w:continuationSeparator/>
      </w:r>
    </w:p>
  </w:footnote>
  <w:footnote w:id="1">
    <w:p w14:paraId="778F1F0E" w14:textId="77777777" w:rsidR="00120717" w:rsidRPr="00D6723B" w:rsidRDefault="00120717" w:rsidP="00307824">
      <w:pPr>
        <w:pStyle w:val="FootnoteText"/>
      </w:pPr>
      <w:r w:rsidRPr="00D6723B">
        <w:rPr>
          <w:rStyle w:val="FootnoteReference"/>
        </w:rPr>
        <w:footnoteRef/>
      </w:r>
      <w:r w:rsidRPr="00D6723B">
        <w:t xml:space="preserve"> </w:t>
      </w:r>
      <w:r>
        <w:t>IMD</w:t>
      </w:r>
      <w:r w:rsidRPr="00D6723B">
        <w:t xml:space="preserve">, </w:t>
      </w:r>
      <w:r w:rsidRPr="00D6723B">
        <w:rPr>
          <w:i/>
          <w:iCs/>
        </w:rPr>
        <w:t>Competitiveness Ranking 2021, Country Overview: New Zealand</w:t>
      </w:r>
      <w:r w:rsidRPr="00D6723B">
        <w:t xml:space="preserve">. Viewed at: </w:t>
      </w:r>
      <w:hyperlink r:id="rId1" w:history="1">
        <w:r w:rsidRPr="00D6723B">
          <w:rPr>
            <w:rStyle w:val="Hyperlink"/>
          </w:rPr>
          <w:t>https://worldcompetitiveness.imd.org/countryprofile/NZ/wcy</w:t>
        </w:r>
      </w:hyperlink>
      <w:r w:rsidRPr="00D6723B">
        <w:t>.</w:t>
      </w:r>
    </w:p>
  </w:footnote>
  <w:footnote w:id="2">
    <w:p w14:paraId="48A74F53" w14:textId="77777777" w:rsidR="00120717" w:rsidRPr="00D6723B" w:rsidRDefault="00120717" w:rsidP="00C65F74">
      <w:pPr>
        <w:pStyle w:val="FootnoteText"/>
      </w:pPr>
      <w:r w:rsidRPr="00D6723B">
        <w:rPr>
          <w:rStyle w:val="FootnoteReference"/>
        </w:rPr>
        <w:footnoteRef/>
      </w:r>
      <w:r w:rsidRPr="00D6723B">
        <w:t xml:space="preserve"> Productivity growth is h</w:t>
      </w:r>
      <w:r w:rsidRPr="00D6723B">
        <w:rPr>
          <w:color w:val="2C2825"/>
          <w:szCs w:val="16"/>
        </w:rPr>
        <w:t>ow much output can be generated with a given level of labour and capital.</w:t>
      </w:r>
      <w:r w:rsidRPr="00D6723B">
        <w:t xml:space="preserve"> IMF estima</w:t>
      </w:r>
      <w:r w:rsidRPr="00D6723B">
        <w:rPr>
          <w:szCs w:val="16"/>
        </w:rPr>
        <w:t xml:space="preserve">tes show that </w:t>
      </w:r>
      <w:r w:rsidRPr="00D6723B">
        <w:rPr>
          <w:color w:val="2C2825"/>
          <w:szCs w:val="16"/>
        </w:rPr>
        <w:t>New Zealand's performance regarding productivity growth has persistently lagged other advanced economies.</w:t>
      </w:r>
    </w:p>
  </w:footnote>
  <w:footnote w:id="3">
    <w:p w14:paraId="559B0B14" w14:textId="77777777" w:rsidR="00120717" w:rsidRPr="00D6723B" w:rsidRDefault="00120717" w:rsidP="00BA5CFF">
      <w:pPr>
        <w:pStyle w:val="FootnoteText"/>
      </w:pPr>
      <w:r w:rsidRPr="00D6723B">
        <w:rPr>
          <w:rStyle w:val="FootnoteReference"/>
        </w:rPr>
        <w:footnoteRef/>
      </w:r>
      <w:r w:rsidRPr="00D6723B">
        <w:t xml:space="preserve"> </w:t>
      </w:r>
      <w:r w:rsidRPr="00D6723B">
        <w:rPr>
          <w:szCs w:val="16"/>
        </w:rPr>
        <w:t xml:space="preserve">Youth unemployment rate was 11.3% in 2019 (similar to the OECD average but higher than the 9.4% average of major advanced economies and the 4.1% overall unemployment rate). Female unemployment was higher than male unemployment in most age groups, while historically there has been high unemployment rates among Māori and Pacific people. </w:t>
      </w:r>
      <w:r w:rsidRPr="007B2716">
        <w:rPr>
          <w:szCs w:val="16"/>
        </w:rPr>
        <w:t xml:space="preserve">IMF (2021), </w:t>
      </w:r>
      <w:r w:rsidRPr="00EF1CAF">
        <w:rPr>
          <w:i/>
          <w:iCs/>
          <w:szCs w:val="16"/>
        </w:rPr>
        <w:t>New Zealand: Selected Issues</w:t>
      </w:r>
      <w:r w:rsidRPr="007B2716">
        <w:rPr>
          <w:szCs w:val="16"/>
        </w:rPr>
        <w:t xml:space="preserve">, </w:t>
      </w:r>
      <w:r w:rsidRPr="00D6723B">
        <w:t>IMF Country Report No.</w:t>
      </w:r>
      <w:r>
        <w:t> 21</w:t>
      </w:r>
      <w:r w:rsidRPr="00D6723B">
        <w:t>/89, pp. 3-4.</w:t>
      </w:r>
    </w:p>
  </w:footnote>
  <w:footnote w:id="4">
    <w:p w14:paraId="3804D5A2" w14:textId="77777777" w:rsidR="00120717" w:rsidRPr="00D6723B" w:rsidRDefault="00120717" w:rsidP="0048480C">
      <w:pPr>
        <w:pStyle w:val="FootnoteText"/>
      </w:pPr>
      <w:r w:rsidRPr="00D6723B">
        <w:rPr>
          <w:rStyle w:val="FootnoteReference"/>
        </w:rPr>
        <w:footnoteRef/>
      </w:r>
      <w:r w:rsidRPr="00D6723B">
        <w:t xml:space="preserve"> IMF (2021), </w:t>
      </w:r>
      <w:r w:rsidRPr="00D6723B">
        <w:rPr>
          <w:i/>
          <w:iCs/>
        </w:rPr>
        <w:t>The Land of the Long White Cloud: Turning New Zealand's Recovery into Sustained Growth</w:t>
      </w:r>
      <w:r w:rsidRPr="00D6723B">
        <w:t xml:space="preserve">, pp. 6-7. Viewed at: </w:t>
      </w:r>
      <w:hyperlink r:id="rId2" w:history="1">
        <w:r w:rsidRPr="00D6723B">
          <w:rPr>
            <w:rStyle w:val="Hyperlink"/>
          </w:rPr>
          <w:t>https://www.imf.org/en/News/Articles/2021/05/25/na052521-the-land-of-the-long-white-cloud-turning-new-zealands-recovery-into-sustained-growth</w:t>
        </w:r>
      </w:hyperlink>
      <w:r w:rsidRPr="00D6723B">
        <w:t>.</w:t>
      </w:r>
    </w:p>
  </w:footnote>
  <w:footnote w:id="5">
    <w:p w14:paraId="2C8479C0" w14:textId="77777777" w:rsidR="00120717" w:rsidRPr="00D6723B" w:rsidRDefault="00120717">
      <w:pPr>
        <w:pStyle w:val="FootnoteText"/>
      </w:pPr>
      <w:r w:rsidRPr="00D6723B">
        <w:rPr>
          <w:rStyle w:val="FootnoteReference"/>
        </w:rPr>
        <w:footnoteRef/>
      </w:r>
      <w:r w:rsidRPr="00D6723B">
        <w:t xml:space="preserve"> Data</w:t>
      </w:r>
      <w:r w:rsidRPr="00D6723B">
        <w:rPr>
          <w:szCs w:val="20"/>
        </w:rPr>
        <w:t xml:space="preserve"> provided by the authorities.</w:t>
      </w:r>
    </w:p>
  </w:footnote>
  <w:footnote w:id="6">
    <w:p w14:paraId="713F82AE" w14:textId="77777777" w:rsidR="00120717" w:rsidRPr="00D6723B" w:rsidRDefault="00120717" w:rsidP="0033011A">
      <w:pPr>
        <w:pStyle w:val="FootnoteText"/>
      </w:pPr>
      <w:r w:rsidRPr="00D6723B">
        <w:rPr>
          <w:rStyle w:val="FootnoteReference"/>
          <w:szCs w:val="16"/>
        </w:rPr>
        <w:footnoteRef/>
      </w:r>
      <w:r w:rsidRPr="00D6723B">
        <w:rPr>
          <w:szCs w:val="16"/>
        </w:rPr>
        <w:t xml:space="preserve"> WTO Statistics database, </w:t>
      </w:r>
      <w:r w:rsidRPr="00D6723B">
        <w:rPr>
          <w:i/>
          <w:iCs/>
          <w:szCs w:val="16"/>
        </w:rPr>
        <w:t>Trade Profiles: New Zealand</w:t>
      </w:r>
      <w:r w:rsidRPr="00D6723B">
        <w:rPr>
          <w:szCs w:val="16"/>
        </w:rPr>
        <w:t xml:space="preserve">. Viewed at: </w:t>
      </w:r>
      <w:hyperlink r:id="rId3" w:history="1">
        <w:r w:rsidRPr="00D6723B">
          <w:rPr>
            <w:rStyle w:val="Hyperlink"/>
          </w:rPr>
          <w:t>https://www.wto.org/english/res_e/statis_e/daily_update_e/trade_profiles/NZ_e.pdf</w:t>
        </w:r>
      </w:hyperlink>
      <w:r w:rsidRPr="00D6723B">
        <w:rPr>
          <w:szCs w:val="16"/>
        </w:rPr>
        <w:t>.</w:t>
      </w:r>
    </w:p>
  </w:footnote>
  <w:footnote w:id="7">
    <w:p w14:paraId="2C853570" w14:textId="77777777" w:rsidR="00120717" w:rsidRPr="00D6723B" w:rsidRDefault="00120717">
      <w:pPr>
        <w:pStyle w:val="FootnoteText"/>
      </w:pPr>
      <w:r w:rsidRPr="00D6723B">
        <w:rPr>
          <w:rStyle w:val="FootnoteReference"/>
        </w:rPr>
        <w:footnoteRef/>
      </w:r>
      <w:r w:rsidRPr="00D6723B">
        <w:t xml:space="preserve"> WTO document WT/TPR/S/316/Rev.1, 12 October 2015.</w:t>
      </w:r>
    </w:p>
  </w:footnote>
  <w:footnote w:id="8">
    <w:p w14:paraId="0D5FD6A4" w14:textId="786B2693" w:rsidR="00120717" w:rsidRPr="00D6723B" w:rsidRDefault="00120717">
      <w:pPr>
        <w:pStyle w:val="FootnoteText"/>
      </w:pPr>
      <w:r w:rsidRPr="00D6723B">
        <w:rPr>
          <w:rStyle w:val="FootnoteReference"/>
        </w:rPr>
        <w:footnoteRef/>
      </w:r>
      <w:r w:rsidRPr="00D6723B">
        <w:t xml:space="preserve"> The figures related to GDP growth, inflation, and current account as share of GDP are IMF estimates on the basis of calendar year, not fiscal year. </w:t>
      </w:r>
      <w:r w:rsidRPr="00D6723B">
        <w:rPr>
          <w:szCs w:val="16"/>
        </w:rPr>
        <w:t xml:space="preserve">IMF (2021), </w:t>
      </w:r>
      <w:r w:rsidRPr="00D6723B">
        <w:rPr>
          <w:i/>
          <w:szCs w:val="16"/>
        </w:rPr>
        <w:t>World Economic Outlook</w:t>
      </w:r>
      <w:r w:rsidRPr="00D6723B">
        <w:rPr>
          <w:szCs w:val="16"/>
        </w:rPr>
        <w:t>, October.</w:t>
      </w:r>
    </w:p>
  </w:footnote>
  <w:footnote w:id="9">
    <w:p w14:paraId="30BA19F6" w14:textId="77777777" w:rsidR="00120717" w:rsidRPr="00D6723B" w:rsidRDefault="00120717">
      <w:pPr>
        <w:pStyle w:val="FootnoteText"/>
      </w:pPr>
      <w:r w:rsidRPr="00D6723B">
        <w:rPr>
          <w:rStyle w:val="FootnoteReference"/>
        </w:rPr>
        <w:footnoteRef/>
      </w:r>
      <w:r w:rsidRPr="00D6723B">
        <w:t xml:space="preserve"> </w:t>
      </w:r>
      <w:r w:rsidRPr="00746C7C">
        <w:rPr>
          <w:rFonts w:cstheme="minorHAnsi"/>
          <w:szCs w:val="16"/>
        </w:rPr>
        <w:t>IMF (201</w:t>
      </w:r>
      <w:r>
        <w:rPr>
          <w:rFonts w:cstheme="minorHAnsi"/>
          <w:szCs w:val="16"/>
        </w:rPr>
        <w:t>9</w:t>
      </w:r>
      <w:r w:rsidRPr="00746C7C">
        <w:rPr>
          <w:rFonts w:cstheme="minorHAnsi"/>
          <w:szCs w:val="16"/>
        </w:rPr>
        <w:t xml:space="preserve">), </w:t>
      </w:r>
      <w:r w:rsidRPr="00EF1CAF">
        <w:rPr>
          <w:rFonts w:cstheme="minorHAnsi"/>
          <w:i/>
          <w:iCs/>
          <w:szCs w:val="16"/>
        </w:rPr>
        <w:t>New</w:t>
      </w:r>
      <w:r>
        <w:rPr>
          <w:rFonts w:cstheme="minorHAnsi"/>
          <w:i/>
          <w:iCs/>
          <w:szCs w:val="16"/>
        </w:rPr>
        <w:t> Zealand</w:t>
      </w:r>
      <w:r w:rsidRPr="000603BD">
        <w:rPr>
          <w:rFonts w:cstheme="minorHAnsi"/>
          <w:i/>
          <w:iCs/>
          <w:szCs w:val="16"/>
        </w:rPr>
        <w:t>:</w:t>
      </w:r>
      <w:r w:rsidRPr="00746C7C">
        <w:rPr>
          <w:rFonts w:cstheme="minorHAnsi"/>
          <w:i/>
          <w:iCs/>
          <w:szCs w:val="16"/>
        </w:rPr>
        <w:t xml:space="preserve"> Staff Report for the 2020 Article</w:t>
      </w:r>
      <w:r>
        <w:rPr>
          <w:rFonts w:cstheme="minorHAnsi"/>
          <w:i/>
          <w:iCs/>
          <w:szCs w:val="16"/>
        </w:rPr>
        <w:t> </w:t>
      </w:r>
      <w:r w:rsidRPr="00746C7C">
        <w:rPr>
          <w:rFonts w:cstheme="minorHAnsi"/>
          <w:i/>
          <w:iCs/>
          <w:szCs w:val="16"/>
        </w:rPr>
        <w:t>IV Consultation</w:t>
      </w:r>
      <w:r w:rsidRPr="00746C7C">
        <w:rPr>
          <w:rFonts w:cstheme="minorHAnsi"/>
          <w:szCs w:val="16"/>
        </w:rPr>
        <w:t>,</w:t>
      </w:r>
      <w:r>
        <w:rPr>
          <w:rFonts w:cstheme="minorHAnsi"/>
          <w:szCs w:val="16"/>
        </w:rPr>
        <w:t xml:space="preserve"> </w:t>
      </w:r>
      <w:r w:rsidRPr="00D6723B">
        <w:t>IMF Country Report No.</w:t>
      </w:r>
      <w:r>
        <w:t> 19</w:t>
      </w:r>
      <w:r w:rsidRPr="00D6723B">
        <w:t>/303</w:t>
      </w:r>
      <w:r w:rsidRPr="00D6723B">
        <w:rPr>
          <w:rFonts w:cs="Calibri"/>
          <w:color w:val="000000"/>
          <w:szCs w:val="16"/>
        </w:rPr>
        <w:t>, p. 4</w:t>
      </w:r>
      <w:r w:rsidRPr="00D6723B">
        <w:t>.</w:t>
      </w:r>
    </w:p>
  </w:footnote>
  <w:footnote w:id="10">
    <w:p w14:paraId="6E82B7AC" w14:textId="77777777" w:rsidR="00120717" w:rsidRPr="00D6723B" w:rsidRDefault="00120717" w:rsidP="00B57CD6">
      <w:pPr>
        <w:pStyle w:val="FootnoteText"/>
      </w:pPr>
      <w:r w:rsidRPr="00D6723B">
        <w:rPr>
          <w:rStyle w:val="FootnoteReference"/>
        </w:rPr>
        <w:footnoteRef/>
      </w:r>
      <w:r w:rsidRPr="00D6723B">
        <w:t xml:space="preserve"> </w:t>
      </w:r>
      <w:r w:rsidRPr="00746C7C">
        <w:rPr>
          <w:rFonts w:cstheme="minorHAnsi"/>
          <w:szCs w:val="16"/>
        </w:rPr>
        <w:t>IMF (20</w:t>
      </w:r>
      <w:r>
        <w:rPr>
          <w:rFonts w:cstheme="minorHAnsi"/>
          <w:szCs w:val="16"/>
        </w:rPr>
        <w:t>21</w:t>
      </w:r>
      <w:r w:rsidRPr="00746C7C">
        <w:rPr>
          <w:rFonts w:cstheme="minorHAnsi"/>
          <w:szCs w:val="16"/>
        </w:rPr>
        <w:t xml:space="preserve">), </w:t>
      </w:r>
      <w:r w:rsidRPr="00293BE7">
        <w:rPr>
          <w:rFonts w:cstheme="minorHAnsi"/>
          <w:i/>
          <w:iCs/>
          <w:szCs w:val="16"/>
        </w:rPr>
        <w:t>New</w:t>
      </w:r>
      <w:r>
        <w:rPr>
          <w:rFonts w:cstheme="minorHAnsi"/>
          <w:i/>
          <w:iCs/>
          <w:szCs w:val="16"/>
        </w:rPr>
        <w:t> Zealand</w:t>
      </w:r>
      <w:r w:rsidRPr="000603BD">
        <w:rPr>
          <w:rFonts w:cstheme="minorHAnsi"/>
          <w:i/>
          <w:iCs/>
          <w:szCs w:val="16"/>
        </w:rPr>
        <w:t>:</w:t>
      </w:r>
      <w:r w:rsidRPr="00746C7C">
        <w:rPr>
          <w:rFonts w:cstheme="minorHAnsi"/>
          <w:i/>
          <w:iCs/>
          <w:szCs w:val="16"/>
        </w:rPr>
        <w:t xml:space="preserve"> Staff Report for the 2020 Article</w:t>
      </w:r>
      <w:r>
        <w:rPr>
          <w:rFonts w:cstheme="minorHAnsi"/>
          <w:i/>
          <w:iCs/>
          <w:szCs w:val="16"/>
        </w:rPr>
        <w:t> </w:t>
      </w:r>
      <w:r w:rsidRPr="00746C7C">
        <w:rPr>
          <w:rFonts w:cstheme="minorHAnsi"/>
          <w:i/>
          <w:iCs/>
          <w:szCs w:val="16"/>
        </w:rPr>
        <w:t>IV Consultation</w:t>
      </w:r>
      <w:r w:rsidRPr="00746C7C">
        <w:rPr>
          <w:rFonts w:cstheme="minorHAnsi"/>
          <w:szCs w:val="16"/>
        </w:rPr>
        <w:t>,</w:t>
      </w:r>
      <w:r>
        <w:rPr>
          <w:rFonts w:cstheme="minorHAnsi"/>
          <w:szCs w:val="16"/>
        </w:rPr>
        <w:t xml:space="preserve"> </w:t>
      </w:r>
      <w:r w:rsidRPr="00D6723B">
        <w:t>IMF Country Report No.</w:t>
      </w:r>
      <w:r>
        <w:t> 21</w:t>
      </w:r>
      <w:r w:rsidRPr="00D6723B">
        <w:t>/88, p. 2.</w:t>
      </w:r>
    </w:p>
  </w:footnote>
  <w:footnote w:id="11">
    <w:p w14:paraId="27CD425D" w14:textId="2C49FF4B" w:rsidR="00120717" w:rsidRPr="00D6723B" w:rsidRDefault="00120717">
      <w:pPr>
        <w:pStyle w:val="FootnoteText"/>
      </w:pPr>
      <w:r w:rsidRPr="00D6723B">
        <w:rPr>
          <w:rStyle w:val="FootnoteReference"/>
        </w:rPr>
        <w:footnoteRef/>
      </w:r>
      <w:r w:rsidRPr="00D6723B">
        <w:rPr>
          <w:szCs w:val="20"/>
        </w:rPr>
        <w:t xml:space="preserve"> </w:t>
      </w:r>
      <w:r w:rsidRPr="00D6723B">
        <w:t>There were five COVID-19 Wage Subsidy Schemes between March 2020 and December 2021 to respond to COVID-19 Alert Level 3 or 4 escalations during that period – the most restrictive public health measures. Over NZD</w:t>
      </w:r>
      <w:r>
        <w:t> </w:t>
      </w:r>
      <w:r w:rsidRPr="00D6723B">
        <w:t>18 billion (5.5% of GDP in FY2020/21) was paid out across all schemes</w:t>
      </w:r>
      <w:r w:rsidRPr="00D6723B">
        <w:rPr>
          <w:szCs w:val="20"/>
        </w:rPr>
        <w:t>. Information provided by the authorities.</w:t>
      </w:r>
    </w:p>
  </w:footnote>
  <w:footnote w:id="12">
    <w:p w14:paraId="0877AD73" w14:textId="77777777" w:rsidR="00120717" w:rsidRPr="00D6723B" w:rsidRDefault="00120717" w:rsidP="000A139E">
      <w:pPr>
        <w:pStyle w:val="FootnoteText"/>
      </w:pPr>
      <w:r w:rsidRPr="00D6723B">
        <w:rPr>
          <w:rStyle w:val="FootnoteReference"/>
        </w:rPr>
        <w:footnoteRef/>
      </w:r>
      <w:r w:rsidRPr="00D6723B">
        <w:t xml:space="preserve"> In 2021, New Zealand participated in a Joint Ministerial statement in which </w:t>
      </w:r>
      <w:r>
        <w:t>12</w:t>
      </w:r>
      <w:r w:rsidRPr="00D6723B">
        <w:t xml:space="preserve"> economies affirmed their commitment to ensuring supply chain connectivity during the pandemic. As Chair of </w:t>
      </w:r>
      <w:r>
        <w:t>the Asia-Pacific Economic Cooperation (</w:t>
      </w:r>
      <w:r w:rsidRPr="00D6723B">
        <w:t>APEC</w:t>
      </w:r>
      <w:r>
        <w:t>)</w:t>
      </w:r>
      <w:r w:rsidRPr="00D6723B">
        <w:t>, New Zealand also promoted similar initiatives involving the 21 APEC member economies.</w:t>
      </w:r>
    </w:p>
  </w:footnote>
  <w:footnote w:id="13">
    <w:p w14:paraId="7245C913" w14:textId="77777777" w:rsidR="00120717" w:rsidRPr="00D6723B" w:rsidRDefault="00120717" w:rsidP="000A139E">
      <w:pPr>
        <w:pStyle w:val="FootnoteText"/>
      </w:pPr>
      <w:r w:rsidRPr="00D6723B">
        <w:rPr>
          <w:rStyle w:val="FootnoteReference"/>
        </w:rPr>
        <w:footnoteRef/>
      </w:r>
      <w:r w:rsidRPr="00D6723B">
        <w:t xml:space="preserve"> </w:t>
      </w:r>
      <w:r>
        <w:t>Ministry of Foreign Affairs &amp; Trade (</w:t>
      </w:r>
      <w:r w:rsidRPr="00D6723B">
        <w:t>MFAT</w:t>
      </w:r>
      <w:r>
        <w:t>)</w:t>
      </w:r>
      <w:r w:rsidRPr="00D6723B">
        <w:t xml:space="preserve">, </w:t>
      </w:r>
      <w:r w:rsidRPr="00D6723B">
        <w:rPr>
          <w:i/>
          <w:iCs/>
        </w:rPr>
        <w:t>Trade Recovery Strategy</w:t>
      </w:r>
      <w:r w:rsidRPr="00D6723B">
        <w:t xml:space="preserve">. Viewed at: </w:t>
      </w:r>
      <w:hyperlink r:id="rId4" w:history="1">
        <w:r w:rsidRPr="00D6723B">
          <w:rPr>
            <w:rStyle w:val="Hyperlink"/>
          </w:rPr>
          <w:t>https://www.mfat.govt.nz/en/trade/trade-recovery-strategy/trade-recovery-strategy-overview</w:t>
        </w:r>
      </w:hyperlink>
      <w:r w:rsidRPr="00D6723B">
        <w:t>.</w:t>
      </w:r>
    </w:p>
  </w:footnote>
  <w:footnote w:id="14">
    <w:p w14:paraId="7A3FD5DC" w14:textId="77777777" w:rsidR="00120717" w:rsidRPr="00D6723B" w:rsidRDefault="00120717">
      <w:pPr>
        <w:pStyle w:val="FootnoteText"/>
      </w:pPr>
      <w:r w:rsidRPr="00D6723B">
        <w:rPr>
          <w:rStyle w:val="FootnoteReference"/>
        </w:rPr>
        <w:footnoteRef/>
      </w:r>
      <w:r w:rsidRPr="00D6723B">
        <w:t xml:space="preserve"> </w:t>
      </w:r>
      <w:r w:rsidRPr="00D6723B">
        <w:rPr>
          <w:szCs w:val="20"/>
        </w:rPr>
        <w:t>For example, the Māori underutilization rate has returned to near its pre-COVID-19 level, although Pasifika unemployment and underutilization remain elevated.</w:t>
      </w:r>
    </w:p>
  </w:footnote>
  <w:footnote w:id="15">
    <w:p w14:paraId="7DFC51C7" w14:textId="77777777" w:rsidR="00120717" w:rsidRPr="00D6723B" w:rsidRDefault="00120717">
      <w:pPr>
        <w:pStyle w:val="FootnoteText"/>
      </w:pPr>
      <w:r w:rsidRPr="00D6723B">
        <w:rPr>
          <w:rStyle w:val="FootnoteReference"/>
        </w:rPr>
        <w:footnoteRef/>
      </w:r>
      <w:r w:rsidRPr="00D6723B">
        <w:t xml:space="preserve"> Information provided by the authorities.</w:t>
      </w:r>
    </w:p>
  </w:footnote>
  <w:footnote w:id="16">
    <w:p w14:paraId="53DA3F0B" w14:textId="77777777" w:rsidR="00120717" w:rsidRPr="00D6723B" w:rsidRDefault="00120717">
      <w:pPr>
        <w:pStyle w:val="FootnoteText"/>
      </w:pPr>
      <w:r w:rsidRPr="00D6723B">
        <w:rPr>
          <w:rStyle w:val="FootnoteReference"/>
        </w:rPr>
        <w:footnoteRef/>
      </w:r>
      <w:r w:rsidRPr="00D6723B">
        <w:t xml:space="preserve"> </w:t>
      </w:r>
      <w:r w:rsidRPr="00D6723B">
        <w:rPr>
          <w:szCs w:val="16"/>
        </w:rPr>
        <w:t xml:space="preserve">IMF (2021), </w:t>
      </w:r>
      <w:r w:rsidRPr="00D6723B">
        <w:rPr>
          <w:i/>
          <w:szCs w:val="16"/>
        </w:rPr>
        <w:t>World Economic Outlook</w:t>
      </w:r>
      <w:r w:rsidRPr="00D6723B">
        <w:rPr>
          <w:szCs w:val="16"/>
        </w:rPr>
        <w:t>, October.</w:t>
      </w:r>
    </w:p>
  </w:footnote>
  <w:footnote w:id="17">
    <w:p w14:paraId="76B17DA8" w14:textId="77777777" w:rsidR="00120717" w:rsidRPr="00D6723B" w:rsidRDefault="00120717" w:rsidP="00297651">
      <w:pPr>
        <w:pStyle w:val="FootnoteText"/>
      </w:pPr>
      <w:r w:rsidRPr="00D6723B">
        <w:rPr>
          <w:rStyle w:val="FootnoteReference"/>
        </w:rPr>
        <w:footnoteRef/>
      </w:r>
      <w:r w:rsidRPr="00D6723B">
        <w:t xml:space="preserve"> IMF Country Report No.</w:t>
      </w:r>
      <w:r>
        <w:t> 21</w:t>
      </w:r>
      <w:r w:rsidRPr="00D6723B">
        <w:t>/88, p. 7.</w:t>
      </w:r>
    </w:p>
  </w:footnote>
  <w:footnote w:id="18">
    <w:p w14:paraId="122E8F1E" w14:textId="77777777" w:rsidR="00120717" w:rsidRPr="00D6723B" w:rsidRDefault="00120717" w:rsidP="00150A33">
      <w:pPr>
        <w:pStyle w:val="FootnoteText"/>
      </w:pPr>
      <w:r w:rsidRPr="00D6723B">
        <w:rPr>
          <w:rStyle w:val="FootnoteReference"/>
        </w:rPr>
        <w:footnoteRef/>
      </w:r>
      <w:r w:rsidRPr="00D6723B">
        <w:t xml:space="preserve"> UNDP, </w:t>
      </w:r>
      <w:r w:rsidRPr="00814711">
        <w:rPr>
          <w:i/>
          <w:iCs/>
        </w:rPr>
        <w:t>Human Development Index 2015</w:t>
      </w:r>
      <w:r w:rsidRPr="00D6723B">
        <w:t xml:space="preserve">. Viewed at: </w:t>
      </w:r>
      <w:hyperlink r:id="rId5" w:history="1">
        <w:r w:rsidRPr="00D6723B">
          <w:rPr>
            <w:rStyle w:val="Hyperlink"/>
          </w:rPr>
          <w:t>http://hdr.undp.org/en/content/human-development-index-hdi</w:t>
        </w:r>
      </w:hyperlink>
      <w:r w:rsidRPr="00D6723B">
        <w:t>.</w:t>
      </w:r>
    </w:p>
  </w:footnote>
  <w:footnote w:id="19">
    <w:p w14:paraId="1F3539C2" w14:textId="77777777" w:rsidR="00120717" w:rsidRPr="00D6723B" w:rsidRDefault="00120717" w:rsidP="00136551">
      <w:pPr>
        <w:pStyle w:val="FootnoteText"/>
      </w:pPr>
      <w:r w:rsidRPr="00D6723B">
        <w:rPr>
          <w:rStyle w:val="FootnoteReference"/>
        </w:rPr>
        <w:footnoteRef/>
      </w:r>
      <w:r w:rsidRPr="00D6723B">
        <w:t xml:space="preserve"> The Reserve Bank of New Zealand (Monetary Policy) Amendment Act 2018 is available at: </w:t>
      </w:r>
      <w:hyperlink r:id="rId6" w:history="1">
        <w:r w:rsidRPr="00D6723B">
          <w:rPr>
            <w:rStyle w:val="Hyperlink"/>
          </w:rPr>
          <w:t>https://www.legislation.govt.nz/act/public/2018/0059/latest/LMS65426.html</w:t>
        </w:r>
      </w:hyperlink>
      <w:r w:rsidRPr="00D6723B">
        <w:t>.</w:t>
      </w:r>
    </w:p>
  </w:footnote>
  <w:footnote w:id="20">
    <w:p w14:paraId="57F5825E" w14:textId="77777777" w:rsidR="00120717" w:rsidRPr="00D6723B" w:rsidRDefault="00120717" w:rsidP="00136551">
      <w:pPr>
        <w:pStyle w:val="FootnoteText"/>
      </w:pPr>
      <w:r w:rsidRPr="00D6723B">
        <w:rPr>
          <w:rStyle w:val="FootnoteReference"/>
        </w:rPr>
        <w:footnoteRef/>
      </w:r>
      <w:r w:rsidRPr="00D6723B">
        <w:t xml:space="preserve"> </w:t>
      </w:r>
      <w:r w:rsidRPr="00D6723B">
        <w:rPr>
          <w:rFonts w:cs="Arial"/>
          <w:color w:val="333333"/>
          <w:szCs w:val="16"/>
        </w:rPr>
        <w:t>The remit provides the Monetary Policy Committee (MPC) with its operational objectives, consistent with the economic objectives in Section</w:t>
      </w:r>
      <w:r>
        <w:rPr>
          <w:rFonts w:cs="Arial"/>
          <w:color w:val="333333"/>
          <w:szCs w:val="16"/>
        </w:rPr>
        <w:t> </w:t>
      </w:r>
      <w:r w:rsidRPr="00D6723B">
        <w:rPr>
          <w:rFonts w:cs="Arial"/>
          <w:color w:val="333333"/>
          <w:szCs w:val="16"/>
        </w:rPr>
        <w:t>8 of the Reserve Bank of New Zealand Act 1989. A replacement remit came into force on 1</w:t>
      </w:r>
      <w:r>
        <w:rPr>
          <w:rFonts w:cs="Arial"/>
          <w:color w:val="333333"/>
          <w:szCs w:val="16"/>
        </w:rPr>
        <w:t> </w:t>
      </w:r>
      <w:r w:rsidRPr="00D6723B">
        <w:rPr>
          <w:rFonts w:cs="Arial"/>
          <w:color w:val="333333"/>
          <w:szCs w:val="16"/>
        </w:rPr>
        <w:t>March</w:t>
      </w:r>
      <w:r>
        <w:rPr>
          <w:rFonts w:cs="Arial"/>
          <w:color w:val="333333"/>
          <w:szCs w:val="16"/>
        </w:rPr>
        <w:t> </w:t>
      </w:r>
      <w:r w:rsidRPr="00D6723B">
        <w:rPr>
          <w:rFonts w:cs="Arial"/>
          <w:color w:val="333333"/>
          <w:szCs w:val="16"/>
        </w:rPr>
        <w:t>2021.</w:t>
      </w:r>
      <w:r w:rsidRPr="00D6723B">
        <w:rPr>
          <w:szCs w:val="16"/>
        </w:rPr>
        <w:t xml:space="preserve"> RBNZ, </w:t>
      </w:r>
      <w:r w:rsidRPr="00D6723B">
        <w:rPr>
          <w:i/>
          <w:iCs/>
          <w:szCs w:val="16"/>
        </w:rPr>
        <w:t xml:space="preserve">Monetary </w:t>
      </w:r>
      <w:r>
        <w:rPr>
          <w:i/>
          <w:iCs/>
          <w:szCs w:val="16"/>
        </w:rPr>
        <w:t>P</w:t>
      </w:r>
      <w:r w:rsidRPr="00D6723B">
        <w:rPr>
          <w:i/>
          <w:iCs/>
          <w:szCs w:val="16"/>
        </w:rPr>
        <w:t xml:space="preserve">olicy </w:t>
      </w:r>
      <w:r>
        <w:rPr>
          <w:i/>
          <w:iCs/>
          <w:szCs w:val="16"/>
        </w:rPr>
        <w:t>F</w:t>
      </w:r>
      <w:r w:rsidRPr="00D6723B">
        <w:rPr>
          <w:i/>
          <w:iCs/>
          <w:szCs w:val="16"/>
        </w:rPr>
        <w:t>ramework</w:t>
      </w:r>
      <w:r w:rsidRPr="00D6723B">
        <w:rPr>
          <w:szCs w:val="16"/>
        </w:rPr>
        <w:t xml:space="preserve">. Viewed at: </w:t>
      </w:r>
      <w:hyperlink r:id="rId7" w:history="1">
        <w:r w:rsidRPr="00D6723B">
          <w:rPr>
            <w:rStyle w:val="Hyperlink"/>
            <w:szCs w:val="16"/>
          </w:rPr>
          <w:t>https://www.rbnz.govt.nz/monetary-policy/about-monetary-policy/monetary-policy-framework</w:t>
        </w:r>
      </w:hyperlink>
      <w:r w:rsidRPr="00D6723B">
        <w:rPr>
          <w:szCs w:val="16"/>
        </w:rPr>
        <w:t>.</w:t>
      </w:r>
    </w:p>
  </w:footnote>
  <w:footnote w:id="21">
    <w:p w14:paraId="00974783" w14:textId="77777777" w:rsidR="00120717" w:rsidRPr="00D6723B" w:rsidRDefault="00120717">
      <w:pPr>
        <w:pStyle w:val="FootnoteText"/>
      </w:pPr>
      <w:r w:rsidRPr="00D6723B">
        <w:rPr>
          <w:rStyle w:val="FootnoteReference"/>
        </w:rPr>
        <w:footnoteRef/>
      </w:r>
      <w:r w:rsidRPr="00D6723B">
        <w:t xml:space="preserve"> New Zealand Government</w:t>
      </w:r>
      <w:r>
        <w:t xml:space="preserve"> (2021), "</w:t>
      </w:r>
      <w:r w:rsidRPr="00EF1CAF">
        <w:t xml:space="preserve">Reserve Bank to </w:t>
      </w:r>
      <w:r>
        <w:t>T</w:t>
      </w:r>
      <w:r w:rsidRPr="00EF1CAF">
        <w:t xml:space="preserve">ake </w:t>
      </w:r>
      <w:r>
        <w:t>A</w:t>
      </w:r>
      <w:r w:rsidRPr="00EF1CAF">
        <w:t xml:space="preserve">ccount of </w:t>
      </w:r>
      <w:r>
        <w:t>H</w:t>
      </w:r>
      <w:r w:rsidRPr="00EF1CAF">
        <w:t xml:space="preserve">ousing in </w:t>
      </w:r>
      <w:r>
        <w:t>D</w:t>
      </w:r>
      <w:r w:rsidRPr="00EF1CAF">
        <w:t xml:space="preserve">ecision </w:t>
      </w:r>
      <w:r>
        <w:t>M</w:t>
      </w:r>
      <w:r w:rsidRPr="00EF1CAF">
        <w:t>aking</w:t>
      </w:r>
      <w:r>
        <w:t>", 25 February</w:t>
      </w:r>
      <w:r w:rsidRPr="00540E84">
        <w:t>.</w:t>
      </w:r>
      <w:r w:rsidRPr="00D6723B">
        <w:t xml:space="preserve"> Viewed at: </w:t>
      </w:r>
      <w:hyperlink r:id="rId8" w:history="1">
        <w:r w:rsidRPr="00D6723B">
          <w:rPr>
            <w:rStyle w:val="Hyperlink"/>
          </w:rPr>
          <w:t>https://www.beehive.govt.nz/release/reserve-bank-take-account-housing-decision-making</w:t>
        </w:r>
      </w:hyperlink>
      <w:r w:rsidRPr="00D6723B">
        <w:t>.</w:t>
      </w:r>
    </w:p>
  </w:footnote>
  <w:footnote w:id="22">
    <w:p w14:paraId="469F2DA1" w14:textId="77777777" w:rsidR="00120717" w:rsidRPr="00D6723B" w:rsidRDefault="00120717" w:rsidP="00C55A65">
      <w:pPr>
        <w:pStyle w:val="FootnoteText"/>
      </w:pPr>
      <w:r w:rsidRPr="00D6723B">
        <w:rPr>
          <w:rStyle w:val="FootnoteReference"/>
        </w:rPr>
        <w:footnoteRef/>
      </w:r>
      <w:r w:rsidRPr="00D6723B">
        <w:t xml:space="preserve"> </w:t>
      </w:r>
      <w:r w:rsidRPr="00D6723B">
        <w:rPr>
          <w:szCs w:val="16"/>
        </w:rPr>
        <w:t xml:space="preserve">RBNZ, </w:t>
      </w:r>
      <w:r w:rsidRPr="00D6723B">
        <w:rPr>
          <w:i/>
          <w:iCs/>
          <w:szCs w:val="16"/>
        </w:rPr>
        <w:t xml:space="preserve">Monetary </w:t>
      </w:r>
      <w:r>
        <w:rPr>
          <w:i/>
          <w:iCs/>
          <w:szCs w:val="16"/>
        </w:rPr>
        <w:t>P</w:t>
      </w:r>
      <w:r w:rsidRPr="00D6723B">
        <w:rPr>
          <w:i/>
          <w:iCs/>
          <w:szCs w:val="16"/>
        </w:rPr>
        <w:t xml:space="preserve">olicy </w:t>
      </w:r>
      <w:r>
        <w:rPr>
          <w:i/>
          <w:iCs/>
          <w:szCs w:val="16"/>
        </w:rPr>
        <w:t>F</w:t>
      </w:r>
      <w:r w:rsidRPr="00D6723B">
        <w:rPr>
          <w:i/>
          <w:iCs/>
          <w:szCs w:val="16"/>
        </w:rPr>
        <w:t>ramework</w:t>
      </w:r>
      <w:r w:rsidRPr="00D6723B">
        <w:rPr>
          <w:szCs w:val="16"/>
        </w:rPr>
        <w:t xml:space="preserve">. Viewed at: </w:t>
      </w:r>
      <w:hyperlink r:id="rId9" w:history="1">
        <w:r w:rsidRPr="00D6723B">
          <w:rPr>
            <w:rStyle w:val="Hyperlink"/>
            <w:szCs w:val="16"/>
          </w:rPr>
          <w:t>https://www.rbnz.govt.nz/monetary-policy/about-monetary-policy/monetary-policy-framework</w:t>
        </w:r>
      </w:hyperlink>
      <w:r w:rsidRPr="00D6723B">
        <w:rPr>
          <w:szCs w:val="16"/>
        </w:rPr>
        <w:t>.</w:t>
      </w:r>
    </w:p>
  </w:footnote>
  <w:footnote w:id="23">
    <w:p w14:paraId="63A64670" w14:textId="77777777" w:rsidR="00120717" w:rsidRPr="00D6723B" w:rsidRDefault="00120717" w:rsidP="001A381C">
      <w:pPr>
        <w:pStyle w:val="FootnoteText"/>
      </w:pPr>
      <w:r w:rsidRPr="00D6723B">
        <w:rPr>
          <w:rStyle w:val="FootnoteReference"/>
        </w:rPr>
        <w:footnoteRef/>
      </w:r>
      <w:r w:rsidRPr="00D6723B">
        <w:t xml:space="preserve"> </w:t>
      </w:r>
      <w:r w:rsidRPr="00D6723B">
        <w:rPr>
          <w:rFonts w:cs="Arial"/>
          <w:color w:val="333333"/>
          <w:szCs w:val="16"/>
        </w:rPr>
        <w:t>The RBNZ uses its six-weekly OCR decision to dial up or down the cost of money, which affects spending, saving, and investing decisions.</w:t>
      </w:r>
    </w:p>
  </w:footnote>
  <w:footnote w:id="24">
    <w:p w14:paraId="7CE930E4" w14:textId="77777777" w:rsidR="00120717" w:rsidRPr="00D6723B" w:rsidRDefault="00120717" w:rsidP="00CD734D">
      <w:pPr>
        <w:pStyle w:val="FootnoteText"/>
      </w:pPr>
      <w:r w:rsidRPr="00D6723B">
        <w:rPr>
          <w:rStyle w:val="FootnoteReference"/>
        </w:rPr>
        <w:footnoteRef/>
      </w:r>
      <w:r w:rsidRPr="00D6723B">
        <w:t xml:space="preserve"> RBNZ, </w:t>
      </w:r>
      <w:r w:rsidRPr="00D6723B">
        <w:rPr>
          <w:i/>
          <w:iCs/>
        </w:rPr>
        <w:t>History of Policy Targets Agreements</w:t>
      </w:r>
      <w:r w:rsidRPr="00D6723B">
        <w:t xml:space="preserve">. Viewed at: </w:t>
      </w:r>
      <w:hyperlink r:id="rId10" w:history="1">
        <w:r w:rsidRPr="00D6723B">
          <w:rPr>
            <w:rStyle w:val="Hyperlink"/>
          </w:rPr>
          <w:t>https://www.rbnz.govt.nz/monetary-policy/history-of-policy-targets-agreements</w:t>
        </w:r>
      </w:hyperlink>
      <w:r w:rsidRPr="00D6723B">
        <w:t>.</w:t>
      </w:r>
    </w:p>
  </w:footnote>
  <w:footnote w:id="25">
    <w:p w14:paraId="1905A4D9" w14:textId="77777777" w:rsidR="00120717" w:rsidRPr="00D6723B" w:rsidRDefault="00120717" w:rsidP="00CD734D">
      <w:pPr>
        <w:pStyle w:val="FootnoteText"/>
      </w:pPr>
      <w:r w:rsidRPr="00D6723B">
        <w:rPr>
          <w:rStyle w:val="FootnoteReference"/>
        </w:rPr>
        <w:footnoteRef/>
      </w:r>
      <w:r w:rsidRPr="00D6723B">
        <w:t xml:space="preserve"> RBNZ, </w:t>
      </w:r>
      <w:r w:rsidRPr="00D6723B">
        <w:rPr>
          <w:i/>
          <w:iCs/>
        </w:rPr>
        <w:t>History of Policy Targets Agreements</w:t>
      </w:r>
      <w:r w:rsidRPr="00D6723B">
        <w:t xml:space="preserve">. Viewed at: </w:t>
      </w:r>
      <w:hyperlink r:id="rId11" w:history="1">
        <w:r w:rsidRPr="00D6723B">
          <w:rPr>
            <w:rStyle w:val="Hyperlink"/>
          </w:rPr>
          <w:t>https://www.rbnz.govt.nz/monetary-policy/history-of-policy-targets-agreements</w:t>
        </w:r>
      </w:hyperlink>
      <w:r w:rsidRPr="00D6723B">
        <w:t>.</w:t>
      </w:r>
    </w:p>
  </w:footnote>
  <w:footnote w:id="26">
    <w:p w14:paraId="0891E2CA" w14:textId="77777777" w:rsidR="00120717" w:rsidRPr="00D6723B" w:rsidRDefault="00120717" w:rsidP="00CD734D">
      <w:pPr>
        <w:pStyle w:val="FootnoteText"/>
        <w:rPr>
          <w:szCs w:val="16"/>
        </w:rPr>
      </w:pPr>
      <w:r w:rsidRPr="00D6723B">
        <w:rPr>
          <w:rStyle w:val="FootnoteReference"/>
          <w:szCs w:val="16"/>
        </w:rPr>
        <w:footnoteRef/>
      </w:r>
      <w:r w:rsidRPr="00D6723B">
        <w:rPr>
          <w:szCs w:val="16"/>
        </w:rPr>
        <w:t xml:space="preserve"> IMF (2021), </w:t>
      </w:r>
      <w:r w:rsidRPr="00D6723B">
        <w:rPr>
          <w:i/>
          <w:szCs w:val="16"/>
        </w:rPr>
        <w:t>World Economic Outlook</w:t>
      </w:r>
      <w:r w:rsidRPr="00D6723B">
        <w:rPr>
          <w:szCs w:val="16"/>
        </w:rPr>
        <w:t>, October.</w:t>
      </w:r>
    </w:p>
  </w:footnote>
  <w:footnote w:id="27">
    <w:p w14:paraId="5FB61D92" w14:textId="77777777" w:rsidR="00120717" w:rsidRPr="00D6723B" w:rsidRDefault="00120717" w:rsidP="00CD734D">
      <w:pPr>
        <w:pStyle w:val="FootnoteText"/>
      </w:pPr>
      <w:r w:rsidRPr="00D6723B">
        <w:rPr>
          <w:rStyle w:val="FootnoteReference"/>
        </w:rPr>
        <w:footnoteRef/>
      </w:r>
      <w:r w:rsidRPr="00D6723B">
        <w:t xml:space="preserve"> RBNZ</w:t>
      </w:r>
      <w:r>
        <w:t xml:space="preserve"> (2021)</w:t>
      </w:r>
      <w:r w:rsidRPr="00D6723B">
        <w:t xml:space="preserve">, </w:t>
      </w:r>
      <w:r w:rsidRPr="00D6723B">
        <w:rPr>
          <w:i/>
          <w:iCs/>
        </w:rPr>
        <w:t>Monetary Policy Statement</w:t>
      </w:r>
      <w:r w:rsidRPr="00D6723B">
        <w:t xml:space="preserve">, August. Viewed at: </w:t>
      </w:r>
      <w:hyperlink r:id="rId12" w:history="1">
        <w:r w:rsidRPr="00D6723B">
          <w:rPr>
            <w:rStyle w:val="Hyperlink"/>
          </w:rPr>
          <w:t>https://www.rbnz.govt.nz/-/media/ReserveBank/Files/Publications/Monetary%20policy%20statements/2021/mpsaug21.pdf?revision=3627c6fa-6462-453a-af85-06e62f47705c</w:t>
        </w:r>
      </w:hyperlink>
      <w:r w:rsidRPr="00D6723B">
        <w:t>.</w:t>
      </w:r>
    </w:p>
  </w:footnote>
  <w:footnote w:id="28">
    <w:p w14:paraId="68996119" w14:textId="77777777" w:rsidR="00120717" w:rsidRPr="00D6723B" w:rsidRDefault="00120717" w:rsidP="00F90329">
      <w:pPr>
        <w:pStyle w:val="FootnoteText"/>
      </w:pPr>
      <w:r w:rsidRPr="00D6723B">
        <w:rPr>
          <w:rStyle w:val="FootnoteReference"/>
        </w:rPr>
        <w:footnoteRef/>
      </w:r>
      <w:r w:rsidRPr="00D6723B">
        <w:t xml:space="preserve"> IMF Country Report No.</w:t>
      </w:r>
      <w:r>
        <w:t> 21</w:t>
      </w:r>
      <w:r w:rsidRPr="00D6723B">
        <w:t>/88, p. 12.</w:t>
      </w:r>
    </w:p>
  </w:footnote>
  <w:footnote w:id="29">
    <w:p w14:paraId="5F2EEDF9" w14:textId="77777777" w:rsidR="00120717" w:rsidRPr="00D6723B" w:rsidRDefault="00120717">
      <w:pPr>
        <w:pStyle w:val="FootnoteText"/>
      </w:pPr>
      <w:r w:rsidRPr="00D6723B">
        <w:rPr>
          <w:rStyle w:val="FootnoteReference"/>
        </w:rPr>
        <w:footnoteRef/>
      </w:r>
      <w:r w:rsidRPr="00D6723B">
        <w:t xml:space="preserve"> </w:t>
      </w:r>
      <w:r w:rsidRPr="00D6723B">
        <w:rPr>
          <w:szCs w:val="16"/>
        </w:rPr>
        <w:t xml:space="preserve">The NZ dollar has floated independently since March 1985 and the </w:t>
      </w:r>
      <w:r w:rsidRPr="00D6723B">
        <w:rPr>
          <w:i/>
          <w:iCs/>
          <w:szCs w:val="16"/>
        </w:rPr>
        <w:t>de facto</w:t>
      </w:r>
      <w:r w:rsidRPr="00D6723B">
        <w:rPr>
          <w:szCs w:val="16"/>
        </w:rPr>
        <w:t xml:space="preserve"> exchange rate arrangement is free floating.</w:t>
      </w:r>
    </w:p>
  </w:footnote>
  <w:footnote w:id="30">
    <w:p w14:paraId="266C46E5" w14:textId="77777777" w:rsidR="00120717" w:rsidRPr="00D6723B" w:rsidRDefault="00120717">
      <w:pPr>
        <w:pStyle w:val="FootnoteText"/>
      </w:pPr>
      <w:r w:rsidRPr="00D6723B">
        <w:rPr>
          <w:rStyle w:val="FootnoteReference"/>
        </w:rPr>
        <w:footnoteRef/>
      </w:r>
      <w:r w:rsidRPr="00D6723B">
        <w:t xml:space="preserve"> IMF Country Report No.</w:t>
      </w:r>
      <w:r>
        <w:t> 21</w:t>
      </w:r>
      <w:r w:rsidRPr="00D6723B">
        <w:t>/88, p. 38.</w:t>
      </w:r>
    </w:p>
  </w:footnote>
  <w:footnote w:id="31">
    <w:p w14:paraId="22E88613" w14:textId="77777777" w:rsidR="00120717" w:rsidRPr="00D6723B" w:rsidRDefault="00120717" w:rsidP="005D7FC1">
      <w:pPr>
        <w:pStyle w:val="FootnoteText"/>
      </w:pPr>
      <w:r w:rsidRPr="00D6723B">
        <w:rPr>
          <w:rStyle w:val="FootnoteReference"/>
        </w:rPr>
        <w:footnoteRef/>
      </w:r>
      <w:r w:rsidRPr="00D6723B">
        <w:t xml:space="preserve"> IMF Country Report No.</w:t>
      </w:r>
      <w:r>
        <w:t> 21</w:t>
      </w:r>
      <w:r w:rsidRPr="00D6723B">
        <w:t>/88, p. 12.</w:t>
      </w:r>
    </w:p>
  </w:footnote>
  <w:footnote w:id="32">
    <w:p w14:paraId="6934A724" w14:textId="1706F6AE" w:rsidR="001A2CCA" w:rsidRDefault="001A2CCA">
      <w:pPr>
        <w:pStyle w:val="FootnoteText"/>
      </w:pPr>
      <w:r>
        <w:rPr>
          <w:rStyle w:val="FootnoteReference"/>
        </w:rPr>
        <w:footnoteRef/>
      </w:r>
      <w:r>
        <w:t xml:space="preserve"> Financial statements are prepared for the Government as a whole in accordance with the Public</w:t>
      </w:r>
      <w:r w:rsidR="00643272">
        <w:t> </w:t>
      </w:r>
      <w:r>
        <w:t>Sector Finance Act</w:t>
      </w:r>
      <w:r w:rsidR="00643272">
        <w:t> </w:t>
      </w:r>
      <w:r>
        <w:t>1989.</w:t>
      </w:r>
    </w:p>
  </w:footnote>
  <w:footnote w:id="33">
    <w:p w14:paraId="4D6C5A4C" w14:textId="77777777" w:rsidR="00120717" w:rsidRPr="00D6723B" w:rsidRDefault="00120717">
      <w:pPr>
        <w:pStyle w:val="FootnoteText"/>
      </w:pPr>
      <w:r w:rsidRPr="00D6723B">
        <w:rPr>
          <w:rStyle w:val="FootnoteReference"/>
        </w:rPr>
        <w:footnoteRef/>
      </w:r>
      <w:r w:rsidRPr="00D6723B">
        <w:t xml:space="preserve"> IMF Country Report No.</w:t>
      </w:r>
      <w:r>
        <w:t> 21</w:t>
      </w:r>
      <w:r w:rsidRPr="00D6723B">
        <w:t>/88, p. 12.</w:t>
      </w:r>
    </w:p>
  </w:footnote>
  <w:footnote w:id="34">
    <w:p w14:paraId="50D0F5D1" w14:textId="77777777" w:rsidR="00120717" w:rsidRPr="00D6723B" w:rsidRDefault="00120717">
      <w:pPr>
        <w:pStyle w:val="FootnoteText"/>
      </w:pPr>
      <w:r w:rsidRPr="00D6723B">
        <w:rPr>
          <w:rStyle w:val="FootnoteReference"/>
        </w:rPr>
        <w:footnoteRef/>
      </w:r>
      <w:r w:rsidRPr="00D6723B">
        <w:t xml:space="preserve"> IMF Country Report No.</w:t>
      </w:r>
      <w:r>
        <w:t> 21</w:t>
      </w:r>
      <w:r w:rsidRPr="00D6723B">
        <w:t>/88, p. 9.</w:t>
      </w:r>
    </w:p>
  </w:footnote>
  <w:footnote w:id="35">
    <w:p w14:paraId="7B733574" w14:textId="77777777" w:rsidR="00120717" w:rsidRPr="00D6723B" w:rsidRDefault="00120717" w:rsidP="005D7FC1">
      <w:pPr>
        <w:pStyle w:val="FootnoteText"/>
      </w:pPr>
      <w:r w:rsidRPr="00D6723B">
        <w:rPr>
          <w:rStyle w:val="FootnoteReference"/>
        </w:rPr>
        <w:footnoteRef/>
      </w:r>
      <w:r w:rsidRPr="00D6723B">
        <w:t xml:space="preserve"> IMF Country Report No.</w:t>
      </w:r>
      <w:r>
        <w:t> 21</w:t>
      </w:r>
      <w:r w:rsidRPr="00D6723B">
        <w:t>/88, p. 12.</w:t>
      </w:r>
    </w:p>
  </w:footnote>
  <w:footnote w:id="36">
    <w:p w14:paraId="0DD69DE0" w14:textId="77777777" w:rsidR="00120717" w:rsidRPr="00D6723B" w:rsidRDefault="00120717" w:rsidP="0096000D">
      <w:pPr>
        <w:pStyle w:val="FootnoteText"/>
      </w:pPr>
      <w:r w:rsidRPr="00D6723B">
        <w:rPr>
          <w:rStyle w:val="FootnoteReference"/>
        </w:rPr>
        <w:footnoteRef/>
      </w:r>
      <w:r w:rsidRPr="00D6723B">
        <w:t xml:space="preserve"> </w:t>
      </w:r>
      <w:r w:rsidRPr="00D6723B">
        <w:rPr>
          <w:szCs w:val="16"/>
        </w:rPr>
        <w:t xml:space="preserve">IMF (2021), </w:t>
      </w:r>
      <w:r w:rsidRPr="00D6723B">
        <w:rPr>
          <w:i/>
          <w:szCs w:val="16"/>
        </w:rPr>
        <w:t>World Economic Outlook</w:t>
      </w:r>
      <w:r w:rsidRPr="00D6723B">
        <w:rPr>
          <w:szCs w:val="16"/>
        </w:rPr>
        <w:t>, October.</w:t>
      </w:r>
    </w:p>
  </w:footnote>
  <w:footnote w:id="37">
    <w:p w14:paraId="7D73623A" w14:textId="77777777" w:rsidR="00120717" w:rsidRPr="00D6723B" w:rsidRDefault="00120717">
      <w:pPr>
        <w:pStyle w:val="FootnoteText"/>
      </w:pPr>
      <w:r w:rsidRPr="00D6723B">
        <w:rPr>
          <w:rStyle w:val="FootnoteReference"/>
        </w:rPr>
        <w:footnoteRef/>
      </w:r>
      <w:r w:rsidRPr="00D6723B">
        <w:t xml:space="preserve"> Information provided by the authorities.</w:t>
      </w:r>
    </w:p>
  </w:footnote>
  <w:footnote w:id="38">
    <w:p w14:paraId="4E8C52B1" w14:textId="77777777" w:rsidR="00120717" w:rsidRPr="00D6723B" w:rsidRDefault="00120717" w:rsidP="00692A95">
      <w:pPr>
        <w:pStyle w:val="FootnoteText"/>
      </w:pPr>
      <w:r w:rsidRPr="00D6723B">
        <w:rPr>
          <w:rStyle w:val="FootnoteReference"/>
        </w:rPr>
        <w:footnoteRef/>
      </w:r>
      <w:r w:rsidRPr="00D6723B">
        <w:t xml:space="preserve"> IMF (2021), </w:t>
      </w:r>
      <w:r w:rsidRPr="00D6723B">
        <w:rPr>
          <w:i/>
          <w:iCs/>
        </w:rPr>
        <w:t>The Land of the Long White Cloud: Turning New Zealand's Recovery into Sustained Growth</w:t>
      </w:r>
      <w:r w:rsidRPr="00D6723B">
        <w:t xml:space="preserve">, p. 6. </w:t>
      </w:r>
    </w:p>
  </w:footnote>
  <w:footnote w:id="39">
    <w:p w14:paraId="3C974810" w14:textId="6A18209B" w:rsidR="006A0ECF" w:rsidRDefault="006A0ECF">
      <w:pPr>
        <w:pStyle w:val="FootnoteText"/>
      </w:pPr>
      <w:r>
        <w:rPr>
          <w:rStyle w:val="FootnoteReference"/>
        </w:rPr>
        <w:footnoteRef/>
      </w:r>
      <w:r>
        <w:t xml:space="preserve"> </w:t>
      </w:r>
      <w:r w:rsidR="007E0A45">
        <w:t>While the meaning of the expression "the Crown" (or Sovereign) varies depending on the context in which it is used, "the Crown" is generally used to describe t</w:t>
      </w:r>
      <w:r w:rsidR="002D0649">
        <w:t xml:space="preserve">he executive government (i.e. Ministers and their departments) may also be referred to as "the Crown". Viewed at: </w:t>
      </w:r>
      <w:hyperlink r:id="rId13" w:history="1">
        <w:r w:rsidR="002D0649">
          <w:rPr>
            <w:rStyle w:val="Hyperlink"/>
          </w:rPr>
          <w:t>https://dpmc.govt.nz/our-business-units/cabinet-office/supporting-work-cabinet/cabinet-manual/1-sovereign-governor-1</w:t>
        </w:r>
      </w:hyperlink>
      <w:r w:rsidR="002D0649">
        <w:t>.</w:t>
      </w:r>
    </w:p>
  </w:footnote>
  <w:footnote w:id="40">
    <w:p w14:paraId="784D2172" w14:textId="55902F83" w:rsidR="00120717" w:rsidRPr="00011DC1" w:rsidRDefault="00120717" w:rsidP="005A0740">
      <w:pPr>
        <w:pStyle w:val="FootnoteText"/>
      </w:pPr>
      <w:r w:rsidRPr="00011DC1">
        <w:rPr>
          <w:rStyle w:val="FootnoteReference"/>
        </w:rPr>
        <w:footnoteRef/>
      </w:r>
      <w:r w:rsidRPr="00011DC1">
        <w:t xml:space="preserve"> The usual number of seats in Parliament is 120, but this number may sometimes be greater because of overhang seats. Overhang seats may arise when a party wins more electorate seats than it is entitled to</w:t>
      </w:r>
      <w:r w:rsidR="00A04806">
        <w:t>,</w:t>
      </w:r>
      <w:r w:rsidRPr="00011DC1">
        <w:t xml:space="preserve"> based on its share of the party vote.</w:t>
      </w:r>
    </w:p>
  </w:footnote>
  <w:footnote w:id="41">
    <w:p w14:paraId="420907C1" w14:textId="191ECF51" w:rsidR="00120717" w:rsidRPr="00011DC1" w:rsidRDefault="00120717">
      <w:pPr>
        <w:pStyle w:val="FootnoteText"/>
      </w:pPr>
      <w:r w:rsidRPr="00011DC1">
        <w:rPr>
          <w:rStyle w:val="FootnoteReference"/>
        </w:rPr>
        <w:footnoteRef/>
      </w:r>
      <w:r w:rsidRPr="00011DC1">
        <w:t xml:space="preserve"> New Zealand Government (2019), </w:t>
      </w:r>
      <w:r w:rsidRPr="00011DC1">
        <w:rPr>
          <w:i/>
          <w:iCs/>
        </w:rPr>
        <w:t>Economic Plan for a Productive, Sustainable and Inclusive Economy</w:t>
      </w:r>
      <w:r w:rsidRPr="00011DC1">
        <w:t xml:space="preserve">, September. Viewed at: </w:t>
      </w:r>
      <w:hyperlink r:id="rId14" w:history="1">
        <w:r w:rsidRPr="00D77367">
          <w:rPr>
            <w:rStyle w:val="Hyperlink"/>
          </w:rPr>
          <w:t>https://www.mbie.govt.nz/assets/economic-plan.pdf</w:t>
        </w:r>
      </w:hyperlink>
      <w:r w:rsidRPr="00011DC1">
        <w:t>.</w:t>
      </w:r>
    </w:p>
  </w:footnote>
  <w:footnote w:id="42">
    <w:p w14:paraId="6F7B3BF8" w14:textId="77777777" w:rsidR="00120717" w:rsidRPr="00011DC1" w:rsidRDefault="00120717" w:rsidP="00E812E5">
      <w:pPr>
        <w:pStyle w:val="FootnoteText"/>
      </w:pPr>
      <w:r w:rsidRPr="00011DC1">
        <w:rPr>
          <w:rStyle w:val="FootnoteReference"/>
        </w:rPr>
        <w:footnoteRef/>
      </w:r>
      <w:r w:rsidRPr="00011DC1">
        <w:t xml:space="preserve"> New Zealand Government (2017), "PM Launches Ambitious Trade Agenda", 24 March. Viewed at: </w:t>
      </w:r>
      <w:hyperlink r:id="rId15" w:history="1">
        <w:r w:rsidRPr="00011DC1">
          <w:rPr>
            <w:rStyle w:val="Hyperlink"/>
          </w:rPr>
          <w:t>https://www.beehive.govt.nz/release/pm-launches-ambitious-trade-agenda</w:t>
        </w:r>
      </w:hyperlink>
      <w:r w:rsidRPr="00011DC1">
        <w:t>. Under the Trade Agenda 2030, New Zealand targeted to have 90% of its merchandise exports to be covered by FTAs by 2030 (up from an estimated 53% at the time of writing the Agenda), and identified four pillars for the country's trade policy. These pillars were to: (i) expand New Zealand's network of FTAs, maximize the benefits of existing agreements though upgrades and enhanced implementation, and sustain the WTO; (ii) intensify its work on non-tariff barriers; (iii) provide greater focus to services, investment, and the digital economy; and (iv) provide appropriate assistance to exporters to enhance their competitiveness. The authorities indicate that this plan no longer guides New Zealand's trade policy, as it was superseded by the Trade for All Agenda.</w:t>
      </w:r>
    </w:p>
  </w:footnote>
  <w:footnote w:id="43">
    <w:p w14:paraId="65B89686" w14:textId="77777777" w:rsidR="00120717" w:rsidRPr="00011DC1" w:rsidRDefault="00120717" w:rsidP="00E565DB">
      <w:pPr>
        <w:pStyle w:val="FootnoteText"/>
      </w:pPr>
      <w:r w:rsidRPr="00011DC1">
        <w:rPr>
          <w:rStyle w:val="FootnoteReference"/>
        </w:rPr>
        <w:footnoteRef/>
      </w:r>
      <w:r w:rsidRPr="00011DC1">
        <w:t xml:space="preserve"> The report also notes that the Government opposes the inclusion of Investor-State Dispute Settlement provisions in FTAs (see the Trade for All Advisory Board (2019), </w:t>
      </w:r>
      <w:r w:rsidRPr="00011DC1">
        <w:rPr>
          <w:i/>
          <w:iCs/>
        </w:rPr>
        <w:t>Report of the Trade for</w:t>
      </w:r>
      <w:r w:rsidRPr="00011DC1">
        <w:t xml:space="preserve"> </w:t>
      </w:r>
      <w:r w:rsidRPr="00011DC1">
        <w:rPr>
          <w:i/>
          <w:iCs/>
        </w:rPr>
        <w:t>All Advisory Board</w:t>
      </w:r>
      <w:r w:rsidRPr="00011DC1">
        <w:t>, Key Findings section, para. 9).</w:t>
      </w:r>
    </w:p>
  </w:footnote>
  <w:footnote w:id="44">
    <w:p w14:paraId="75736F37" w14:textId="77777777" w:rsidR="00120717" w:rsidRPr="00011DC1" w:rsidRDefault="00120717" w:rsidP="007C05F6">
      <w:pPr>
        <w:pStyle w:val="FootnoteText"/>
      </w:pPr>
      <w:r w:rsidRPr="00011DC1">
        <w:rPr>
          <w:rStyle w:val="FootnoteReference"/>
        </w:rPr>
        <w:footnoteRef/>
      </w:r>
      <w:r w:rsidRPr="00011DC1">
        <w:t xml:space="preserve"> Trade for All Advisory Board (2019), </w:t>
      </w:r>
      <w:r w:rsidRPr="00011DC1">
        <w:rPr>
          <w:i/>
          <w:iCs/>
        </w:rPr>
        <w:t>Report of the Trade for All Advisory Board</w:t>
      </w:r>
      <w:r w:rsidRPr="00011DC1">
        <w:t>, November.</w:t>
      </w:r>
    </w:p>
  </w:footnote>
  <w:footnote w:id="45">
    <w:p w14:paraId="687E7755" w14:textId="77777777" w:rsidR="00120717" w:rsidRPr="00011DC1" w:rsidRDefault="00120717">
      <w:pPr>
        <w:pStyle w:val="FootnoteText"/>
      </w:pPr>
      <w:r w:rsidRPr="00011DC1">
        <w:rPr>
          <w:rStyle w:val="FootnoteReference"/>
        </w:rPr>
        <w:footnoteRef/>
      </w:r>
      <w:r w:rsidRPr="00011DC1">
        <w:t xml:space="preserve"> The authorities further indicate that there is no single document for the Trade for All Agenda, but rather various documents including the Trade for All Agenda Advisory Board report, and the Government response.</w:t>
      </w:r>
    </w:p>
  </w:footnote>
  <w:footnote w:id="46">
    <w:p w14:paraId="56B4D683" w14:textId="77777777" w:rsidR="00120717" w:rsidRPr="00011DC1" w:rsidRDefault="00120717">
      <w:pPr>
        <w:pStyle w:val="FootnoteText"/>
      </w:pPr>
      <w:r w:rsidRPr="00011DC1">
        <w:rPr>
          <w:rStyle w:val="FootnoteReference"/>
        </w:rPr>
        <w:footnoteRef/>
      </w:r>
      <w:r w:rsidRPr="00011DC1">
        <w:t xml:space="preserve"> MFAT, </w:t>
      </w:r>
      <w:r w:rsidRPr="00011DC1">
        <w:rPr>
          <w:i/>
          <w:iCs/>
        </w:rPr>
        <w:t>Trade Recovery Strategy</w:t>
      </w:r>
      <w:r w:rsidRPr="00011DC1">
        <w:t xml:space="preserve">. Viewed at: </w:t>
      </w:r>
      <w:hyperlink r:id="rId16" w:history="1">
        <w:r w:rsidRPr="00011DC1">
          <w:rPr>
            <w:rStyle w:val="Hyperlink"/>
          </w:rPr>
          <w:t>https://www.mfat.govt.nz/en/trade/trade-recovery-strategy/trade-recovery-strategy-overview/</w:t>
        </w:r>
      </w:hyperlink>
      <w:r w:rsidRPr="00011DC1">
        <w:t xml:space="preserve">. </w:t>
      </w:r>
    </w:p>
  </w:footnote>
  <w:footnote w:id="47">
    <w:p w14:paraId="7296493C" w14:textId="77777777" w:rsidR="00120717" w:rsidRPr="00011DC1" w:rsidRDefault="00120717">
      <w:pPr>
        <w:pStyle w:val="FootnoteText"/>
      </w:pPr>
      <w:r w:rsidRPr="00011DC1">
        <w:rPr>
          <w:rStyle w:val="FootnoteReference"/>
        </w:rPr>
        <w:footnoteRef/>
      </w:r>
      <w:r w:rsidRPr="00011DC1">
        <w:t xml:space="preserve"> In addition to these actions and </w:t>
      </w:r>
      <w:r w:rsidRPr="00011DC1">
        <w:rPr>
          <w:szCs w:val="20"/>
        </w:rPr>
        <w:t>to offset the impacts of domestic lockdowns</w:t>
      </w:r>
      <w:r w:rsidRPr="00011DC1">
        <w:t xml:space="preserve">, the </w:t>
      </w:r>
      <w:r w:rsidRPr="00011DC1">
        <w:rPr>
          <w:szCs w:val="20"/>
        </w:rPr>
        <w:t>NZTE implemented various types of COVID</w:t>
      </w:r>
      <w:r w:rsidRPr="00011DC1">
        <w:rPr>
          <w:szCs w:val="20"/>
        </w:rPr>
        <w:noBreakHyphen/>
        <w:t xml:space="preserve">19 financial support schemes for businesses. These schemes include </w:t>
      </w:r>
      <w:r w:rsidRPr="00011DC1">
        <w:t>a wage subsidy scheme, a COVID</w:t>
      </w:r>
      <w:r w:rsidRPr="00011DC1">
        <w:rPr>
          <w:szCs w:val="20"/>
        </w:rPr>
        <w:noBreakHyphen/>
        <w:t xml:space="preserve">19 </w:t>
      </w:r>
      <w:r w:rsidRPr="00011DC1">
        <w:t xml:space="preserve">resurgence support payment, and a small business cashflow loan. Business.govt.nz, </w:t>
      </w:r>
      <w:r w:rsidRPr="00011DC1">
        <w:rPr>
          <w:i/>
          <w:iCs/>
        </w:rPr>
        <w:t>COVID</w:t>
      </w:r>
      <w:r w:rsidRPr="00011DC1">
        <w:rPr>
          <w:i/>
          <w:iCs/>
          <w:szCs w:val="20"/>
        </w:rPr>
        <w:noBreakHyphen/>
        <w:t>19: Financial Support for Businesses</w:t>
      </w:r>
      <w:r w:rsidRPr="00011DC1">
        <w:t xml:space="preserve">. Viewed at: </w:t>
      </w:r>
      <w:hyperlink r:id="rId17" w:history="1">
        <w:r w:rsidRPr="00011DC1">
          <w:rPr>
            <w:rStyle w:val="Hyperlink"/>
          </w:rPr>
          <w:t>https://www.business.govt.nz/covid-19/financial-support-for-businesses/</w:t>
        </w:r>
      </w:hyperlink>
      <w:r w:rsidRPr="00011DC1">
        <w:t>.</w:t>
      </w:r>
    </w:p>
  </w:footnote>
  <w:footnote w:id="48">
    <w:p w14:paraId="0A848759" w14:textId="77777777" w:rsidR="00120717" w:rsidRPr="00011DC1" w:rsidRDefault="00120717">
      <w:pPr>
        <w:pStyle w:val="FootnoteText"/>
      </w:pPr>
      <w:r w:rsidRPr="00011DC1">
        <w:rPr>
          <w:rStyle w:val="FootnoteReference"/>
        </w:rPr>
        <w:footnoteRef/>
      </w:r>
      <w:r w:rsidRPr="00011DC1">
        <w:t xml:space="preserve"> Every year between 2015 and 2020, New Zealand was a chair of a WTO body. WTO, </w:t>
      </w:r>
      <w:r w:rsidRPr="00011DC1">
        <w:rPr>
          <w:i/>
          <w:iCs/>
        </w:rPr>
        <w:t>Current WTO Chairpersons</w:t>
      </w:r>
      <w:r w:rsidRPr="00011DC1">
        <w:t xml:space="preserve">. Viewed at: </w:t>
      </w:r>
      <w:hyperlink r:id="rId18" w:history="1">
        <w:r w:rsidRPr="00011DC1">
          <w:rPr>
            <w:rStyle w:val="Hyperlink"/>
          </w:rPr>
          <w:t>https://www.wto.org/english/thewto_e/secre_e/current_chairs_e.htm</w:t>
        </w:r>
      </w:hyperlink>
      <w:r w:rsidRPr="00011DC1">
        <w:t xml:space="preserve">. </w:t>
      </w:r>
    </w:p>
  </w:footnote>
  <w:footnote w:id="49">
    <w:p w14:paraId="19492140" w14:textId="77777777" w:rsidR="00120717" w:rsidRPr="00011DC1" w:rsidRDefault="00120717" w:rsidP="00B4156C">
      <w:pPr>
        <w:pStyle w:val="FootnoteText"/>
      </w:pPr>
      <w:r w:rsidRPr="00011DC1">
        <w:rPr>
          <w:rStyle w:val="FootnoteReference"/>
        </w:rPr>
        <w:footnoteRef/>
      </w:r>
      <w:r w:rsidRPr="00011DC1">
        <w:t xml:space="preserve"> WTO documents JOB/GC/204/Rev.8, JOB/CTG/14/Rev.8, 12 November 2021.</w:t>
      </w:r>
    </w:p>
  </w:footnote>
  <w:footnote w:id="50">
    <w:p w14:paraId="258D4568" w14:textId="14EE52F6" w:rsidR="00120717" w:rsidRPr="00011DC1" w:rsidRDefault="00120717" w:rsidP="00412244">
      <w:pPr>
        <w:pStyle w:val="FootnoteText"/>
      </w:pPr>
      <w:r w:rsidRPr="00011DC1">
        <w:rPr>
          <w:rStyle w:val="FootnoteReference"/>
        </w:rPr>
        <w:footnoteRef/>
      </w:r>
      <w:r w:rsidRPr="00011DC1">
        <w:t xml:space="preserve"> WTO documents WT/GC/W/752, 26 November 2018; and WT/DSB/W/609, 12 January 2018; and their revisions.</w:t>
      </w:r>
    </w:p>
  </w:footnote>
  <w:footnote w:id="51">
    <w:p w14:paraId="37AC6041" w14:textId="77777777" w:rsidR="00120717" w:rsidRPr="00011DC1" w:rsidRDefault="00120717">
      <w:pPr>
        <w:pStyle w:val="FootnoteText"/>
      </w:pPr>
      <w:r w:rsidRPr="00011DC1">
        <w:rPr>
          <w:rStyle w:val="FootnoteReference"/>
        </w:rPr>
        <w:footnoteRef/>
      </w:r>
      <w:r w:rsidRPr="00011DC1">
        <w:t xml:space="preserve"> WTO document WT/Let/1049, 20 July 2015. </w:t>
      </w:r>
      <w:r w:rsidRPr="00011DC1">
        <w:rPr>
          <w:color w:val="000000"/>
          <w:szCs w:val="16"/>
          <w:shd w:val="clear" w:color="auto" w:fill="FFFFFF"/>
        </w:rPr>
        <w:t xml:space="preserve">New Zealand submitted its instrument of accession </w:t>
      </w:r>
      <w:r w:rsidRPr="00011DC1">
        <w:t>to the WTO Secretariat</w:t>
      </w:r>
      <w:r w:rsidRPr="00011DC1">
        <w:rPr>
          <w:color w:val="000000"/>
          <w:szCs w:val="16"/>
          <w:shd w:val="clear" w:color="auto" w:fill="FFFFFF"/>
        </w:rPr>
        <w:t xml:space="preserve"> on 13 July 2015, and the GPA came into effect 30 days later, on 12 August 2015.</w:t>
      </w:r>
    </w:p>
  </w:footnote>
  <w:footnote w:id="52">
    <w:p w14:paraId="6AF55D4D" w14:textId="77777777" w:rsidR="00120717" w:rsidRPr="00011DC1" w:rsidRDefault="00120717">
      <w:pPr>
        <w:pStyle w:val="FootnoteText"/>
      </w:pPr>
      <w:r w:rsidRPr="00011DC1">
        <w:rPr>
          <w:rStyle w:val="FootnoteReference"/>
        </w:rPr>
        <w:footnoteRef/>
      </w:r>
      <w:r w:rsidRPr="00011DC1">
        <w:t xml:space="preserve"> WTO document WT/Let/1082, 2 October 2015.</w:t>
      </w:r>
    </w:p>
  </w:footnote>
  <w:footnote w:id="53">
    <w:p w14:paraId="62093BF2" w14:textId="77777777" w:rsidR="00120717" w:rsidRPr="00011DC1" w:rsidRDefault="00120717">
      <w:pPr>
        <w:pStyle w:val="FootnoteText"/>
      </w:pPr>
      <w:r w:rsidRPr="00011DC1">
        <w:rPr>
          <w:rStyle w:val="FootnoteReference"/>
        </w:rPr>
        <w:footnoteRef/>
      </w:r>
      <w:r w:rsidRPr="00011DC1">
        <w:t xml:space="preserve"> This case was the subject of two separate consultations, one requested in August 2013 (DS466) and another requested in May 2014 (DS477); only the latter (DS477) progressed to the panel stage. </w:t>
      </w:r>
    </w:p>
  </w:footnote>
  <w:footnote w:id="54">
    <w:p w14:paraId="174D9F30" w14:textId="77777777" w:rsidR="00120717" w:rsidRPr="00011DC1" w:rsidRDefault="00120717" w:rsidP="00C534CF">
      <w:pPr>
        <w:pStyle w:val="FootnoteText"/>
      </w:pPr>
      <w:r w:rsidRPr="00011DC1">
        <w:rPr>
          <w:rStyle w:val="FootnoteReference"/>
        </w:rPr>
        <w:footnoteRef/>
      </w:r>
      <w:r w:rsidRPr="00011DC1">
        <w:t xml:space="preserve"> WTO Disputes Database. Viewed at: </w:t>
      </w:r>
      <w:hyperlink r:id="rId19" w:history="1">
        <w:r w:rsidRPr="00011DC1">
          <w:rPr>
            <w:rStyle w:val="Hyperlink"/>
          </w:rPr>
          <w:t>https://www.wto.org/english/tratop_e/dispu_e/find_dispu_cases_e.htm</w:t>
        </w:r>
      </w:hyperlink>
      <w:r w:rsidRPr="00011DC1">
        <w:t>.</w:t>
      </w:r>
    </w:p>
  </w:footnote>
  <w:footnote w:id="55">
    <w:p w14:paraId="17E0B9F9" w14:textId="77777777" w:rsidR="00120717" w:rsidRPr="00011DC1" w:rsidRDefault="00120717">
      <w:pPr>
        <w:pStyle w:val="FootnoteText"/>
      </w:pPr>
      <w:r w:rsidRPr="00011DC1">
        <w:rPr>
          <w:rStyle w:val="FootnoteReference"/>
        </w:rPr>
        <w:footnoteRef/>
      </w:r>
      <w:r w:rsidRPr="00011DC1">
        <w:t xml:space="preserve"> </w:t>
      </w:r>
      <w:r w:rsidRPr="00011DC1">
        <w:rPr>
          <w:i/>
          <w:iCs/>
        </w:rPr>
        <w:t>Indonesia –</w:t>
      </w:r>
      <w:r w:rsidRPr="00011DC1">
        <w:t xml:space="preserve"> </w:t>
      </w:r>
      <w:r w:rsidRPr="00011DC1">
        <w:rPr>
          <w:i/>
          <w:iCs/>
        </w:rPr>
        <w:t xml:space="preserve">Importation of Horticultural Products, Animals and Animal Products </w:t>
      </w:r>
      <w:r w:rsidRPr="00011DC1">
        <w:t>(DS477, DS478).</w:t>
      </w:r>
      <w:r w:rsidRPr="00011DC1">
        <w:rPr>
          <w:i/>
          <w:iCs/>
        </w:rPr>
        <w:t xml:space="preserve"> </w:t>
      </w:r>
      <w:r w:rsidRPr="00011DC1">
        <w:t xml:space="preserve">WTO document series WT/DS477 and WT/DS478. </w:t>
      </w:r>
    </w:p>
  </w:footnote>
  <w:footnote w:id="56">
    <w:p w14:paraId="234B4E84" w14:textId="77777777" w:rsidR="00120717" w:rsidRPr="00011DC1" w:rsidRDefault="00120717">
      <w:pPr>
        <w:pStyle w:val="FootnoteText"/>
      </w:pPr>
      <w:r w:rsidRPr="00011DC1">
        <w:rPr>
          <w:rStyle w:val="FootnoteReference"/>
        </w:rPr>
        <w:footnoteRef/>
      </w:r>
      <w:r w:rsidRPr="00011DC1">
        <w:t xml:space="preserve"> Excluding addendum and corrigendum for TBT- and SPS-related notifications.</w:t>
      </w:r>
    </w:p>
  </w:footnote>
  <w:footnote w:id="57">
    <w:p w14:paraId="1B0FD541" w14:textId="77777777" w:rsidR="00120717" w:rsidRPr="00D47E21" w:rsidRDefault="00120717" w:rsidP="0096704C">
      <w:pPr>
        <w:pStyle w:val="FootnoteText"/>
      </w:pPr>
      <w:r w:rsidRPr="00D47E21">
        <w:rPr>
          <w:rStyle w:val="FootnoteReference"/>
        </w:rPr>
        <w:footnoteRef/>
      </w:r>
      <w:r w:rsidRPr="00D47E21">
        <w:t xml:space="preserve"> Regarding the scope of application of New Zealand FTAs, the authorities indicate that all of New Zealand's modern FTAs include a Treaty of Waitangi exception clause that protects the Government's ability to adopt policies that fulfil its obligations to Māori, including under the Treaty of Waitangi, even if the measures are inconsistent with New Zealand obligations under the corresponding FTA. </w:t>
      </w:r>
    </w:p>
  </w:footnote>
  <w:footnote w:id="58">
    <w:p w14:paraId="4974D409" w14:textId="77777777" w:rsidR="00120717" w:rsidRPr="00D47E21" w:rsidRDefault="00120717" w:rsidP="0096704C">
      <w:pPr>
        <w:pStyle w:val="FootnoteText"/>
      </w:pPr>
      <w:r w:rsidRPr="00D47E21">
        <w:rPr>
          <w:rStyle w:val="FootnoteReference"/>
        </w:rPr>
        <w:footnoteRef/>
      </w:r>
      <w:r w:rsidRPr="00D47E21">
        <w:t xml:space="preserve"> In accordance with RCEP provisions, the RCEP will enter into force 60 days following ratification by at least 6 ASEAN members and 3 non-ASEAN members.</w:t>
      </w:r>
    </w:p>
  </w:footnote>
  <w:footnote w:id="59">
    <w:p w14:paraId="21F74AAB" w14:textId="77777777" w:rsidR="00120717" w:rsidRPr="00D47E21" w:rsidRDefault="00120717" w:rsidP="0096704C">
      <w:pPr>
        <w:pStyle w:val="FootnoteText"/>
      </w:pPr>
      <w:r w:rsidRPr="00D47E21">
        <w:rPr>
          <w:rStyle w:val="FootnoteReference"/>
        </w:rPr>
        <w:footnoteRef/>
      </w:r>
      <w:r w:rsidRPr="00D47E21">
        <w:t xml:space="preserve"> MFAT, </w:t>
      </w:r>
      <w:r w:rsidRPr="00D47E21">
        <w:rPr>
          <w:i/>
          <w:iCs/>
        </w:rPr>
        <w:t>Free Trade Agreements under Negotiation</w:t>
      </w:r>
      <w:r w:rsidRPr="00D47E21">
        <w:t xml:space="preserve">. Viewed at: </w:t>
      </w:r>
      <w:hyperlink r:id="rId20" w:history="1">
        <w:r w:rsidRPr="00D47E21">
          <w:rPr>
            <w:rStyle w:val="Hyperlink"/>
          </w:rPr>
          <w:t>https://www.mfat.govt.nz/en/trade/free-trade-agreements/free-trade-agreements-under-negotiation/</w:t>
        </w:r>
      </w:hyperlink>
      <w:r w:rsidRPr="00D47E21">
        <w:t>.</w:t>
      </w:r>
    </w:p>
  </w:footnote>
  <w:footnote w:id="60">
    <w:p w14:paraId="26F83D17" w14:textId="77777777" w:rsidR="00120717" w:rsidRPr="00011DC1" w:rsidRDefault="00120717" w:rsidP="0024142D">
      <w:pPr>
        <w:pStyle w:val="FootnoteText"/>
      </w:pPr>
      <w:r w:rsidRPr="00011DC1">
        <w:rPr>
          <w:rStyle w:val="FootnoteReference"/>
        </w:rPr>
        <w:footnoteRef/>
      </w:r>
      <w:r w:rsidRPr="00011DC1">
        <w:t xml:space="preserve"> The text of this Agreement can be viewed at: </w:t>
      </w:r>
      <w:hyperlink r:id="rId21" w:history="1">
        <w:r w:rsidRPr="00011DC1">
          <w:rPr>
            <w:rStyle w:val="Hyperlink"/>
          </w:rPr>
          <w:t>https://www.treaties.mfat.govt.nz/search/details/t/1402</w:t>
        </w:r>
      </w:hyperlink>
      <w:r w:rsidRPr="00011DC1">
        <w:t>. Under the Agreement, New Zealand and Canada took commitments on a reciprocal basis.</w:t>
      </w:r>
    </w:p>
  </w:footnote>
  <w:footnote w:id="61">
    <w:p w14:paraId="1C4C7353" w14:textId="77777777" w:rsidR="00120717" w:rsidRPr="00011DC1" w:rsidRDefault="00120717" w:rsidP="0024142D">
      <w:pPr>
        <w:pStyle w:val="FootnoteText"/>
      </w:pPr>
      <w:r w:rsidRPr="00011DC1">
        <w:rPr>
          <w:rStyle w:val="FootnoteReference"/>
        </w:rPr>
        <w:footnoteRef/>
      </w:r>
      <w:r w:rsidRPr="00011DC1">
        <w:t xml:space="preserve"> The authorities indicate that the tariff preferences granted to the United Kingdom predated the GATT 1994 and were carried over following the GATT's entry into force. These preferences are not reciprocal on a one-to-one basis but involve some reciprocity. They further indicate that the legal instruments regulating these preferences are the Tariff Act 1988 (7A(2)(a) and (b)) and the Working Tariff Document. </w:t>
      </w:r>
    </w:p>
  </w:footnote>
  <w:footnote w:id="62">
    <w:p w14:paraId="3BF0F412" w14:textId="77777777" w:rsidR="00120717" w:rsidRPr="00011DC1" w:rsidRDefault="00120717" w:rsidP="0007368E">
      <w:pPr>
        <w:pStyle w:val="FootnoteText"/>
      </w:pPr>
      <w:r w:rsidRPr="00011DC1">
        <w:rPr>
          <w:rStyle w:val="FootnoteReference"/>
        </w:rPr>
        <w:footnoteRef/>
      </w:r>
      <w:r w:rsidRPr="00011DC1">
        <w:t xml:space="preserve"> WTO Factual Presentation of the Free Trade Agreement between the Republic of Korea and New Zealand, WTO document WT/REG367/1/Rev.1, 28 September 2016.</w:t>
      </w:r>
    </w:p>
  </w:footnote>
  <w:footnote w:id="63">
    <w:p w14:paraId="25D023DE" w14:textId="77777777" w:rsidR="00120717" w:rsidRPr="00D47E21" w:rsidRDefault="00120717" w:rsidP="0096704C">
      <w:pPr>
        <w:pStyle w:val="FootnoteText"/>
      </w:pPr>
      <w:r w:rsidRPr="00D47E21">
        <w:rPr>
          <w:rStyle w:val="FootnoteReference"/>
        </w:rPr>
        <w:footnoteRef/>
      </w:r>
      <w:r w:rsidRPr="00D47E21">
        <w:t xml:space="preserve"> All parties signed PACER Plus on </w:t>
      </w:r>
      <w:r w:rsidRPr="00D47E21">
        <w:rPr>
          <w:rFonts w:eastAsia="Times New Roman"/>
        </w:rPr>
        <w:t xml:space="preserve">14 June 2017, except for Vanuatu, which signed it on 7 September of the same year. The negotiations originally also included the Marshall Islands, the Federated States of Micronesia, and Palau, but they decided not to sign the concluded agreement. The authorities further indicate that Fiji and Papua New Guinea also participated, but withdrew at an earlier stage of the negotiations. </w:t>
      </w:r>
    </w:p>
  </w:footnote>
  <w:footnote w:id="64">
    <w:p w14:paraId="3CFCC082" w14:textId="77777777" w:rsidR="00120717" w:rsidRPr="00D47E21" w:rsidRDefault="00120717" w:rsidP="0096704C">
      <w:pPr>
        <w:pStyle w:val="FootnoteText"/>
      </w:pPr>
      <w:r w:rsidRPr="00D47E21">
        <w:rPr>
          <w:rStyle w:val="FootnoteReference"/>
        </w:rPr>
        <w:footnoteRef/>
      </w:r>
      <w:r w:rsidRPr="00D47E21">
        <w:t xml:space="preserve"> WTO Secretariat based on UN Comtrade data.</w:t>
      </w:r>
    </w:p>
  </w:footnote>
  <w:footnote w:id="65">
    <w:p w14:paraId="4772124B" w14:textId="77777777" w:rsidR="00120717" w:rsidRPr="00011DC1" w:rsidRDefault="00120717">
      <w:pPr>
        <w:pStyle w:val="FootnoteText"/>
      </w:pPr>
      <w:r w:rsidRPr="00011DC1">
        <w:rPr>
          <w:rStyle w:val="FootnoteReference"/>
        </w:rPr>
        <w:footnoteRef/>
      </w:r>
      <w:r w:rsidRPr="00011DC1">
        <w:t xml:space="preserve"> Pacific Agreement on Closer Economic Relations, Article 5.</w:t>
      </w:r>
    </w:p>
  </w:footnote>
  <w:footnote w:id="66">
    <w:p w14:paraId="7E34A3A1" w14:textId="77777777" w:rsidR="00120717" w:rsidRPr="00011DC1" w:rsidRDefault="00120717" w:rsidP="00FA71F7">
      <w:pPr>
        <w:pStyle w:val="FootnoteText"/>
      </w:pPr>
      <w:r w:rsidRPr="00011DC1">
        <w:rPr>
          <w:rStyle w:val="FootnoteReference"/>
        </w:rPr>
        <w:footnoteRef/>
      </w:r>
      <w:r w:rsidRPr="00011DC1">
        <w:t xml:space="preserve"> MFAT (2017), </w:t>
      </w:r>
      <w:r w:rsidRPr="00011DC1">
        <w:rPr>
          <w:i/>
          <w:iCs/>
        </w:rPr>
        <w:t>Pacific Agreement on Closer Economic Relations (PACER) Plus National Interest Analysis</w:t>
      </w:r>
      <w:r w:rsidRPr="00011DC1">
        <w:t>,</w:t>
      </w:r>
      <w:r w:rsidRPr="00011DC1">
        <w:rPr>
          <w:i/>
          <w:iCs/>
        </w:rPr>
        <w:t xml:space="preserve"> </w:t>
      </w:r>
      <w:r w:rsidRPr="00011DC1">
        <w:t xml:space="preserve">6 June. Kiribati, a non-WTO member, eliminated duties on all its tariff lines in 2014. </w:t>
      </w:r>
    </w:p>
  </w:footnote>
  <w:footnote w:id="67">
    <w:p w14:paraId="44765644" w14:textId="77777777" w:rsidR="00120717" w:rsidRPr="00011DC1" w:rsidRDefault="00120717" w:rsidP="00B4064C">
      <w:pPr>
        <w:pStyle w:val="FootnoteText"/>
      </w:pPr>
      <w:r w:rsidRPr="00011DC1">
        <w:rPr>
          <w:rStyle w:val="FootnoteReference"/>
        </w:rPr>
        <w:footnoteRef/>
      </w:r>
      <w:r w:rsidRPr="00011DC1">
        <w:t xml:space="preserve"> Australia Department of Foreign Affairs and Trade, </w:t>
      </w:r>
      <w:r w:rsidRPr="00011DC1">
        <w:rPr>
          <w:i/>
          <w:iCs/>
        </w:rPr>
        <w:t>National Interest Analysis [2017] ATNIA 31 with attachments Pacific Agreement on Closer Economic Relations Plus (PACER Plus) and Associated Side Letter (Nuku'alofa, 14 June 2017) [2017] ATNIF 4</w:t>
      </w:r>
      <w:r w:rsidRPr="00011DC1">
        <w:t>.</w:t>
      </w:r>
    </w:p>
  </w:footnote>
  <w:footnote w:id="68">
    <w:p w14:paraId="0AD8556F" w14:textId="77777777" w:rsidR="00120717" w:rsidRPr="00B228B5" w:rsidRDefault="00120717">
      <w:pPr>
        <w:pStyle w:val="FootnoteText"/>
        <w:rPr>
          <w:lang w:val="fr-CH"/>
        </w:rPr>
      </w:pPr>
      <w:r w:rsidRPr="00011DC1">
        <w:rPr>
          <w:rStyle w:val="FootnoteReference"/>
        </w:rPr>
        <w:footnoteRef/>
      </w:r>
      <w:r w:rsidRPr="00B228B5">
        <w:rPr>
          <w:lang w:val="fr-CH"/>
        </w:rPr>
        <w:t xml:space="preserve"> PACER Plus, Article 3.</w:t>
      </w:r>
    </w:p>
  </w:footnote>
  <w:footnote w:id="69">
    <w:p w14:paraId="285237ED" w14:textId="77777777" w:rsidR="00120717" w:rsidRPr="00B228B5" w:rsidRDefault="00120717" w:rsidP="00D93E9E">
      <w:pPr>
        <w:pStyle w:val="FootnoteText"/>
        <w:rPr>
          <w:lang w:val="fr-CH"/>
        </w:rPr>
      </w:pPr>
      <w:r w:rsidRPr="00011DC1">
        <w:rPr>
          <w:rStyle w:val="FootnoteReference"/>
        </w:rPr>
        <w:footnoteRef/>
      </w:r>
      <w:r w:rsidRPr="00B228B5">
        <w:rPr>
          <w:lang w:val="fr-CH"/>
        </w:rPr>
        <w:t xml:space="preserve"> PACER Plus, Articles 8 and 9.</w:t>
      </w:r>
    </w:p>
  </w:footnote>
  <w:footnote w:id="70">
    <w:p w14:paraId="75384634" w14:textId="77777777" w:rsidR="00120717" w:rsidRPr="00011DC1" w:rsidRDefault="00120717" w:rsidP="0007368E">
      <w:pPr>
        <w:pStyle w:val="FootnoteText"/>
      </w:pPr>
      <w:r w:rsidRPr="00011DC1">
        <w:rPr>
          <w:rStyle w:val="FootnoteReference"/>
        </w:rPr>
        <w:footnoteRef/>
      </w:r>
      <w:r w:rsidRPr="00011DC1">
        <w:t xml:space="preserve"> New Zealand ratified the CPTPP on 25 October 2018.</w:t>
      </w:r>
    </w:p>
  </w:footnote>
  <w:footnote w:id="71">
    <w:p w14:paraId="0AEA2132" w14:textId="77777777" w:rsidR="00120717" w:rsidRPr="00011DC1" w:rsidRDefault="00120717" w:rsidP="0007368E">
      <w:pPr>
        <w:pStyle w:val="FootnoteText"/>
      </w:pPr>
      <w:r w:rsidRPr="00011DC1">
        <w:rPr>
          <w:rStyle w:val="FootnoteReference"/>
        </w:rPr>
        <w:footnoteRef/>
      </w:r>
      <w:r w:rsidRPr="00011DC1">
        <w:t xml:space="preserve"> The CPTPP was signed following the withdrawal of the United States from the Trans-Pacific Partnership, which was signed in 2016 but did not come into force. Twenty-two Articles were suspended from the TPP under the CPTPP.</w:t>
      </w:r>
    </w:p>
  </w:footnote>
  <w:footnote w:id="72">
    <w:p w14:paraId="530828A5" w14:textId="77777777" w:rsidR="00120717" w:rsidRPr="00011DC1" w:rsidRDefault="00120717" w:rsidP="0007368E">
      <w:pPr>
        <w:pStyle w:val="FootnoteText"/>
      </w:pPr>
      <w:r w:rsidRPr="00011DC1">
        <w:rPr>
          <w:rStyle w:val="FootnoteReference"/>
        </w:rPr>
        <w:footnoteRef/>
      </w:r>
      <w:r w:rsidRPr="00011DC1">
        <w:t xml:space="preserve"> WTO Factual Presentation of the Comprehensive and Progressive Agreement for Trans-Pacific Partnership and its Appendix 5 New Zealand, WTO documents WT/REG395/1/Rev.1, 8 September 2021; and WT/REG395/1/Add.5, 1 April 2021.</w:t>
      </w:r>
    </w:p>
  </w:footnote>
  <w:footnote w:id="73">
    <w:p w14:paraId="7B0C2598" w14:textId="77777777" w:rsidR="00120717" w:rsidRPr="00011DC1" w:rsidRDefault="00120717" w:rsidP="0007368E">
      <w:pPr>
        <w:pStyle w:val="FootnoteText"/>
      </w:pPr>
      <w:r w:rsidRPr="00011DC1">
        <w:rPr>
          <w:rStyle w:val="FootnoteReference"/>
        </w:rPr>
        <w:footnoteRef/>
      </w:r>
      <w:r w:rsidRPr="00011DC1">
        <w:t xml:space="preserve"> In the case of Viet Nam's commitments to Mexico, the end of implementation will be in 2039 rather than 2038.</w:t>
      </w:r>
    </w:p>
  </w:footnote>
  <w:footnote w:id="74">
    <w:p w14:paraId="1C0B2864" w14:textId="77777777" w:rsidR="00120717" w:rsidRPr="00011DC1" w:rsidRDefault="00120717" w:rsidP="0007368E">
      <w:pPr>
        <w:pStyle w:val="FootnoteText"/>
      </w:pPr>
      <w:r w:rsidRPr="00011DC1">
        <w:rPr>
          <w:rStyle w:val="FootnoteReference"/>
        </w:rPr>
        <w:footnoteRef/>
      </w:r>
      <w:r w:rsidRPr="00011DC1">
        <w:t xml:space="preserve"> The WTO Services Sector Classification (WTO document MTN.GNS/W/120, 10 July 1991) is based on the UN Central Product Classification, and comprises 11 sectors and 55 subsectors.</w:t>
      </w:r>
    </w:p>
  </w:footnote>
  <w:footnote w:id="75">
    <w:p w14:paraId="731934A7" w14:textId="77777777" w:rsidR="00120717" w:rsidRPr="00011DC1" w:rsidRDefault="00120717" w:rsidP="00FE648C">
      <w:pPr>
        <w:pStyle w:val="FootnoteText"/>
      </w:pPr>
      <w:r w:rsidRPr="00011DC1">
        <w:rPr>
          <w:rStyle w:val="FootnoteReference"/>
        </w:rPr>
        <w:footnoteRef/>
      </w:r>
      <w:r w:rsidRPr="00011DC1">
        <w:t xml:space="preserve"> India left the RCEP negotiations in 2019.</w:t>
      </w:r>
    </w:p>
  </w:footnote>
  <w:footnote w:id="76">
    <w:p w14:paraId="2905F0F1" w14:textId="77777777" w:rsidR="00120717" w:rsidRPr="00011DC1" w:rsidRDefault="00120717" w:rsidP="00FE648C">
      <w:pPr>
        <w:pStyle w:val="FootnoteText"/>
      </w:pPr>
      <w:r w:rsidRPr="00011DC1">
        <w:rPr>
          <w:rStyle w:val="FootnoteReference"/>
        </w:rPr>
        <w:footnoteRef/>
      </w:r>
      <w:r w:rsidRPr="00011DC1">
        <w:t xml:space="preserve"> The 10 ASEAN countries are Brunei Darussalam, Cambodia, Indonesia, Lao People's Democratic Republic, Malaysia, Myanmar, the Philippines, Singapore, Thailand, and Viet Nam.</w:t>
      </w:r>
    </w:p>
  </w:footnote>
  <w:footnote w:id="77">
    <w:p w14:paraId="63F91435" w14:textId="77777777" w:rsidR="00120717" w:rsidRPr="00011DC1" w:rsidRDefault="00120717">
      <w:pPr>
        <w:pStyle w:val="FootnoteText"/>
      </w:pPr>
      <w:r w:rsidRPr="00011DC1">
        <w:rPr>
          <w:rStyle w:val="FootnoteReference"/>
        </w:rPr>
        <w:footnoteRef/>
      </w:r>
      <w:r w:rsidRPr="00011DC1">
        <w:t xml:space="preserve"> Asian Development Bank (2020), </w:t>
      </w:r>
      <w:r w:rsidRPr="00011DC1">
        <w:rPr>
          <w:i/>
          <w:iCs/>
        </w:rPr>
        <w:t>ADB Briefs</w:t>
      </w:r>
      <w:r w:rsidRPr="00011DC1">
        <w:t>, No. 164, December.</w:t>
      </w:r>
    </w:p>
  </w:footnote>
  <w:footnote w:id="78">
    <w:p w14:paraId="65891A1B" w14:textId="77777777" w:rsidR="00120717" w:rsidRPr="00011DC1" w:rsidRDefault="00120717">
      <w:pPr>
        <w:pStyle w:val="FootnoteText"/>
      </w:pPr>
      <w:r w:rsidRPr="00011DC1">
        <w:rPr>
          <w:rStyle w:val="FootnoteReference"/>
        </w:rPr>
        <w:footnoteRef/>
      </w:r>
      <w:r w:rsidRPr="00011DC1">
        <w:t xml:space="preserve"> Another expected benefit for New Zealand would have been the participation of India in the Agreement, with whom it did not yet have an FTA; however, India has withdrawn from the negotiations for the time being.</w:t>
      </w:r>
    </w:p>
  </w:footnote>
  <w:footnote w:id="79">
    <w:p w14:paraId="57BB6A61" w14:textId="77777777" w:rsidR="00120717" w:rsidRPr="00011DC1" w:rsidRDefault="00120717">
      <w:pPr>
        <w:pStyle w:val="FootnoteText"/>
      </w:pPr>
      <w:r w:rsidRPr="00011DC1">
        <w:rPr>
          <w:rStyle w:val="FootnoteReference"/>
        </w:rPr>
        <w:footnoteRef/>
      </w:r>
      <w:r w:rsidRPr="00011DC1">
        <w:t xml:space="preserve"> WTO Secretariat estimates.</w:t>
      </w:r>
    </w:p>
  </w:footnote>
  <w:footnote w:id="80">
    <w:p w14:paraId="4BECECA5" w14:textId="77777777" w:rsidR="00120717" w:rsidRPr="00011DC1" w:rsidRDefault="00120717" w:rsidP="00417854">
      <w:pPr>
        <w:pStyle w:val="FootnoteText"/>
      </w:pPr>
      <w:r w:rsidRPr="00011DC1">
        <w:rPr>
          <w:rStyle w:val="FootnoteReference"/>
        </w:rPr>
        <w:footnoteRef/>
      </w:r>
      <w:r w:rsidRPr="00011DC1">
        <w:t xml:space="preserve"> The transition period will be 20 years for Australia, Cambodia, the Lao People's Democratic Republic, the Republic of Korea, Myanmar, New Zealand, the Philippines, and Thailand; 21 years for China and Japan; 23 years for Indonesia and Malaysia; 25 years for Brunei Darussalam and Viet Nam; 35 years for imports by the Republic of Korea from China; and 36 years for China's imports from the Republic of Korea. </w:t>
      </w:r>
      <w:r w:rsidRPr="00011DC1">
        <w:rPr>
          <w:lang w:eastAsia="en-US"/>
        </w:rPr>
        <w:t>For Singapore, implementation will be immediate upon the Agreement's entry into force.</w:t>
      </w:r>
    </w:p>
  </w:footnote>
  <w:footnote w:id="81">
    <w:p w14:paraId="5B3F54E0" w14:textId="77777777" w:rsidR="00120717" w:rsidRPr="00011DC1" w:rsidRDefault="00120717">
      <w:pPr>
        <w:pStyle w:val="FootnoteText"/>
      </w:pPr>
      <w:r w:rsidRPr="00011DC1">
        <w:rPr>
          <w:rStyle w:val="FootnoteReference"/>
        </w:rPr>
        <w:footnoteRef/>
      </w:r>
      <w:r w:rsidRPr="00011DC1">
        <w:t xml:space="preserve"> MFAT (2020), </w:t>
      </w:r>
      <w:r w:rsidRPr="00011DC1">
        <w:rPr>
          <w:i/>
          <w:iCs/>
        </w:rPr>
        <w:t>Regional Comprehensive Economic Partnership National Interest Analysis</w:t>
      </w:r>
      <w:r w:rsidRPr="00011DC1">
        <w:t>.</w:t>
      </w:r>
    </w:p>
  </w:footnote>
  <w:footnote w:id="82">
    <w:p w14:paraId="27A7F489" w14:textId="77777777" w:rsidR="00120717" w:rsidRPr="00011DC1" w:rsidRDefault="00120717" w:rsidP="00576E2F">
      <w:pPr>
        <w:pStyle w:val="FootnoteText"/>
      </w:pPr>
      <w:r w:rsidRPr="00011DC1">
        <w:rPr>
          <w:rStyle w:val="FootnoteReference"/>
        </w:rPr>
        <w:footnoteRef/>
      </w:r>
      <w:r w:rsidRPr="00011DC1">
        <w:t xml:space="preserve"> RCEP, Article 10.18.</w:t>
      </w:r>
    </w:p>
  </w:footnote>
  <w:footnote w:id="83">
    <w:p w14:paraId="715CF978" w14:textId="77777777" w:rsidR="00120717" w:rsidRPr="00011DC1" w:rsidRDefault="00120717" w:rsidP="008762E6">
      <w:pPr>
        <w:pStyle w:val="FootnoteText"/>
      </w:pPr>
      <w:r w:rsidRPr="00011DC1">
        <w:rPr>
          <w:rStyle w:val="FootnoteReference"/>
        </w:rPr>
        <w:footnoteRef/>
      </w:r>
      <w:r w:rsidRPr="00011DC1">
        <w:t xml:space="preserve"> Protocol to Amend the Agreement between Singapore and New Zealand on a Closer Economic Partnership, signed on 17 May 2019. </w:t>
      </w:r>
    </w:p>
  </w:footnote>
  <w:footnote w:id="84">
    <w:p w14:paraId="16DB584C" w14:textId="77777777" w:rsidR="00120717" w:rsidRPr="00011DC1" w:rsidRDefault="00120717">
      <w:pPr>
        <w:pStyle w:val="FootnoteText"/>
      </w:pPr>
      <w:r w:rsidRPr="00011DC1">
        <w:rPr>
          <w:rStyle w:val="FootnoteReference"/>
        </w:rPr>
        <w:footnoteRef/>
      </w:r>
      <w:r w:rsidRPr="00011DC1">
        <w:t xml:space="preserve"> MFAT (2018), </w:t>
      </w:r>
      <w:r w:rsidRPr="00011DC1">
        <w:rPr>
          <w:i/>
          <w:iCs/>
        </w:rPr>
        <w:t>Protocol to Amend the Agreement between Singapore and New Zealand on a Closer Economic Partnership and associated instruments: National Interest Analysis</w:t>
      </w:r>
      <w:r w:rsidRPr="00011DC1">
        <w:t>, October.</w:t>
      </w:r>
    </w:p>
  </w:footnote>
  <w:footnote w:id="85">
    <w:p w14:paraId="77D71E11" w14:textId="77777777" w:rsidR="00120717" w:rsidRPr="00011DC1" w:rsidRDefault="00120717">
      <w:pPr>
        <w:pStyle w:val="FootnoteText"/>
      </w:pPr>
      <w:r w:rsidRPr="00011DC1">
        <w:rPr>
          <w:rStyle w:val="FootnoteReference"/>
        </w:rPr>
        <w:footnoteRef/>
      </w:r>
      <w:r w:rsidRPr="00011DC1">
        <w:t xml:space="preserve"> Protocol to upgrade the Free Trade Agreement between the Government of People's Republic of China and the Government of New Zealand; and New Zealand Foreign Affairs and Trade, Protocol to Upgrade the New Zealand-China Free Trade Agreement. MFAT (2020), </w:t>
      </w:r>
      <w:r w:rsidRPr="00011DC1">
        <w:rPr>
          <w:i/>
          <w:iCs/>
        </w:rPr>
        <w:t>National Interest Analysis</w:t>
      </w:r>
      <w:r w:rsidRPr="00011DC1">
        <w:t>.</w:t>
      </w:r>
    </w:p>
  </w:footnote>
  <w:footnote w:id="86">
    <w:p w14:paraId="12A976CD" w14:textId="77777777" w:rsidR="00120717" w:rsidRPr="00011DC1" w:rsidRDefault="00120717" w:rsidP="007350D7">
      <w:pPr>
        <w:pStyle w:val="FootnoteText"/>
      </w:pPr>
      <w:r w:rsidRPr="00011DC1">
        <w:rPr>
          <w:rStyle w:val="FootnoteReference"/>
        </w:rPr>
        <w:footnoteRef/>
      </w:r>
      <w:r w:rsidRPr="00011DC1">
        <w:t xml:space="preserve"> MFAT, </w:t>
      </w:r>
      <w:r w:rsidRPr="00011DC1">
        <w:rPr>
          <w:i/>
          <w:iCs/>
        </w:rPr>
        <w:t>Upgrading AANZFTA</w:t>
      </w:r>
      <w:r w:rsidRPr="00011DC1">
        <w:t xml:space="preserve">. Viewed at: </w:t>
      </w:r>
      <w:hyperlink r:id="rId22" w:history="1">
        <w:r w:rsidRPr="00011DC1">
          <w:rPr>
            <w:rStyle w:val="Hyperlink"/>
          </w:rPr>
          <w:t>https://www.mfat.govt.nz/vn/trade/free-trade-agreements/free-trade-agreements-in-force/asean-australia-new-zealand-free-trade-agreement-aanzfta/upgrading-aanzfta/</w:t>
        </w:r>
      </w:hyperlink>
      <w:r w:rsidRPr="00A04806">
        <w:rPr>
          <w:rStyle w:val="Hyperlink"/>
          <w:color w:val="auto"/>
          <w:u w:val="none"/>
        </w:rPr>
        <w:t>.</w:t>
      </w:r>
    </w:p>
  </w:footnote>
  <w:footnote w:id="87">
    <w:p w14:paraId="0A3F5D6F" w14:textId="77777777" w:rsidR="00120717" w:rsidRPr="00011DC1" w:rsidRDefault="00120717" w:rsidP="008A2852">
      <w:pPr>
        <w:pStyle w:val="FootnoteText"/>
      </w:pPr>
      <w:r w:rsidRPr="00011DC1">
        <w:rPr>
          <w:rStyle w:val="FootnoteReference"/>
        </w:rPr>
        <w:footnoteRef/>
      </w:r>
      <w:r w:rsidRPr="00011DC1">
        <w:t xml:space="preserve"> New Zealand's GSP scheme was already in line with the requirements under the WTO Ministerial Decision 2015 on "Preferential Rules of Origin for Least Developed Countries" at the time of the decision (WTO document WT/MIN(15)/47, WT/L/917/Add.1, 19 December 2015), so no further changes to its GSP scheme were needed.</w:t>
      </w:r>
    </w:p>
  </w:footnote>
  <w:footnote w:id="88">
    <w:p w14:paraId="3BF01F53" w14:textId="77777777" w:rsidR="00120717" w:rsidRPr="00011DC1" w:rsidRDefault="00120717">
      <w:pPr>
        <w:pStyle w:val="FootnoteText"/>
      </w:pPr>
      <w:r w:rsidRPr="00011DC1">
        <w:rPr>
          <w:rStyle w:val="FootnoteReference"/>
        </w:rPr>
        <w:footnoteRef/>
      </w:r>
      <w:r w:rsidRPr="00011DC1">
        <w:t xml:space="preserve"> SPARTECA was notified under the Enabling Clause in 1981 (GATT document L/5100, 20 February 1981).</w:t>
      </w:r>
    </w:p>
  </w:footnote>
  <w:footnote w:id="89">
    <w:p w14:paraId="05EE8F3E" w14:textId="77777777" w:rsidR="00120717" w:rsidRPr="00011DC1" w:rsidRDefault="00120717" w:rsidP="00750538">
      <w:pPr>
        <w:pStyle w:val="FootnoteText"/>
      </w:pPr>
      <w:r w:rsidRPr="00011DC1">
        <w:rPr>
          <w:rStyle w:val="FootnoteReference"/>
        </w:rPr>
        <w:footnoteRef/>
      </w:r>
      <w:r w:rsidRPr="00011DC1">
        <w:t xml:space="preserve"> WTO documents WT/L/847, 17 December 2011; WT/L/918, 6 December 2013; and S/C/N/813, </w:t>
      </w:r>
      <w:r w:rsidRPr="00011DC1">
        <w:rPr>
          <w:rFonts w:cs="Verdana"/>
        </w:rPr>
        <w:t xml:space="preserve">28 July 2015. </w:t>
      </w:r>
    </w:p>
  </w:footnote>
  <w:footnote w:id="90">
    <w:p w14:paraId="2BF9FA11" w14:textId="77777777" w:rsidR="00120717" w:rsidRPr="00011DC1" w:rsidRDefault="00120717" w:rsidP="00C17A9A">
      <w:pPr>
        <w:pStyle w:val="FootnoteText"/>
      </w:pPr>
      <w:r w:rsidRPr="00011DC1">
        <w:rPr>
          <w:rStyle w:val="FootnoteReference"/>
        </w:rPr>
        <w:footnoteRef/>
      </w:r>
      <w:r w:rsidRPr="00011DC1">
        <w:t xml:space="preserve"> APEC (2018), </w:t>
      </w:r>
      <w:r w:rsidRPr="00011DC1">
        <w:rPr>
          <w:i/>
          <w:iCs/>
        </w:rPr>
        <w:t>APEC's Bogor Goals Progress Report.</w:t>
      </w:r>
    </w:p>
  </w:footnote>
  <w:footnote w:id="91">
    <w:p w14:paraId="2FFB2F06" w14:textId="3997775A" w:rsidR="00120717" w:rsidRPr="00011DC1" w:rsidRDefault="00120717" w:rsidP="00572BF1">
      <w:pPr>
        <w:pStyle w:val="FootnoteText"/>
      </w:pPr>
      <w:r w:rsidRPr="00011DC1">
        <w:rPr>
          <w:rStyle w:val="FootnoteReference"/>
        </w:rPr>
        <w:footnoteRef/>
      </w:r>
      <w:r w:rsidRPr="00011DC1">
        <w:t xml:space="preserve"> APEC (1994), </w:t>
      </w:r>
      <w:r w:rsidRPr="00011DC1">
        <w:rPr>
          <w:i/>
          <w:iCs/>
        </w:rPr>
        <w:t>1994 Leaders' Declaration</w:t>
      </w:r>
      <w:r w:rsidRPr="00800662">
        <w:t>,</w:t>
      </w:r>
      <w:r w:rsidRPr="00011DC1">
        <w:rPr>
          <w:i/>
          <w:iCs/>
        </w:rPr>
        <w:t xml:space="preserve"> </w:t>
      </w:r>
      <w:r w:rsidRPr="00011DC1">
        <w:t>15</w:t>
      </w:r>
      <w:r w:rsidR="00A04806">
        <w:t> </w:t>
      </w:r>
      <w:r w:rsidRPr="00011DC1">
        <w:t xml:space="preserve">November. </w:t>
      </w:r>
    </w:p>
  </w:footnote>
  <w:footnote w:id="92">
    <w:p w14:paraId="5247D2A5" w14:textId="77777777" w:rsidR="00120717" w:rsidRPr="00011DC1" w:rsidRDefault="00120717" w:rsidP="009370EE">
      <w:pPr>
        <w:pStyle w:val="FootnoteText"/>
      </w:pPr>
      <w:r w:rsidRPr="00011DC1">
        <w:rPr>
          <w:rStyle w:val="FootnoteReference"/>
        </w:rPr>
        <w:footnoteRef/>
      </w:r>
      <w:r w:rsidRPr="00011DC1">
        <w:t xml:space="preserve"> APEC (2020), </w:t>
      </w:r>
      <w:r w:rsidRPr="00011DC1">
        <w:rPr>
          <w:i/>
          <w:iCs/>
        </w:rPr>
        <w:t>2020 Leaders' Declaration, APEC Putrajaya Vision 2040</w:t>
      </w:r>
      <w:r w:rsidRPr="00011DC1">
        <w:t>, 20 November. The Putrajaya Vision 2040 is based on three economic drivers: trade and investment; innovation and digitalization; and strong, balanced, secure, sustainable, and inclusive growth.</w:t>
      </w:r>
    </w:p>
  </w:footnote>
  <w:footnote w:id="93">
    <w:p w14:paraId="2868D923" w14:textId="77777777" w:rsidR="00120717" w:rsidRPr="00011DC1" w:rsidRDefault="00120717">
      <w:pPr>
        <w:pStyle w:val="FootnoteText"/>
      </w:pPr>
      <w:r w:rsidRPr="00011DC1">
        <w:rPr>
          <w:rStyle w:val="FootnoteReference"/>
        </w:rPr>
        <w:footnoteRef/>
      </w:r>
      <w:r w:rsidRPr="00011DC1">
        <w:t xml:space="preserve"> APEC, </w:t>
      </w:r>
      <w:r w:rsidRPr="00011DC1">
        <w:rPr>
          <w:i/>
          <w:iCs/>
        </w:rPr>
        <w:t>Annex: Aotearoa Plan of Action</w:t>
      </w:r>
      <w:r w:rsidRPr="00011DC1">
        <w:t xml:space="preserve">. Viewed at: </w:t>
      </w:r>
      <w:hyperlink r:id="rId23" w:history="1">
        <w:r w:rsidRPr="00011DC1">
          <w:rPr>
            <w:rStyle w:val="Hyperlink"/>
          </w:rPr>
          <w:t>https://www.apec.org/meeting-papers/leaders-declarations/2021/2021-leaders-declaration/annex-aotearoa-plan-of-action</w:t>
        </w:r>
      </w:hyperlink>
      <w:r w:rsidRPr="00011DC1">
        <w:t>.</w:t>
      </w:r>
    </w:p>
  </w:footnote>
  <w:footnote w:id="94">
    <w:p w14:paraId="595EDB58" w14:textId="77777777" w:rsidR="00120717" w:rsidRPr="00011DC1" w:rsidRDefault="00120717">
      <w:pPr>
        <w:pStyle w:val="FootnoteText"/>
      </w:pPr>
      <w:r w:rsidRPr="00011DC1">
        <w:rPr>
          <w:rStyle w:val="FootnoteReference"/>
        </w:rPr>
        <w:footnoteRef/>
      </w:r>
      <w:r w:rsidRPr="00011DC1">
        <w:t xml:space="preserve"> Information provided by the authorities.</w:t>
      </w:r>
    </w:p>
  </w:footnote>
  <w:footnote w:id="95">
    <w:p w14:paraId="2711B1B0" w14:textId="77777777" w:rsidR="00120717" w:rsidRPr="00011DC1" w:rsidRDefault="00120717" w:rsidP="00273B8A">
      <w:pPr>
        <w:pStyle w:val="FootnoteText"/>
      </w:pPr>
      <w:r w:rsidRPr="00011DC1">
        <w:rPr>
          <w:rStyle w:val="FootnoteReference"/>
        </w:rPr>
        <w:footnoteRef/>
      </w:r>
      <w:r w:rsidRPr="00011DC1">
        <w:t xml:space="preserve"> The Treasury (2019), </w:t>
      </w:r>
      <w:r w:rsidRPr="00011DC1">
        <w:rPr>
          <w:i/>
          <w:iCs/>
        </w:rPr>
        <w:t>Summary: Overseas Investment in New Zealand</w:t>
      </w:r>
      <w:r w:rsidRPr="00011DC1">
        <w:t>.</w:t>
      </w:r>
    </w:p>
  </w:footnote>
  <w:footnote w:id="96">
    <w:p w14:paraId="6CDA63EF" w14:textId="529D307D" w:rsidR="00120717" w:rsidRPr="00011DC1" w:rsidRDefault="00120717" w:rsidP="00273B8A">
      <w:pPr>
        <w:pStyle w:val="FootnoteText"/>
      </w:pPr>
      <w:r w:rsidRPr="00011DC1">
        <w:rPr>
          <w:rStyle w:val="FootnoteReference"/>
        </w:rPr>
        <w:footnoteRef/>
      </w:r>
      <w:r w:rsidRPr="00011DC1">
        <w:t xml:space="preserve"> These reforms were adopted through the Overseas Investment Amendment Act 2018 of 22 August 2018, the Overseas Investment (Urgent Measures) Amendment Act 2020 of 7 June 2020, and the Overseas Investment Amendment Act 2021 of 24 May 2021.</w:t>
      </w:r>
      <w:r w:rsidR="00E8495C">
        <w:t xml:space="preserve"> These Acts entered into force on 22 October 2018, 16 June 2020, and 5 July 2021, respectively, with some provisions being implemented afterwards. </w:t>
      </w:r>
    </w:p>
  </w:footnote>
  <w:footnote w:id="97">
    <w:p w14:paraId="1138AE1B" w14:textId="77777777" w:rsidR="00120717" w:rsidRPr="00011DC1" w:rsidRDefault="00120717" w:rsidP="00DD082F">
      <w:pPr>
        <w:pStyle w:val="FootnoteText"/>
      </w:pPr>
      <w:r w:rsidRPr="00011DC1">
        <w:rPr>
          <w:rStyle w:val="FootnoteReference"/>
        </w:rPr>
        <w:footnoteRef/>
      </w:r>
      <w:r w:rsidRPr="00011DC1">
        <w:t xml:space="preserve"> The Treasury (2019), </w:t>
      </w:r>
      <w:r w:rsidRPr="00011DC1">
        <w:rPr>
          <w:i/>
          <w:iCs/>
        </w:rPr>
        <w:t>Summary: Overseas Investment in New Zealand</w:t>
      </w:r>
      <w:r w:rsidRPr="00011DC1">
        <w:t>.</w:t>
      </w:r>
    </w:p>
  </w:footnote>
  <w:footnote w:id="98">
    <w:p w14:paraId="467BF309" w14:textId="77777777" w:rsidR="00120717" w:rsidRPr="00011DC1" w:rsidRDefault="00120717" w:rsidP="00DD082F">
      <w:pPr>
        <w:pStyle w:val="FootnoteText"/>
      </w:pPr>
      <w:r w:rsidRPr="00011DC1">
        <w:rPr>
          <w:rStyle w:val="FootnoteReference"/>
        </w:rPr>
        <w:footnoteRef/>
      </w:r>
      <w:r w:rsidRPr="00011DC1">
        <w:t xml:space="preserve"> Investments involving sensitive land are not subject to any monetary screening threshold.</w:t>
      </w:r>
    </w:p>
  </w:footnote>
  <w:footnote w:id="99">
    <w:p w14:paraId="1C278713" w14:textId="77777777" w:rsidR="00120717" w:rsidRPr="00011DC1" w:rsidRDefault="00120717" w:rsidP="00DD082F">
      <w:pPr>
        <w:pStyle w:val="FootnoteText"/>
      </w:pPr>
      <w:r w:rsidRPr="00011DC1">
        <w:rPr>
          <w:rStyle w:val="FootnoteReference"/>
        </w:rPr>
        <w:footnoteRef/>
      </w:r>
      <w:r w:rsidRPr="00011DC1">
        <w:t xml:space="preserve"> </w:t>
      </w:r>
      <w:r w:rsidRPr="00011DC1">
        <w:rPr>
          <w:szCs w:val="16"/>
        </w:rPr>
        <w:t>The definition of sensitive land was modified in</w:t>
      </w:r>
      <w:r>
        <w:rPr>
          <w:szCs w:val="16"/>
        </w:rPr>
        <w:t xml:space="preserve"> August </w:t>
      </w:r>
      <w:r w:rsidRPr="00011DC1">
        <w:rPr>
          <w:szCs w:val="16"/>
        </w:rPr>
        <w:t>2018 to include residential land so that investments in residential land would also be subject to the screening mechanism.</w:t>
      </w:r>
    </w:p>
  </w:footnote>
  <w:footnote w:id="100">
    <w:p w14:paraId="33759F79" w14:textId="77777777" w:rsidR="00120717" w:rsidRPr="00011DC1" w:rsidRDefault="00120717" w:rsidP="00DD082F">
      <w:pPr>
        <w:pStyle w:val="FootnoteText"/>
      </w:pPr>
      <w:r w:rsidRPr="00011DC1">
        <w:rPr>
          <w:rStyle w:val="FootnoteReference"/>
        </w:rPr>
        <w:footnoteRef/>
      </w:r>
      <w:r w:rsidRPr="00011DC1">
        <w:t xml:space="preserve"> A higher threshold may apply to overseas investors under New Zealand's FTAs (see below).</w:t>
      </w:r>
    </w:p>
  </w:footnote>
  <w:footnote w:id="101">
    <w:p w14:paraId="4273A7F1" w14:textId="77777777" w:rsidR="00120717" w:rsidRPr="00011DC1" w:rsidRDefault="00120717" w:rsidP="00DD082F">
      <w:pPr>
        <w:pStyle w:val="FootnoteText"/>
      </w:pPr>
      <w:r w:rsidRPr="00011DC1">
        <w:rPr>
          <w:rStyle w:val="FootnoteReference"/>
        </w:rPr>
        <w:footnoteRef/>
      </w:r>
      <w:r w:rsidRPr="00011DC1">
        <w:t xml:space="preserve"> The Overseas Investment Act 2005 incorporates Sections 56-58B of the Fisheries Act 1996.</w:t>
      </w:r>
    </w:p>
  </w:footnote>
  <w:footnote w:id="102">
    <w:p w14:paraId="69FEB139" w14:textId="77777777" w:rsidR="00120717" w:rsidRPr="00011DC1" w:rsidRDefault="00120717" w:rsidP="00DD082F">
      <w:pPr>
        <w:pStyle w:val="FootnoteText"/>
      </w:pPr>
      <w:r w:rsidRPr="00011DC1">
        <w:rPr>
          <w:rStyle w:val="FootnoteReference"/>
        </w:rPr>
        <w:footnoteRef/>
      </w:r>
      <w:r w:rsidRPr="00011DC1">
        <w:t xml:space="preserve"> An overseas person is defined under New Zealand's legislation as: (i) an individual who is neither a New Zealand citizen nor an ordinarily resident in New Zealand; (ii) a company incorporated outside New Zealand; (iii) a company that is </w:t>
      </w:r>
      <w:r>
        <w:t xml:space="preserve">more than </w:t>
      </w:r>
      <w:r w:rsidRPr="00011DC1">
        <w:t xml:space="preserve">25% owned or controlled by an overseas person; or (iv) a New Zealand individual or entity investing on behalf of an overseas person. Additional rules apply to some types of entities, such as joint ventures, trusts, managed investment schemes, and listed companies </w:t>
      </w:r>
      <w:r>
        <w:t>(</w:t>
      </w:r>
      <w:r w:rsidRPr="00011DC1">
        <w:t>Overseas Investment Act 2005, Article </w:t>
      </w:r>
      <w:r>
        <w:t>7)</w:t>
      </w:r>
      <w:r w:rsidRPr="00011DC1">
        <w:t>.</w:t>
      </w:r>
    </w:p>
  </w:footnote>
  <w:footnote w:id="103">
    <w:p w14:paraId="6AE1CE64" w14:textId="77777777" w:rsidR="00120717" w:rsidRPr="00011DC1" w:rsidRDefault="00120717" w:rsidP="00DD082F">
      <w:pPr>
        <w:pStyle w:val="FootnoteText"/>
      </w:pPr>
      <w:r w:rsidRPr="00011DC1">
        <w:rPr>
          <w:rStyle w:val="FootnoteReference"/>
        </w:rPr>
        <w:footnoteRef/>
      </w:r>
      <w:r w:rsidRPr="00011DC1">
        <w:t xml:space="preserve"> For investments involving sensitive land for forestry activities, the benefit test can take the form of three different consent options depending on the intended land use (i.e. special forestry test, general benefit test, or standing consent).</w:t>
      </w:r>
    </w:p>
  </w:footnote>
  <w:footnote w:id="104">
    <w:p w14:paraId="73B7C7BD" w14:textId="77777777" w:rsidR="00120717" w:rsidRPr="00011DC1" w:rsidRDefault="00120717" w:rsidP="00DD082F">
      <w:pPr>
        <w:pStyle w:val="FootnoteText"/>
      </w:pPr>
      <w:r w:rsidRPr="00011DC1">
        <w:rPr>
          <w:rStyle w:val="FootnoteReference"/>
        </w:rPr>
        <w:footnoteRef/>
      </w:r>
      <w:r w:rsidRPr="00011DC1">
        <w:t xml:space="preserve"> LINZ (2020), </w:t>
      </w:r>
      <w:r w:rsidRPr="00011DC1">
        <w:rPr>
          <w:i/>
          <w:iCs/>
        </w:rPr>
        <w:t>Annual Report 2019/2020</w:t>
      </w:r>
      <w:r w:rsidRPr="00011DC1">
        <w:t>.</w:t>
      </w:r>
    </w:p>
  </w:footnote>
  <w:footnote w:id="105">
    <w:p w14:paraId="6C768FC6" w14:textId="77777777" w:rsidR="00120717" w:rsidRPr="00011DC1" w:rsidRDefault="00120717" w:rsidP="00DD082F">
      <w:pPr>
        <w:pStyle w:val="FootnoteText"/>
      </w:pPr>
      <w:r w:rsidRPr="00011DC1">
        <w:rPr>
          <w:rStyle w:val="FootnoteReference"/>
        </w:rPr>
        <w:footnoteRef/>
      </w:r>
      <w:r w:rsidRPr="00011DC1">
        <w:t xml:space="preserve"> Overseas Investment Act 2005, Article 18A.</w:t>
      </w:r>
    </w:p>
  </w:footnote>
  <w:footnote w:id="106">
    <w:p w14:paraId="1B769159" w14:textId="77777777" w:rsidR="00120717" w:rsidRPr="00011DC1" w:rsidRDefault="00120717" w:rsidP="00DD082F">
      <w:pPr>
        <w:pStyle w:val="FootnoteText"/>
      </w:pPr>
      <w:r w:rsidRPr="00011DC1">
        <w:rPr>
          <w:rStyle w:val="FootnoteReference"/>
        </w:rPr>
        <w:footnoteRef/>
      </w:r>
      <w:r w:rsidRPr="00011DC1">
        <w:t xml:space="preserve"> Overseas Investment Act 2005, Article 17.</w:t>
      </w:r>
    </w:p>
  </w:footnote>
  <w:footnote w:id="107">
    <w:p w14:paraId="2EB2C4E5" w14:textId="77777777" w:rsidR="00120717" w:rsidRPr="00011DC1" w:rsidRDefault="00120717" w:rsidP="00DD082F">
      <w:pPr>
        <w:pStyle w:val="FootnoteText"/>
      </w:pPr>
      <w:r w:rsidRPr="00011DC1">
        <w:rPr>
          <w:rStyle w:val="FootnoteReference"/>
        </w:rPr>
        <w:footnoteRef/>
      </w:r>
      <w:r w:rsidRPr="00011DC1">
        <w:t xml:space="preserve"> The revised investor test came into effect in March 2021, and the changes to the benefit test in November 2021.</w:t>
      </w:r>
    </w:p>
  </w:footnote>
  <w:footnote w:id="108">
    <w:p w14:paraId="1B385C8F" w14:textId="77777777" w:rsidR="00120717" w:rsidRPr="00011DC1" w:rsidRDefault="00120717" w:rsidP="00DD082F">
      <w:pPr>
        <w:pStyle w:val="FootnoteText"/>
      </w:pPr>
      <w:r w:rsidRPr="00011DC1">
        <w:rPr>
          <w:rStyle w:val="FootnoteReference"/>
        </w:rPr>
        <w:footnoteRef/>
      </w:r>
      <w:r w:rsidRPr="00011DC1">
        <w:t xml:space="preserve"> This excludes applications to acquire residential land through the "One Home to Live In" pathway.</w:t>
      </w:r>
    </w:p>
  </w:footnote>
  <w:footnote w:id="109">
    <w:p w14:paraId="5C43ABD8" w14:textId="77777777" w:rsidR="00120717" w:rsidRPr="00011DC1" w:rsidRDefault="00120717" w:rsidP="00DD082F">
      <w:pPr>
        <w:pStyle w:val="FootnoteText"/>
      </w:pPr>
      <w:r w:rsidRPr="00011DC1">
        <w:rPr>
          <w:rStyle w:val="FootnoteReference"/>
        </w:rPr>
        <w:footnoteRef/>
      </w:r>
      <w:r w:rsidRPr="00011DC1">
        <w:t xml:space="preserve"> </w:t>
      </w:r>
      <w:r w:rsidRPr="00011DC1">
        <w:rPr>
          <w:szCs w:val="16"/>
        </w:rPr>
        <w:t>Prior to the reforms, the test allowed the OIO to consider any offence, contravention, or any other matter reflecting adversely on the relevant person's character.</w:t>
      </w:r>
    </w:p>
  </w:footnote>
  <w:footnote w:id="110">
    <w:p w14:paraId="2B246BC4" w14:textId="77777777" w:rsidR="00120717" w:rsidRPr="00011DC1" w:rsidRDefault="00120717" w:rsidP="00DD082F">
      <w:pPr>
        <w:pStyle w:val="FootnoteText"/>
      </w:pPr>
      <w:r w:rsidRPr="00011DC1">
        <w:rPr>
          <w:rStyle w:val="FootnoteReference"/>
        </w:rPr>
        <w:footnoteRef/>
      </w:r>
      <w:r w:rsidRPr="00011DC1">
        <w:t xml:space="preserve"> Ministerial Directive Letter of 8 December 2021, para. 46, made pursuant to Section 34 of the Overseas Investment Act. The Ministerial Directive directs the regulator on how it exercises its functions. </w:t>
      </w:r>
    </w:p>
  </w:footnote>
  <w:footnote w:id="111">
    <w:p w14:paraId="2F470011" w14:textId="77777777" w:rsidR="00120717" w:rsidRPr="00011DC1" w:rsidRDefault="00120717" w:rsidP="00DD082F">
      <w:pPr>
        <w:pStyle w:val="FootnoteText"/>
      </w:pPr>
      <w:r w:rsidRPr="00011DC1">
        <w:rPr>
          <w:rStyle w:val="FootnoteReference"/>
        </w:rPr>
        <w:footnoteRef/>
      </w:r>
      <w:r w:rsidRPr="00011DC1">
        <w:t xml:space="preserve"> From 1 January to 30 June 2021, 31 consent pathways transactions underwent national interest assessments. LINZ (2021), </w:t>
      </w:r>
      <w:r w:rsidRPr="00011DC1">
        <w:rPr>
          <w:i/>
          <w:iCs/>
        </w:rPr>
        <w:t>Annual Report 2020/2021</w:t>
      </w:r>
      <w:r w:rsidRPr="00011DC1">
        <w:t>.</w:t>
      </w:r>
    </w:p>
  </w:footnote>
  <w:footnote w:id="112">
    <w:p w14:paraId="51DA590D" w14:textId="77777777" w:rsidR="00120717" w:rsidRPr="00011DC1" w:rsidRDefault="00120717" w:rsidP="00DD082F">
      <w:pPr>
        <w:pStyle w:val="FootnoteText"/>
      </w:pPr>
      <w:r w:rsidRPr="00011DC1">
        <w:rPr>
          <w:rStyle w:val="FootnoteReference"/>
        </w:rPr>
        <w:footnoteRef/>
      </w:r>
      <w:r w:rsidRPr="00011DC1">
        <w:t xml:space="preserve"> Overseas Investment Act 2005, Articles 6(1) and 20A(1). Article 6(1) includes the definitions of a strategically important business and a non-New Zealand government investor.</w:t>
      </w:r>
    </w:p>
  </w:footnote>
  <w:footnote w:id="113">
    <w:p w14:paraId="40972F80" w14:textId="77777777" w:rsidR="00120717" w:rsidRPr="00011DC1" w:rsidRDefault="00120717" w:rsidP="00DD082F">
      <w:pPr>
        <w:pStyle w:val="FootnoteText"/>
      </w:pPr>
      <w:r w:rsidRPr="00011DC1">
        <w:rPr>
          <w:rStyle w:val="FootnoteReference"/>
        </w:rPr>
        <w:footnoteRef/>
      </w:r>
      <w:r w:rsidRPr="00011DC1">
        <w:t xml:space="preserve"> The categories of strategically important businesses covered by the NSPO notification system are broadly the same as those subject to the national interest test with very few exceptions. The Treasury (2021), </w:t>
      </w:r>
      <w:r w:rsidRPr="00011DC1">
        <w:rPr>
          <w:i/>
          <w:iCs/>
        </w:rPr>
        <w:t>Guidance Note: Foreign Investment Policy and National Interest Guidance</w:t>
      </w:r>
      <w:r w:rsidRPr="00011DC1">
        <w:t>, June.</w:t>
      </w:r>
    </w:p>
  </w:footnote>
  <w:footnote w:id="114">
    <w:p w14:paraId="03060AEF" w14:textId="4CBAA621" w:rsidR="00120717" w:rsidRPr="00011DC1" w:rsidRDefault="00120717" w:rsidP="008206DE">
      <w:pPr>
        <w:pStyle w:val="FootnoteText"/>
      </w:pPr>
      <w:r w:rsidRPr="00011DC1">
        <w:rPr>
          <w:rStyle w:val="FootnoteReference"/>
        </w:rPr>
        <w:footnoteRef/>
      </w:r>
      <w:r w:rsidRPr="00011DC1">
        <w:t xml:space="preserve"> Overseas Investment Act 2005, Article</w:t>
      </w:r>
      <w:r>
        <w:t>s</w:t>
      </w:r>
      <w:r w:rsidRPr="00011DC1">
        <w:t> </w:t>
      </w:r>
      <w:r>
        <w:t xml:space="preserve">20D, </w:t>
      </w:r>
      <w:r w:rsidRPr="00011DC1">
        <w:t>82</w:t>
      </w:r>
      <w:r>
        <w:t>, 85 and 86. C</w:t>
      </w:r>
      <w:r w:rsidRPr="008206DE">
        <w:t>ritical direct supplier</w:t>
      </w:r>
      <w:r>
        <w:t>s are defined in Article</w:t>
      </w:r>
      <w:r w:rsidR="00D20DEF">
        <w:t> </w:t>
      </w:r>
      <w:r>
        <w:t xml:space="preserve">20D. </w:t>
      </w:r>
    </w:p>
  </w:footnote>
  <w:footnote w:id="115">
    <w:p w14:paraId="19DE269A" w14:textId="77777777" w:rsidR="00120717" w:rsidRPr="00011DC1" w:rsidRDefault="00120717" w:rsidP="00DD082F">
      <w:pPr>
        <w:pStyle w:val="FootnoteText"/>
      </w:pPr>
      <w:r w:rsidRPr="00011DC1">
        <w:rPr>
          <w:rStyle w:val="FootnoteReference"/>
          <w:szCs w:val="16"/>
        </w:rPr>
        <w:footnoteRef/>
      </w:r>
      <w:r w:rsidRPr="00011DC1">
        <w:t xml:space="preserve"> OIO, </w:t>
      </w:r>
      <w:r w:rsidRPr="00011DC1">
        <w:rPr>
          <w:i/>
          <w:iCs/>
        </w:rPr>
        <w:t>Find Out If You Need to Notify Us of Your Transaction</w:t>
      </w:r>
      <w:r w:rsidRPr="00011DC1">
        <w:t xml:space="preserve">. Viewed at: </w:t>
      </w:r>
      <w:hyperlink r:id="rId24" w:history="1">
        <w:r w:rsidRPr="00011DC1">
          <w:rPr>
            <w:rStyle w:val="Hyperlink"/>
          </w:rPr>
          <w:t>https://www.linz.govt.nz/overseas-investment/discover/find-out-if-you-need-notify-us-your-transaction</w:t>
        </w:r>
      </w:hyperlink>
      <w:r w:rsidRPr="00011DC1">
        <w:t>.</w:t>
      </w:r>
    </w:p>
  </w:footnote>
  <w:footnote w:id="116">
    <w:p w14:paraId="7A7BA920" w14:textId="77777777" w:rsidR="00120717" w:rsidRPr="00011DC1" w:rsidRDefault="00120717" w:rsidP="00DD082F">
      <w:pPr>
        <w:pStyle w:val="FootnoteText"/>
      </w:pPr>
      <w:r w:rsidRPr="00011DC1">
        <w:rPr>
          <w:rStyle w:val="FootnoteReference"/>
        </w:rPr>
        <w:footnoteRef/>
      </w:r>
      <w:r w:rsidRPr="00011DC1">
        <w:t xml:space="preserve"> Ministerial Directive Letter of 8 December 2021, made pursuant to Section 34 of the Overseas Investment Act. </w:t>
      </w:r>
    </w:p>
  </w:footnote>
  <w:footnote w:id="117">
    <w:p w14:paraId="751436E5" w14:textId="77777777" w:rsidR="00120717" w:rsidRPr="00011DC1" w:rsidRDefault="00120717" w:rsidP="00DD082F">
      <w:pPr>
        <w:pStyle w:val="FootnoteText"/>
      </w:pPr>
      <w:r w:rsidRPr="00011DC1">
        <w:rPr>
          <w:rStyle w:val="FootnoteReference"/>
        </w:rPr>
        <w:footnoteRef/>
      </w:r>
      <w:r w:rsidRPr="00011DC1">
        <w:t xml:space="preserve"> Excluding withdrawn applications and "One Home to Live In" applications, and including exemptions and variations to consent.</w:t>
      </w:r>
    </w:p>
  </w:footnote>
  <w:footnote w:id="118">
    <w:p w14:paraId="238ADC37" w14:textId="77777777" w:rsidR="00120717" w:rsidRPr="00011DC1" w:rsidRDefault="00120717" w:rsidP="00DD082F">
      <w:pPr>
        <w:pStyle w:val="FootnoteText"/>
      </w:pPr>
      <w:r w:rsidRPr="00011DC1">
        <w:rPr>
          <w:rStyle w:val="FootnoteReference"/>
        </w:rPr>
        <w:footnoteRef/>
      </w:r>
      <w:r w:rsidRPr="00011DC1">
        <w:t xml:space="preserve"> OIO, </w:t>
      </w:r>
      <w:r w:rsidRPr="00011DC1">
        <w:rPr>
          <w:i/>
          <w:iCs/>
        </w:rPr>
        <w:t>Overseas Investment Office Decision Statistics, 2020/21</w:t>
      </w:r>
      <w:r w:rsidRPr="00011DC1">
        <w:t xml:space="preserve">. Viewed at: </w:t>
      </w:r>
      <w:hyperlink r:id="rId25" w:history="1">
        <w:r w:rsidRPr="00011DC1">
          <w:rPr>
            <w:rStyle w:val="Hyperlink"/>
          </w:rPr>
          <w:t>https://www.linz.govt.nz/overseas-investment-office-decision-statistics-202021</w:t>
        </w:r>
      </w:hyperlink>
      <w:r w:rsidRPr="00011DC1">
        <w:t xml:space="preserve">. </w:t>
      </w:r>
    </w:p>
  </w:footnote>
  <w:footnote w:id="119">
    <w:p w14:paraId="212EE88C" w14:textId="77777777" w:rsidR="00120717" w:rsidRPr="00011DC1" w:rsidRDefault="00120717" w:rsidP="00DD082F">
      <w:pPr>
        <w:pStyle w:val="FootnoteText"/>
      </w:pPr>
      <w:r w:rsidRPr="00011DC1">
        <w:rPr>
          <w:rStyle w:val="FootnoteReference"/>
        </w:rPr>
        <w:footnoteRef/>
      </w:r>
      <w:r w:rsidRPr="00011DC1">
        <w:t xml:space="preserve"> Information provided by the authorities.</w:t>
      </w:r>
    </w:p>
  </w:footnote>
  <w:footnote w:id="120">
    <w:p w14:paraId="1F9C100A" w14:textId="77777777" w:rsidR="00120717" w:rsidRPr="00011DC1" w:rsidRDefault="00120717" w:rsidP="00DD082F">
      <w:pPr>
        <w:pStyle w:val="FootnoteText"/>
      </w:pPr>
      <w:r w:rsidRPr="00011DC1">
        <w:rPr>
          <w:rStyle w:val="FootnoteReference"/>
        </w:rPr>
        <w:footnoteRef/>
      </w:r>
      <w:r w:rsidRPr="00011DC1">
        <w:t xml:space="preserve"> Excluding applications for investments on residential land or property, which can be processed in some cases as quickly as 10 working days. OIO, </w:t>
      </w:r>
      <w:r w:rsidRPr="00011DC1">
        <w:rPr>
          <w:i/>
          <w:iCs/>
        </w:rPr>
        <w:t>Assessment Timeframes</w:t>
      </w:r>
      <w:r w:rsidRPr="00011DC1">
        <w:t xml:space="preserve">. Viewed at: </w:t>
      </w:r>
      <w:hyperlink r:id="rId26" w:anchor="how-assess" w:history="1">
        <w:r w:rsidRPr="00011DC1">
          <w:rPr>
            <w:rStyle w:val="Hyperlink"/>
          </w:rPr>
          <w:t>https://www.linz.govt.nz/overseas-investment/discover/our-assessment-process/assessment-timeframes#how-assess</w:t>
        </w:r>
      </w:hyperlink>
      <w:r w:rsidRPr="00011DC1">
        <w:t>.</w:t>
      </w:r>
    </w:p>
  </w:footnote>
  <w:footnote w:id="121">
    <w:p w14:paraId="4120068E" w14:textId="77777777" w:rsidR="00120717" w:rsidRPr="00011DC1" w:rsidRDefault="00120717" w:rsidP="00DD082F">
      <w:pPr>
        <w:pStyle w:val="FootnoteText"/>
      </w:pPr>
      <w:r w:rsidRPr="00011DC1">
        <w:rPr>
          <w:rStyle w:val="FootnoteReference"/>
        </w:rPr>
        <w:footnoteRef/>
      </w:r>
      <w:r w:rsidRPr="00011DC1">
        <w:t xml:space="preserve"> Excluding "One Home to Live In" applications.</w:t>
      </w:r>
    </w:p>
  </w:footnote>
  <w:footnote w:id="122">
    <w:p w14:paraId="04A854E6" w14:textId="77777777" w:rsidR="00120717" w:rsidRPr="00011DC1" w:rsidRDefault="00120717">
      <w:pPr>
        <w:pStyle w:val="FootnoteText"/>
      </w:pPr>
      <w:r w:rsidRPr="00011DC1">
        <w:rPr>
          <w:rStyle w:val="FootnoteReference"/>
        </w:rPr>
        <w:footnoteRef/>
      </w:r>
      <w:r w:rsidRPr="00011DC1">
        <w:t xml:space="preserve"> UNCTAD Investment Policy Hub. Viewed at: </w:t>
      </w:r>
      <w:hyperlink r:id="rId27" w:history="1">
        <w:r w:rsidRPr="00011DC1">
          <w:rPr>
            <w:rStyle w:val="Hyperlink"/>
          </w:rPr>
          <w:t>https://investmentpolicy.unctad.org/international-investment-agreements/countries/150/new-zealand</w:t>
        </w:r>
      </w:hyperlink>
      <w:r w:rsidRPr="00011DC1">
        <w:t xml:space="preserve">. </w:t>
      </w:r>
    </w:p>
  </w:footnote>
  <w:footnote w:id="123">
    <w:p w14:paraId="48CDB0D4" w14:textId="77777777" w:rsidR="00120717" w:rsidRPr="00011DC1" w:rsidRDefault="00120717" w:rsidP="00E87556">
      <w:pPr>
        <w:pStyle w:val="FootnoteText"/>
        <w:rPr>
          <w:szCs w:val="16"/>
        </w:rPr>
      </w:pPr>
      <w:r w:rsidRPr="00011DC1">
        <w:rPr>
          <w:rStyle w:val="FootnoteReference"/>
          <w:szCs w:val="16"/>
        </w:rPr>
        <w:footnoteRef/>
      </w:r>
      <w:r w:rsidRPr="00011DC1">
        <w:rPr>
          <w:szCs w:val="16"/>
        </w:rPr>
        <w:t xml:space="preserve"> WTO RTA database. Viewed at: </w:t>
      </w:r>
      <w:hyperlink r:id="rId28" w:history="1">
        <w:r w:rsidRPr="00011DC1">
          <w:rPr>
            <w:rStyle w:val="Hyperlink"/>
            <w:szCs w:val="16"/>
          </w:rPr>
          <w:t>http://rtais.wto.org/UI/PublicMaintainRTAHome.aspx</w:t>
        </w:r>
      </w:hyperlink>
      <w:r w:rsidRPr="00011DC1">
        <w:rPr>
          <w:szCs w:val="16"/>
        </w:rPr>
        <w:t>.</w:t>
      </w:r>
    </w:p>
  </w:footnote>
  <w:footnote w:id="124">
    <w:p w14:paraId="1605947A" w14:textId="77777777" w:rsidR="00120717" w:rsidRPr="00011DC1" w:rsidRDefault="00120717">
      <w:pPr>
        <w:pStyle w:val="FootnoteText"/>
      </w:pPr>
      <w:r w:rsidRPr="00011DC1">
        <w:rPr>
          <w:rStyle w:val="FootnoteReference"/>
        </w:rPr>
        <w:footnoteRef/>
      </w:r>
      <w:r w:rsidRPr="00011DC1">
        <w:t xml:space="preserve"> The Treasury (2018), </w:t>
      </w:r>
      <w:r w:rsidRPr="00011DC1">
        <w:rPr>
          <w:i/>
          <w:iCs/>
        </w:rPr>
        <w:t>Overseas Investment Amendment Regulations: Implementing the Comprehensive and Progressive Agreement for Trans-Pacific Partnership</w:t>
      </w:r>
      <w:r w:rsidRPr="00011DC1">
        <w:t>, July</w:t>
      </w:r>
      <w:r w:rsidRPr="00011DC1">
        <w:rPr>
          <w:i/>
          <w:iCs/>
        </w:rPr>
        <w:t>.</w:t>
      </w:r>
    </w:p>
  </w:footnote>
  <w:footnote w:id="125">
    <w:p w14:paraId="6F1DCF87" w14:textId="77777777" w:rsidR="00120717" w:rsidRPr="00011DC1" w:rsidRDefault="00120717">
      <w:pPr>
        <w:pStyle w:val="FootnoteText"/>
      </w:pPr>
      <w:r w:rsidRPr="00011DC1">
        <w:rPr>
          <w:rStyle w:val="FootnoteReference"/>
        </w:rPr>
        <w:footnoteRef/>
      </w:r>
      <w:r w:rsidRPr="00011DC1">
        <w:t xml:space="preserve"> The ISDS mechanism under the CPTPP applies between New Zealand and the other parties except for Australia, Brunei Darussalam, Malaysia, Peru, and Viet Nam, with which New Zealand has signed a side letter for the non-application of the ISDS mechanism. </w:t>
      </w:r>
    </w:p>
  </w:footnote>
  <w:footnote w:id="126">
    <w:p w14:paraId="65AF6B9F" w14:textId="77777777" w:rsidR="00120717" w:rsidRPr="00011DC1" w:rsidRDefault="00120717" w:rsidP="00BF0BB2">
      <w:pPr>
        <w:pStyle w:val="FootnoteText"/>
      </w:pPr>
      <w:r w:rsidRPr="00011DC1">
        <w:rPr>
          <w:rStyle w:val="FootnoteReference"/>
        </w:rPr>
        <w:footnoteRef/>
      </w:r>
      <w:r w:rsidRPr="00011DC1">
        <w:t xml:space="preserve"> The list of countries participating in DTAs with New Zealand is available at: </w:t>
      </w:r>
      <w:hyperlink r:id="rId29" w:history="1">
        <w:r w:rsidRPr="00011DC1">
          <w:rPr>
            <w:rStyle w:val="Hyperlink"/>
          </w:rPr>
          <w:t>http://taxpolicy.ird.govt.nz/tax-treaties</w:t>
        </w:r>
      </w:hyperlink>
      <w:r w:rsidRPr="00011DC1">
        <w:t xml:space="preserve">. </w:t>
      </w:r>
    </w:p>
  </w:footnote>
  <w:footnote w:id="127">
    <w:p w14:paraId="15C09D16" w14:textId="77777777" w:rsidR="00120717" w:rsidRPr="009869EF" w:rsidRDefault="00120717" w:rsidP="00185006">
      <w:pPr>
        <w:pStyle w:val="FootnoteText"/>
      </w:pPr>
      <w:r w:rsidRPr="009869EF">
        <w:rPr>
          <w:rStyle w:val="FootnoteReference"/>
        </w:rPr>
        <w:footnoteRef/>
      </w:r>
      <w:r w:rsidRPr="009869EF">
        <w:t xml:space="preserve"> The new Act is available at: </w:t>
      </w:r>
      <w:hyperlink r:id="rId30" w:history="1">
        <w:r w:rsidRPr="009869EF">
          <w:rPr>
            <w:rStyle w:val="Hyperlink"/>
          </w:rPr>
          <w:t>https://www.legislation.govt.nz/act/public/2018/0004/latest/whole.html</w:t>
        </w:r>
      </w:hyperlink>
      <w:r w:rsidRPr="009869EF">
        <w:t xml:space="preserve">. </w:t>
      </w:r>
    </w:p>
  </w:footnote>
  <w:footnote w:id="128">
    <w:p w14:paraId="1957252B" w14:textId="77777777" w:rsidR="00120717" w:rsidRPr="009869EF" w:rsidRDefault="00120717" w:rsidP="00185006">
      <w:pPr>
        <w:pStyle w:val="FootnoteText"/>
      </w:pPr>
      <w:r w:rsidRPr="009869EF">
        <w:rPr>
          <w:rStyle w:val="FootnoteReference"/>
        </w:rPr>
        <w:footnoteRef/>
      </w:r>
      <w:r w:rsidRPr="009869EF">
        <w:t xml:space="preserve"> NZCS (2018), </w:t>
      </w:r>
      <w:r w:rsidRPr="009869EF">
        <w:rPr>
          <w:i/>
          <w:iCs/>
        </w:rPr>
        <w:t>Customs and Excise Acts 1996/2018: Comparison Guide</w:t>
      </w:r>
      <w:r w:rsidRPr="009869EF">
        <w:t xml:space="preserve">. Viewed at: </w:t>
      </w:r>
      <w:bookmarkStart w:id="71" w:name="_Hlk83029109"/>
      <w:r w:rsidRPr="009869EF">
        <w:fldChar w:fldCharType="begin"/>
      </w:r>
      <w:r w:rsidRPr="009869EF">
        <w:instrText xml:space="preserve"> HYPERLINK "https://www.customs.govt.nz/globalassets/documents/ce-2018/comparison-guide.pdf" </w:instrText>
      </w:r>
      <w:r w:rsidRPr="009869EF">
        <w:fldChar w:fldCharType="separate"/>
      </w:r>
      <w:r w:rsidRPr="009869EF">
        <w:rPr>
          <w:rStyle w:val="Hyperlink"/>
        </w:rPr>
        <w:t>https://www.customs.govt.nz/</w:t>
      </w:r>
      <w:bookmarkStart w:id="72" w:name="_Hlk83029150"/>
      <w:bookmarkEnd w:id="71"/>
      <w:r w:rsidRPr="009869EF">
        <w:rPr>
          <w:rStyle w:val="Hyperlink"/>
        </w:rPr>
        <w:t>globalassets/documents/</w:t>
      </w:r>
      <w:bookmarkEnd w:id="72"/>
      <w:r w:rsidRPr="009869EF">
        <w:rPr>
          <w:rStyle w:val="Hyperlink"/>
        </w:rPr>
        <w:t>ce-2018/comparison-guide.pdf</w:t>
      </w:r>
      <w:r w:rsidRPr="009869EF">
        <w:fldChar w:fldCharType="end"/>
      </w:r>
      <w:r w:rsidRPr="009869EF">
        <w:t>.</w:t>
      </w:r>
    </w:p>
  </w:footnote>
  <w:footnote w:id="129">
    <w:p w14:paraId="3F39A3BC" w14:textId="77777777" w:rsidR="00120717" w:rsidRPr="009869EF" w:rsidRDefault="00120717" w:rsidP="00185006">
      <w:pPr>
        <w:pStyle w:val="FootnoteText"/>
      </w:pPr>
      <w:r w:rsidRPr="009869EF">
        <w:rPr>
          <w:rStyle w:val="FootnoteReference"/>
        </w:rPr>
        <w:footnoteRef/>
      </w:r>
      <w:r w:rsidRPr="009869EF">
        <w:t xml:space="preserve"> </w:t>
      </w:r>
      <w:r w:rsidRPr="009869EF">
        <w:rPr>
          <w:szCs w:val="16"/>
        </w:rPr>
        <w:t>Information regarding import documentation, clearance</w:t>
      </w:r>
      <w:r>
        <w:rPr>
          <w:szCs w:val="16"/>
        </w:rPr>
        <w:t>,</w:t>
      </w:r>
      <w:r w:rsidRPr="009869EF">
        <w:rPr>
          <w:szCs w:val="16"/>
        </w:rPr>
        <w:t xml:space="preserve"> and requirements is available at: </w:t>
      </w:r>
      <w:hyperlink r:id="rId31" w:history="1">
        <w:r w:rsidRPr="009869EF">
          <w:rPr>
            <w:rStyle w:val="Hyperlink"/>
            <w:szCs w:val="16"/>
          </w:rPr>
          <w:t>https://www.customs.govt.nz/business/import/</w:t>
        </w:r>
      </w:hyperlink>
      <w:r w:rsidRPr="00D20DEF">
        <w:rPr>
          <w:rStyle w:val="Hyperlink"/>
          <w:color w:val="auto"/>
          <w:szCs w:val="16"/>
          <w:u w:val="none"/>
        </w:rPr>
        <w:t>.</w:t>
      </w:r>
    </w:p>
  </w:footnote>
  <w:footnote w:id="130">
    <w:p w14:paraId="214B3738" w14:textId="77777777" w:rsidR="00120717" w:rsidRPr="009869EF" w:rsidRDefault="00120717" w:rsidP="00185006">
      <w:pPr>
        <w:pStyle w:val="FootnoteText"/>
      </w:pPr>
      <w:r w:rsidRPr="009869EF">
        <w:rPr>
          <w:rStyle w:val="FootnoteReference"/>
        </w:rPr>
        <w:footnoteRef/>
      </w:r>
      <w:r w:rsidRPr="009869EF">
        <w:t xml:space="preserve"> TSW. Viewed at: </w:t>
      </w:r>
      <w:hyperlink r:id="rId32" w:history="1">
        <w:r w:rsidRPr="009869EF">
          <w:rPr>
            <w:rStyle w:val="Hyperlink"/>
          </w:rPr>
          <w:t>www.tsw.govt.nz/prod/external/application/login/app.html</w:t>
        </w:r>
      </w:hyperlink>
      <w:r w:rsidRPr="009869EF">
        <w:t>.</w:t>
      </w:r>
    </w:p>
  </w:footnote>
  <w:footnote w:id="131">
    <w:p w14:paraId="5D92239A" w14:textId="77777777" w:rsidR="00120717" w:rsidRPr="009869EF" w:rsidRDefault="00120717" w:rsidP="00185006">
      <w:pPr>
        <w:pStyle w:val="FootnoteText"/>
      </w:pPr>
      <w:r w:rsidRPr="009869EF">
        <w:rPr>
          <w:rStyle w:val="FootnoteReference"/>
        </w:rPr>
        <w:footnoteRef/>
      </w:r>
      <w:r w:rsidRPr="009869EF">
        <w:t xml:space="preserve"> World Bank (2020), </w:t>
      </w:r>
      <w:r w:rsidRPr="009869EF">
        <w:rPr>
          <w:i/>
          <w:iCs/>
        </w:rPr>
        <w:t>Doing Business 2020, Economy Profile</w:t>
      </w:r>
      <w:r w:rsidRPr="009869EF">
        <w:t xml:space="preserve">. Viewed at: </w:t>
      </w:r>
      <w:hyperlink r:id="rId33" w:history="1">
        <w:r w:rsidRPr="009869EF">
          <w:rPr>
            <w:rStyle w:val="Hyperlink"/>
          </w:rPr>
          <w:t>https://www.doingbusiness.org/content/dam/doingBusiness/country/n/new-zealand/NZL.pdf</w:t>
        </w:r>
      </w:hyperlink>
      <w:r w:rsidRPr="009869EF">
        <w:t>.</w:t>
      </w:r>
    </w:p>
  </w:footnote>
  <w:footnote w:id="132">
    <w:p w14:paraId="4A6CB6FE" w14:textId="77777777" w:rsidR="00120717" w:rsidRPr="009869EF" w:rsidRDefault="00120717">
      <w:pPr>
        <w:pStyle w:val="FootnoteText"/>
      </w:pPr>
      <w:r w:rsidRPr="009869EF">
        <w:rPr>
          <w:rStyle w:val="FootnoteReference"/>
        </w:rPr>
        <w:footnoteRef/>
      </w:r>
      <w:r w:rsidRPr="009869EF">
        <w:t xml:space="preserve"> Information provided by NZCS.</w:t>
      </w:r>
    </w:p>
  </w:footnote>
  <w:footnote w:id="133">
    <w:p w14:paraId="47B50544" w14:textId="117B34FC" w:rsidR="00120717" w:rsidRPr="009869EF" w:rsidRDefault="00120717" w:rsidP="00185006">
      <w:pPr>
        <w:pStyle w:val="FootnoteText"/>
      </w:pPr>
      <w:r w:rsidRPr="009869EF">
        <w:rPr>
          <w:rStyle w:val="FootnoteReference"/>
        </w:rPr>
        <w:footnoteRef/>
      </w:r>
      <w:r w:rsidRPr="009869EF">
        <w:t xml:space="preserve"> WCO (2019), </w:t>
      </w:r>
      <w:r w:rsidRPr="009869EF">
        <w:rPr>
          <w:i/>
          <w:iCs/>
        </w:rPr>
        <w:t xml:space="preserve">Guide to </w:t>
      </w:r>
      <w:r>
        <w:rPr>
          <w:i/>
          <w:iCs/>
        </w:rPr>
        <w:t>M</w:t>
      </w:r>
      <w:r w:rsidRPr="009869EF">
        <w:rPr>
          <w:i/>
          <w:iCs/>
        </w:rPr>
        <w:t xml:space="preserve">easure the </w:t>
      </w:r>
      <w:r>
        <w:rPr>
          <w:i/>
          <w:iCs/>
        </w:rPr>
        <w:t>T</w:t>
      </w:r>
      <w:r w:rsidRPr="009869EF">
        <w:rPr>
          <w:i/>
          <w:iCs/>
        </w:rPr>
        <w:t xml:space="preserve">ime </w:t>
      </w:r>
      <w:r>
        <w:rPr>
          <w:i/>
          <w:iCs/>
        </w:rPr>
        <w:t>R</w:t>
      </w:r>
      <w:r w:rsidRPr="009869EF">
        <w:rPr>
          <w:i/>
          <w:iCs/>
        </w:rPr>
        <w:t xml:space="preserve">equired for the </w:t>
      </w:r>
      <w:r>
        <w:rPr>
          <w:i/>
          <w:iCs/>
        </w:rPr>
        <w:t>R</w:t>
      </w:r>
      <w:r w:rsidRPr="009869EF">
        <w:rPr>
          <w:i/>
          <w:iCs/>
        </w:rPr>
        <w:t xml:space="preserve">elease of </w:t>
      </w:r>
      <w:r>
        <w:rPr>
          <w:i/>
          <w:iCs/>
        </w:rPr>
        <w:t>G</w:t>
      </w:r>
      <w:r w:rsidRPr="009869EF">
        <w:rPr>
          <w:i/>
          <w:iCs/>
        </w:rPr>
        <w:t>oods, Version 3, 2018</w:t>
      </w:r>
      <w:r w:rsidRPr="009869EF">
        <w:t>. Viewed</w:t>
      </w:r>
      <w:r w:rsidR="004054B6">
        <w:t> </w:t>
      </w:r>
      <w:r w:rsidRPr="009869EF">
        <w:t xml:space="preserve">at: </w:t>
      </w:r>
      <w:hyperlink r:id="rId34" w:history="1">
        <w:r w:rsidR="004054B6" w:rsidRPr="00E06DAF">
          <w:rPr>
            <w:rStyle w:val="Hyperlink"/>
            <w:rFonts w:cs="Segoe UI"/>
            <w:shd w:val="clear" w:color="auto" w:fill="FFFFFF"/>
          </w:rPr>
          <w:t>http://www.wcoomd.org/en/topics/facilitation/resources/~/media/</w:t>
        </w:r>
        <w:r w:rsidR="004054B6" w:rsidRPr="00E06DAF">
          <w:rPr>
            <w:rStyle w:val="Hyperlink"/>
            <w:rFonts w:cs="Segoe UI"/>
            <w:shd w:val="clear" w:color="auto" w:fill="FFFFFF"/>
          </w:rPr>
          <w:br/>
          <w:t>01713916ED2A4BD38DC119C5E64B890D.ashx</w:t>
        </w:r>
      </w:hyperlink>
      <w:r w:rsidRPr="009869EF">
        <w:t>.</w:t>
      </w:r>
    </w:p>
  </w:footnote>
  <w:footnote w:id="134">
    <w:p w14:paraId="0697D720" w14:textId="77777777" w:rsidR="00120717" w:rsidRPr="009869EF" w:rsidRDefault="00120717" w:rsidP="00185006">
      <w:pPr>
        <w:pStyle w:val="FootnoteText"/>
      </w:pPr>
      <w:r w:rsidRPr="009869EF">
        <w:rPr>
          <w:rStyle w:val="FootnoteReference"/>
        </w:rPr>
        <w:footnoteRef/>
      </w:r>
      <w:r w:rsidRPr="009869EF">
        <w:t xml:space="preserve"> According to the authorities, this measure supports the WTO </w:t>
      </w:r>
      <w:r>
        <w:t xml:space="preserve">Agreement on </w:t>
      </w:r>
      <w:r w:rsidRPr="009869EF">
        <w:t>Trade Facilitation (non</w:t>
      </w:r>
      <w:r w:rsidRPr="009869EF">
        <w:noBreakHyphen/>
        <w:t>mandatory provision of Article</w:t>
      </w:r>
      <w:r>
        <w:t> </w:t>
      </w:r>
      <w:r w:rsidRPr="009869EF">
        <w:t>3 – Advance Rulings).</w:t>
      </w:r>
    </w:p>
  </w:footnote>
  <w:footnote w:id="135">
    <w:p w14:paraId="0A249CCD" w14:textId="77777777" w:rsidR="00120717" w:rsidRPr="009869EF" w:rsidRDefault="00120717" w:rsidP="00185006">
      <w:pPr>
        <w:pStyle w:val="FootnoteText"/>
      </w:pPr>
      <w:r w:rsidRPr="009869EF">
        <w:rPr>
          <w:rStyle w:val="FootnoteReference"/>
        </w:rPr>
        <w:footnoteRef/>
      </w:r>
      <w:r w:rsidRPr="009869EF">
        <w:t xml:space="preserve"> NZCS (2018), </w:t>
      </w:r>
      <w:r w:rsidRPr="009869EF">
        <w:rPr>
          <w:i/>
          <w:iCs/>
        </w:rPr>
        <w:t>Importer Guide: Provisional Values Scheme</w:t>
      </w:r>
      <w:r w:rsidRPr="009869EF">
        <w:t xml:space="preserve">. Viewed at: </w:t>
      </w:r>
      <w:hyperlink r:id="rId35" w:history="1">
        <w:r w:rsidRPr="009869EF">
          <w:rPr>
            <w:rStyle w:val="Hyperlink"/>
          </w:rPr>
          <w:t>https://www.customs.govt.nz/globalassets/documents/guides/importer-guide-provisional-values-scheme.pdf</w:t>
        </w:r>
      </w:hyperlink>
      <w:r w:rsidRPr="009869EF">
        <w:t>.</w:t>
      </w:r>
    </w:p>
  </w:footnote>
  <w:footnote w:id="136">
    <w:p w14:paraId="39A02476" w14:textId="05B8FCD7" w:rsidR="00120717" w:rsidRPr="009869EF" w:rsidRDefault="00120717" w:rsidP="00185006">
      <w:pPr>
        <w:pStyle w:val="FootnoteText"/>
      </w:pPr>
      <w:r w:rsidRPr="009869EF">
        <w:rPr>
          <w:rStyle w:val="FootnoteReference"/>
        </w:rPr>
        <w:footnoteRef/>
      </w:r>
      <w:r w:rsidRPr="009869EF">
        <w:t xml:space="preserve"> WTO TFA database. Viewed at: </w:t>
      </w:r>
      <w:hyperlink r:id="rId36" w:history="1">
        <w:hyperlink r:id="rId37" w:history="1">
          <w:r w:rsidR="003E6027" w:rsidRPr="00A35AC7">
            <w:rPr>
              <w:rStyle w:val="Hyperlink"/>
              <w:shd w:val="clear" w:color="auto" w:fill="FFFFFF"/>
            </w:rPr>
            <w:t>https://tfadatabase.org/members/new-zealand</w:t>
          </w:r>
        </w:hyperlink>
      </w:hyperlink>
      <w:r w:rsidRPr="009869EF">
        <w:t>.</w:t>
      </w:r>
    </w:p>
  </w:footnote>
  <w:footnote w:id="137">
    <w:p w14:paraId="4FA3A15A" w14:textId="77777777" w:rsidR="00120717" w:rsidRPr="009869EF" w:rsidRDefault="00120717" w:rsidP="00185006">
      <w:pPr>
        <w:pStyle w:val="FootnoteText"/>
      </w:pPr>
      <w:r w:rsidRPr="009869EF">
        <w:rPr>
          <w:rStyle w:val="FootnoteReference"/>
        </w:rPr>
        <w:footnoteRef/>
      </w:r>
      <w:r w:rsidRPr="009869EF">
        <w:t xml:space="preserve"> NZCS, </w:t>
      </w:r>
      <w:r w:rsidRPr="009869EF">
        <w:rPr>
          <w:i/>
          <w:iCs/>
        </w:rPr>
        <w:t xml:space="preserve">Customs </w:t>
      </w:r>
      <w:r>
        <w:rPr>
          <w:i/>
          <w:iCs/>
        </w:rPr>
        <w:t>D</w:t>
      </w:r>
      <w:r w:rsidRPr="009869EF">
        <w:rPr>
          <w:i/>
          <w:iCs/>
        </w:rPr>
        <w:t>uties</w:t>
      </w:r>
      <w:r w:rsidRPr="009869EF">
        <w:t xml:space="preserve">. Viewed at: </w:t>
      </w:r>
      <w:hyperlink r:id="rId38" w:history="1">
        <w:r w:rsidRPr="009869EF">
          <w:rPr>
            <w:rStyle w:val="Hyperlink"/>
          </w:rPr>
          <w:t>https://www.customs.govt.nz/</w:t>
        </w:r>
        <w:r>
          <w:rPr>
            <w:rStyle w:val="Hyperlink"/>
          </w:rPr>
          <w:t>COVID</w:t>
        </w:r>
        <w:r>
          <w:rPr>
            <w:rStyle w:val="Hyperlink"/>
          </w:rPr>
          <w:noBreakHyphen/>
          <w:t>19</w:t>
        </w:r>
        <w:r w:rsidRPr="009869EF">
          <w:rPr>
            <w:rStyle w:val="Hyperlink"/>
          </w:rPr>
          <w:t>/businesses/customs-duties</w:t>
        </w:r>
      </w:hyperlink>
      <w:r w:rsidRPr="009869EF">
        <w:t>.</w:t>
      </w:r>
    </w:p>
  </w:footnote>
  <w:footnote w:id="138">
    <w:p w14:paraId="5371D568" w14:textId="675D27C9" w:rsidR="00120717" w:rsidRPr="009869EF" w:rsidRDefault="00120717" w:rsidP="00185006">
      <w:pPr>
        <w:pStyle w:val="FootnoteText"/>
      </w:pPr>
      <w:r w:rsidRPr="009869EF">
        <w:rPr>
          <w:rStyle w:val="FootnoteReference"/>
        </w:rPr>
        <w:footnoteRef/>
      </w:r>
      <w:r w:rsidRPr="009869EF">
        <w:t xml:space="preserve"> WTO document WT/MIN(15)/47</w:t>
      </w:r>
      <w:r>
        <w:t>,</w:t>
      </w:r>
      <w:r w:rsidRPr="009869EF">
        <w:t xml:space="preserve"> WT/L/917</w:t>
      </w:r>
      <w:r>
        <w:t>/Add.1</w:t>
      </w:r>
      <w:r w:rsidRPr="009869EF">
        <w:t>, 19</w:t>
      </w:r>
      <w:r w:rsidR="00D20DEF">
        <w:t> </w:t>
      </w:r>
      <w:r w:rsidRPr="009869EF">
        <w:t>December</w:t>
      </w:r>
      <w:r w:rsidR="00D20DEF">
        <w:t> </w:t>
      </w:r>
      <w:r w:rsidRPr="009869EF">
        <w:t>2015.</w:t>
      </w:r>
    </w:p>
  </w:footnote>
  <w:footnote w:id="139">
    <w:p w14:paraId="5114DD35" w14:textId="77777777" w:rsidR="00120717" w:rsidRPr="009869EF" w:rsidRDefault="00120717" w:rsidP="00F84559">
      <w:pPr>
        <w:pStyle w:val="FootnoteText"/>
      </w:pPr>
      <w:r w:rsidRPr="009869EF">
        <w:rPr>
          <w:rStyle w:val="FootnoteReference"/>
        </w:rPr>
        <w:footnoteRef/>
      </w:r>
      <w:r w:rsidRPr="009869EF">
        <w:t xml:space="preserve"> This agreement upgrades the previous agreement between New</w:t>
      </w:r>
      <w:r>
        <w:t> Zealand</w:t>
      </w:r>
      <w:r w:rsidRPr="009869EF">
        <w:t xml:space="preserve"> and Singapore.</w:t>
      </w:r>
    </w:p>
  </w:footnote>
  <w:footnote w:id="140">
    <w:p w14:paraId="28771FB5" w14:textId="77777777" w:rsidR="00120717" w:rsidRPr="009869EF" w:rsidRDefault="00120717" w:rsidP="00185006">
      <w:pPr>
        <w:pStyle w:val="FootnoteText"/>
      </w:pPr>
      <w:r w:rsidRPr="009869EF">
        <w:rPr>
          <w:rStyle w:val="FootnoteReference"/>
        </w:rPr>
        <w:footnoteRef/>
      </w:r>
      <w:r w:rsidRPr="009869EF">
        <w:t xml:space="preserve"> NZCS (2016), </w:t>
      </w:r>
      <w:r w:rsidRPr="009869EF">
        <w:rPr>
          <w:i/>
          <w:iCs/>
        </w:rPr>
        <w:t>Tariff (Harmonised System) Amendment Order 2016</w:t>
      </w:r>
      <w:r w:rsidRPr="009869EF">
        <w:t>. Viewed at:</w:t>
      </w:r>
      <w:r w:rsidRPr="009869EF">
        <w:rPr>
          <w:szCs w:val="20"/>
        </w:rPr>
        <w:t xml:space="preserve"> </w:t>
      </w:r>
      <w:hyperlink r:id="rId39" w:history="1">
        <w:r w:rsidRPr="009869EF">
          <w:rPr>
            <w:rStyle w:val="Hyperlink"/>
            <w:szCs w:val="20"/>
          </w:rPr>
          <w:t>https://www.customs.govt.nz/globalassets/documents/legal-documents/tariff-harmonised-system-amendment-order-2016.pdf</w:t>
        </w:r>
      </w:hyperlink>
      <w:r w:rsidRPr="009869EF">
        <w:rPr>
          <w:szCs w:val="20"/>
        </w:rPr>
        <w:t>.</w:t>
      </w:r>
    </w:p>
  </w:footnote>
  <w:footnote w:id="141">
    <w:p w14:paraId="7D083A57" w14:textId="77777777" w:rsidR="00120717" w:rsidRPr="009869EF" w:rsidRDefault="00120717" w:rsidP="00185006">
      <w:pPr>
        <w:pStyle w:val="FootnoteText"/>
      </w:pPr>
      <w:r w:rsidRPr="009869EF">
        <w:rPr>
          <w:rStyle w:val="FootnoteReference"/>
        </w:rPr>
        <w:footnoteRef/>
      </w:r>
      <w:r w:rsidRPr="009869EF">
        <w:t xml:space="preserve"> Office of the Minister of Commerce and Consumer Affairs, </w:t>
      </w:r>
      <w:r w:rsidRPr="009869EF">
        <w:rPr>
          <w:i/>
          <w:iCs/>
        </w:rPr>
        <w:t xml:space="preserve">Import </w:t>
      </w:r>
      <w:r>
        <w:rPr>
          <w:i/>
          <w:iCs/>
        </w:rPr>
        <w:t>T</w:t>
      </w:r>
      <w:r w:rsidRPr="009869EF">
        <w:rPr>
          <w:i/>
          <w:iCs/>
        </w:rPr>
        <w:t xml:space="preserve">ariff </w:t>
      </w:r>
      <w:r>
        <w:rPr>
          <w:i/>
          <w:iCs/>
        </w:rPr>
        <w:t>L</w:t>
      </w:r>
      <w:r w:rsidRPr="009869EF">
        <w:rPr>
          <w:i/>
          <w:iCs/>
        </w:rPr>
        <w:t xml:space="preserve">evels </w:t>
      </w:r>
      <w:r>
        <w:rPr>
          <w:i/>
          <w:iCs/>
        </w:rPr>
        <w:t>A</w:t>
      </w:r>
      <w:r w:rsidRPr="009869EF">
        <w:rPr>
          <w:i/>
          <w:iCs/>
        </w:rPr>
        <w:t>fter 2017</w:t>
      </w:r>
      <w:r w:rsidRPr="009869EF">
        <w:t>. Viewed at</w:t>
      </w:r>
      <w:r w:rsidRPr="009869EF">
        <w:rPr>
          <w:szCs w:val="20"/>
        </w:rPr>
        <w:t>:</w:t>
      </w:r>
      <w:r w:rsidRPr="009869EF">
        <w:t xml:space="preserve"> </w:t>
      </w:r>
      <w:hyperlink r:id="rId40" w:history="1">
        <w:r w:rsidRPr="009869EF">
          <w:rPr>
            <w:rStyle w:val="Hyperlink"/>
            <w:szCs w:val="20"/>
          </w:rPr>
          <w:t>https://www.mbie.govt.nz/assets/5a90aac8bd/cabinet-paper-import-tariff-levels-after-2017.pdf</w:t>
        </w:r>
      </w:hyperlink>
      <w:r w:rsidRPr="009869EF">
        <w:rPr>
          <w:szCs w:val="20"/>
        </w:rPr>
        <w:t>.</w:t>
      </w:r>
    </w:p>
  </w:footnote>
  <w:footnote w:id="142">
    <w:p w14:paraId="3FB328C5" w14:textId="77777777" w:rsidR="00120717" w:rsidRPr="009869EF" w:rsidRDefault="00120717" w:rsidP="00185006">
      <w:pPr>
        <w:pStyle w:val="FootnoteText"/>
      </w:pPr>
      <w:r w:rsidRPr="009869EF">
        <w:rPr>
          <w:rStyle w:val="FootnoteReference"/>
        </w:rPr>
        <w:footnoteRef/>
      </w:r>
      <w:r w:rsidRPr="009869EF">
        <w:t xml:space="preserve"> NZCS, </w:t>
      </w:r>
      <w:r w:rsidRPr="009869EF">
        <w:rPr>
          <w:i/>
          <w:iCs/>
        </w:rPr>
        <w:t xml:space="preserve">Customs </w:t>
      </w:r>
      <w:r>
        <w:rPr>
          <w:i/>
          <w:iCs/>
        </w:rPr>
        <w:t>D</w:t>
      </w:r>
      <w:r w:rsidRPr="009869EF">
        <w:rPr>
          <w:i/>
          <w:iCs/>
        </w:rPr>
        <w:t>uties</w:t>
      </w:r>
      <w:r w:rsidRPr="009869EF">
        <w:t xml:space="preserve">. Viewed at: </w:t>
      </w:r>
      <w:hyperlink r:id="rId41" w:history="1">
        <w:r w:rsidRPr="009869EF">
          <w:rPr>
            <w:rStyle w:val="Hyperlink"/>
          </w:rPr>
          <w:t>https://www.customs.govt.nz/</w:t>
        </w:r>
        <w:r>
          <w:rPr>
            <w:rStyle w:val="Hyperlink"/>
          </w:rPr>
          <w:t>COVID</w:t>
        </w:r>
        <w:r>
          <w:rPr>
            <w:rStyle w:val="Hyperlink"/>
          </w:rPr>
          <w:noBreakHyphen/>
          <w:t>19</w:t>
        </w:r>
        <w:r w:rsidRPr="009869EF">
          <w:rPr>
            <w:rStyle w:val="Hyperlink"/>
          </w:rPr>
          <w:t>/businesses/customs-duties</w:t>
        </w:r>
      </w:hyperlink>
      <w:r w:rsidRPr="009869EF">
        <w:t>.</w:t>
      </w:r>
    </w:p>
  </w:footnote>
  <w:footnote w:id="143">
    <w:p w14:paraId="572FEF7F" w14:textId="2AA56320" w:rsidR="00120717" w:rsidRPr="009869EF" w:rsidRDefault="00120717" w:rsidP="00185006">
      <w:pPr>
        <w:pStyle w:val="FootnoteText"/>
      </w:pPr>
      <w:r w:rsidRPr="009869EF">
        <w:rPr>
          <w:rStyle w:val="FootnoteReference"/>
        </w:rPr>
        <w:footnoteRef/>
      </w:r>
      <w:r w:rsidRPr="009869EF">
        <w:t xml:space="preserve"> New</w:t>
      </w:r>
      <w:r>
        <w:t> Zealand</w:t>
      </w:r>
      <w:r w:rsidRPr="009869EF">
        <w:t xml:space="preserve"> Government</w:t>
      </w:r>
      <w:r>
        <w:t xml:space="preserve"> (2020)</w:t>
      </w:r>
      <w:r w:rsidRPr="009869EF">
        <w:t xml:space="preserve">, </w:t>
      </w:r>
      <w:r>
        <w:t>"</w:t>
      </w:r>
      <w:r w:rsidRPr="00201FFF">
        <w:t>COVID</w:t>
      </w:r>
      <w:r w:rsidRPr="00201FFF">
        <w:noBreakHyphen/>
        <w:t xml:space="preserve">19 </w:t>
      </w:r>
      <w:r>
        <w:t>R</w:t>
      </w:r>
      <w:r w:rsidRPr="00201FFF">
        <w:t xml:space="preserve">esponse: New Zealand and Singapore </w:t>
      </w:r>
      <w:r>
        <w:t>L</w:t>
      </w:r>
      <w:r w:rsidRPr="00201FFF">
        <w:t xml:space="preserve">aunch </w:t>
      </w:r>
      <w:r>
        <w:t>I</w:t>
      </w:r>
      <w:r w:rsidRPr="00201FFF">
        <w:t xml:space="preserve">nitiative to </w:t>
      </w:r>
      <w:r>
        <w:t>E</w:t>
      </w:r>
      <w:r w:rsidRPr="00201FFF">
        <w:t xml:space="preserve">nsure </w:t>
      </w:r>
      <w:r>
        <w:t>F</w:t>
      </w:r>
      <w:r w:rsidRPr="00201FFF">
        <w:t xml:space="preserve">ree </w:t>
      </w:r>
      <w:r>
        <w:t>F</w:t>
      </w:r>
      <w:r w:rsidRPr="00201FFF">
        <w:t xml:space="preserve">low of </w:t>
      </w:r>
      <w:r>
        <w:t>E</w:t>
      </w:r>
      <w:r w:rsidRPr="00201FFF">
        <w:t xml:space="preserve">ssential </w:t>
      </w:r>
      <w:r>
        <w:t>G</w:t>
      </w:r>
      <w:r w:rsidRPr="00201FFF">
        <w:t>oods</w:t>
      </w:r>
      <w:r>
        <w:t>"</w:t>
      </w:r>
      <w:r w:rsidRPr="00252E25">
        <w:t>,</w:t>
      </w:r>
      <w:r>
        <w:t xml:space="preserve"> 15</w:t>
      </w:r>
      <w:r w:rsidR="00D20DEF">
        <w:t> </w:t>
      </w:r>
      <w:r>
        <w:t>April.</w:t>
      </w:r>
      <w:r w:rsidRPr="009869EF">
        <w:t xml:space="preserve"> Viewed at:</w:t>
      </w:r>
      <w:r w:rsidRPr="009869EF">
        <w:rPr>
          <w:szCs w:val="20"/>
        </w:rPr>
        <w:t xml:space="preserve"> </w:t>
      </w:r>
      <w:hyperlink r:id="rId42" w:history="1">
        <w:r w:rsidRPr="009869EF">
          <w:rPr>
            <w:rStyle w:val="Hyperlink"/>
            <w:szCs w:val="20"/>
          </w:rPr>
          <w:t>https://www.beehive.govt.nz/release/</w:t>
        </w:r>
        <w:r>
          <w:rPr>
            <w:rStyle w:val="Hyperlink"/>
            <w:szCs w:val="20"/>
          </w:rPr>
          <w:t>COVID</w:t>
        </w:r>
        <w:r>
          <w:rPr>
            <w:rStyle w:val="Hyperlink"/>
            <w:szCs w:val="20"/>
          </w:rPr>
          <w:noBreakHyphen/>
          <w:t>19</w:t>
        </w:r>
        <w:r w:rsidRPr="009869EF">
          <w:rPr>
            <w:rStyle w:val="Hyperlink"/>
            <w:szCs w:val="20"/>
          </w:rPr>
          <w:t>-response-new-zealand-and-singapore-launch-initiative-ensure-free-flow-essential</w:t>
        </w:r>
      </w:hyperlink>
      <w:r w:rsidRPr="009869EF">
        <w:rPr>
          <w:szCs w:val="20"/>
        </w:rPr>
        <w:t>.</w:t>
      </w:r>
    </w:p>
  </w:footnote>
  <w:footnote w:id="144">
    <w:p w14:paraId="6503C47C" w14:textId="77777777" w:rsidR="00120717" w:rsidRPr="009869EF" w:rsidRDefault="00120717" w:rsidP="00185006">
      <w:pPr>
        <w:pStyle w:val="FootnoteText"/>
      </w:pPr>
      <w:r w:rsidRPr="009869EF">
        <w:rPr>
          <w:rStyle w:val="FootnoteReference"/>
        </w:rPr>
        <w:footnoteRef/>
      </w:r>
      <w:r w:rsidRPr="009869EF">
        <w:t xml:space="preserve"> For 2021, out of the six specific rates, five </w:t>
      </w:r>
      <w:r w:rsidRPr="009869EF">
        <w:rPr>
          <w:i/>
        </w:rPr>
        <w:t>ad valorem</w:t>
      </w:r>
      <w:r w:rsidRPr="009869EF">
        <w:t xml:space="preserve"> equivalents (AVEs) were calculated based on 2020 import data provided by the authorities. For one specific rate</w:t>
      </w:r>
      <w:r>
        <w:t>,</w:t>
      </w:r>
      <w:r w:rsidRPr="009869EF">
        <w:t xml:space="preserve"> </w:t>
      </w:r>
      <w:r>
        <w:t xml:space="preserve">import </w:t>
      </w:r>
      <w:r w:rsidRPr="009869EF">
        <w:t xml:space="preserve">data </w:t>
      </w:r>
      <w:r>
        <w:t>were</w:t>
      </w:r>
      <w:r w:rsidRPr="009869EF">
        <w:t xml:space="preserve"> not available and </w:t>
      </w:r>
      <w:r>
        <w:t xml:space="preserve">thus it </w:t>
      </w:r>
      <w:r w:rsidRPr="009869EF">
        <w:t>was not possible to calculate its AVE.</w:t>
      </w:r>
    </w:p>
  </w:footnote>
  <w:footnote w:id="145">
    <w:p w14:paraId="5C95B1B8" w14:textId="77777777" w:rsidR="00120717" w:rsidRPr="009869EF" w:rsidRDefault="00120717" w:rsidP="001F5A85">
      <w:pPr>
        <w:pStyle w:val="FootnoteText"/>
      </w:pPr>
      <w:r w:rsidRPr="009869EF">
        <w:rPr>
          <w:rStyle w:val="FootnoteReference"/>
        </w:rPr>
        <w:footnoteRef/>
      </w:r>
      <w:r w:rsidRPr="009869EF">
        <w:t xml:space="preserve"> </w:t>
      </w:r>
      <w:r w:rsidRPr="009869EF">
        <w:rPr>
          <w:szCs w:val="16"/>
        </w:rPr>
        <w:t>This decrease could have been a bit more pronounced but with the change to the 2017 nomenclature the average tariff of transport equipment increased from 3.4% in 2014 to 3.9% due to the splitting of lines.</w:t>
      </w:r>
    </w:p>
  </w:footnote>
  <w:footnote w:id="146">
    <w:p w14:paraId="75CFD687" w14:textId="77777777" w:rsidR="00120717" w:rsidRPr="00201FFF" w:rsidRDefault="00120717">
      <w:pPr>
        <w:pStyle w:val="FootnoteText"/>
        <w:rPr>
          <w:lang w:val="fr-CH"/>
        </w:rPr>
      </w:pPr>
      <w:r w:rsidRPr="009869EF">
        <w:rPr>
          <w:rStyle w:val="FootnoteReference"/>
        </w:rPr>
        <w:footnoteRef/>
      </w:r>
      <w:r w:rsidRPr="00201FFF">
        <w:rPr>
          <w:lang w:val="fr-CH"/>
        </w:rPr>
        <w:t xml:space="preserve"> WTO document G/MA/TAR/RS/661, 24 November 2021.</w:t>
      </w:r>
    </w:p>
  </w:footnote>
  <w:footnote w:id="147">
    <w:p w14:paraId="4165EE75" w14:textId="77777777" w:rsidR="00120717" w:rsidRPr="009869EF" w:rsidRDefault="00120717" w:rsidP="00185006">
      <w:pPr>
        <w:pStyle w:val="FootnoteText"/>
      </w:pPr>
      <w:r w:rsidRPr="009869EF">
        <w:rPr>
          <w:rStyle w:val="FootnoteReference"/>
        </w:rPr>
        <w:footnoteRef/>
      </w:r>
      <w:r w:rsidRPr="009869EF">
        <w:t xml:space="preserve"> Details on tariff concessions are available at NZCS, </w:t>
      </w:r>
      <w:r w:rsidRPr="009869EF">
        <w:rPr>
          <w:i/>
          <w:iCs/>
        </w:rPr>
        <w:t xml:space="preserve">Tariff </w:t>
      </w:r>
      <w:r>
        <w:rPr>
          <w:i/>
          <w:iCs/>
        </w:rPr>
        <w:t>C</w:t>
      </w:r>
      <w:r w:rsidRPr="009869EF">
        <w:rPr>
          <w:i/>
          <w:iCs/>
        </w:rPr>
        <w:t>oncessions</w:t>
      </w:r>
      <w:r w:rsidRPr="009869EF">
        <w:t xml:space="preserve">. Viewed at: </w:t>
      </w:r>
      <w:hyperlink r:id="rId43" w:history="1">
        <w:r w:rsidRPr="009869EF">
          <w:rPr>
            <w:rStyle w:val="Hyperlink"/>
          </w:rPr>
          <w:t>https://www.customs.govt.nz/business/tariffs/tariff-concessions</w:t>
        </w:r>
      </w:hyperlink>
      <w:r w:rsidRPr="009869EF">
        <w:t>.</w:t>
      </w:r>
    </w:p>
  </w:footnote>
  <w:footnote w:id="148">
    <w:p w14:paraId="7E79CA41" w14:textId="77777777" w:rsidR="00120717" w:rsidRPr="009869EF" w:rsidRDefault="00120717">
      <w:pPr>
        <w:pStyle w:val="FootnoteText"/>
      </w:pPr>
      <w:r w:rsidRPr="009869EF">
        <w:rPr>
          <w:rStyle w:val="FootnoteReference"/>
        </w:rPr>
        <w:footnoteRef/>
      </w:r>
      <w:r w:rsidRPr="009869EF">
        <w:t xml:space="preserve"> NZCS, </w:t>
      </w:r>
      <w:r w:rsidRPr="009869EF">
        <w:rPr>
          <w:i/>
          <w:iCs/>
        </w:rPr>
        <w:t xml:space="preserve">New Health Promotion Agency (HPA) Levy </w:t>
      </w:r>
      <w:r>
        <w:rPr>
          <w:i/>
          <w:iCs/>
        </w:rPr>
        <w:t>R</w:t>
      </w:r>
      <w:r w:rsidRPr="009869EF">
        <w:rPr>
          <w:i/>
          <w:iCs/>
        </w:rPr>
        <w:t xml:space="preserve">ates for </w:t>
      </w:r>
      <w:r>
        <w:rPr>
          <w:i/>
          <w:iCs/>
        </w:rPr>
        <w:t>A</w:t>
      </w:r>
      <w:r w:rsidRPr="009869EF">
        <w:rPr>
          <w:i/>
          <w:iCs/>
        </w:rPr>
        <w:t>lcohol from 1</w:t>
      </w:r>
      <w:r>
        <w:rPr>
          <w:i/>
          <w:iCs/>
        </w:rPr>
        <w:t> </w:t>
      </w:r>
      <w:r w:rsidRPr="009869EF">
        <w:rPr>
          <w:i/>
          <w:iCs/>
        </w:rPr>
        <w:t>July</w:t>
      </w:r>
      <w:r>
        <w:rPr>
          <w:i/>
          <w:iCs/>
        </w:rPr>
        <w:t> </w:t>
      </w:r>
      <w:r w:rsidRPr="009869EF">
        <w:rPr>
          <w:i/>
          <w:iCs/>
        </w:rPr>
        <w:t>2021</w:t>
      </w:r>
      <w:r w:rsidRPr="009869EF">
        <w:t xml:space="preserve">. Viewed at: </w:t>
      </w:r>
      <w:hyperlink r:id="rId44" w:history="1">
        <w:r w:rsidRPr="009869EF">
          <w:rPr>
            <w:rStyle w:val="Hyperlink"/>
          </w:rPr>
          <w:t>https://www.customs.govt.nz/about-us/news/important-notices/new-health-promotion-agency-hpa-levy-rates-for-alcohol-from-1-july-2021/</w:t>
        </w:r>
      </w:hyperlink>
      <w:r w:rsidRPr="009869EF">
        <w:t>.</w:t>
      </w:r>
    </w:p>
  </w:footnote>
  <w:footnote w:id="149">
    <w:p w14:paraId="215111F5" w14:textId="77777777" w:rsidR="00120717" w:rsidRPr="009869EF" w:rsidRDefault="00120717" w:rsidP="00185006">
      <w:pPr>
        <w:pStyle w:val="FootnoteText"/>
      </w:pPr>
      <w:r w:rsidRPr="009869EF">
        <w:rPr>
          <w:rStyle w:val="FootnoteReference"/>
        </w:rPr>
        <w:footnoteRef/>
      </w:r>
      <w:r w:rsidRPr="009869EF">
        <w:t xml:space="preserve"> </w:t>
      </w:r>
      <w:r w:rsidRPr="009869EF">
        <w:rPr>
          <w:szCs w:val="16"/>
        </w:rPr>
        <w:t>Parliamentary Counsel Office</w:t>
      </w:r>
      <w:r>
        <w:rPr>
          <w:szCs w:val="16"/>
        </w:rPr>
        <w:t>,</w:t>
      </w:r>
      <w:r w:rsidRPr="009869EF">
        <w:t xml:space="preserve"> New</w:t>
      </w:r>
      <w:r>
        <w:t> Zealand</w:t>
      </w:r>
      <w:r w:rsidRPr="009869EF">
        <w:t xml:space="preserve"> Legislation, </w:t>
      </w:r>
      <w:r w:rsidRPr="009869EF">
        <w:rPr>
          <w:i/>
          <w:iCs/>
          <w:szCs w:val="16"/>
        </w:rPr>
        <w:t>Climate Change (Synthetic Greenhouse Levies) Regulations 2013</w:t>
      </w:r>
      <w:r w:rsidRPr="009869EF">
        <w:rPr>
          <w:szCs w:val="16"/>
        </w:rPr>
        <w:t>. Viewed at</w:t>
      </w:r>
      <w:r w:rsidRPr="009869EF">
        <w:t xml:space="preserve">: </w:t>
      </w:r>
      <w:hyperlink r:id="rId45" w:history="1">
        <w:r w:rsidRPr="009869EF">
          <w:rPr>
            <w:rStyle w:val="Hyperlink"/>
          </w:rPr>
          <w:t>http://www.legislation.govt.nz/regulation/public/2013/0046/latest/DLM5093414.html</w:t>
        </w:r>
      </w:hyperlink>
      <w:r w:rsidRPr="009869EF">
        <w:t>.</w:t>
      </w:r>
    </w:p>
  </w:footnote>
  <w:footnote w:id="150">
    <w:p w14:paraId="3E2A9EAC" w14:textId="77777777" w:rsidR="00120717" w:rsidRPr="009869EF" w:rsidRDefault="00120717" w:rsidP="00185006">
      <w:pPr>
        <w:pStyle w:val="FootnoteText"/>
      </w:pPr>
      <w:r w:rsidRPr="009869EF">
        <w:rPr>
          <w:rStyle w:val="FootnoteReference"/>
        </w:rPr>
        <w:footnoteRef/>
      </w:r>
      <w:r w:rsidRPr="009869EF">
        <w:t xml:space="preserve"> </w:t>
      </w:r>
      <w:r w:rsidRPr="009869EF">
        <w:rPr>
          <w:szCs w:val="16"/>
        </w:rPr>
        <w:t>Inland Revenue</w:t>
      </w:r>
      <w:r>
        <w:rPr>
          <w:szCs w:val="16"/>
        </w:rPr>
        <w:t>,</w:t>
      </w:r>
      <w:r w:rsidRPr="009869EF">
        <w:rPr>
          <w:szCs w:val="16"/>
        </w:rPr>
        <w:t xml:space="preserve"> </w:t>
      </w:r>
      <w:r>
        <w:rPr>
          <w:szCs w:val="16"/>
        </w:rPr>
        <w:t>T</w:t>
      </w:r>
      <w:r w:rsidRPr="009869EF">
        <w:rPr>
          <w:szCs w:val="16"/>
        </w:rPr>
        <w:t xml:space="preserve">ax </w:t>
      </w:r>
      <w:r>
        <w:rPr>
          <w:szCs w:val="16"/>
        </w:rPr>
        <w:t>P</w:t>
      </w:r>
      <w:r w:rsidRPr="009869EF">
        <w:rPr>
          <w:szCs w:val="16"/>
        </w:rPr>
        <w:t xml:space="preserve">olicy, </w:t>
      </w:r>
      <w:r w:rsidRPr="009869EF">
        <w:rPr>
          <w:i/>
          <w:iCs/>
          <w:szCs w:val="16"/>
        </w:rPr>
        <w:t>Publications</w:t>
      </w:r>
      <w:r w:rsidRPr="009869EF">
        <w:rPr>
          <w:szCs w:val="16"/>
        </w:rPr>
        <w:t xml:space="preserve">. Viewed at: </w:t>
      </w:r>
      <w:hyperlink r:id="rId46" w:anchor="sort=%40irsctpdate%20descending&amp;numberOfResults=25" w:history="1">
        <w:r w:rsidRPr="009869EF">
          <w:rPr>
            <w:rStyle w:val="Hyperlink"/>
            <w:szCs w:val="16"/>
          </w:rPr>
          <w:t>https://taxpolicy.ird.govt.nz/publications#sort=%40irsctpdate%20descending&amp;numberOfResults=25</w:t>
        </w:r>
      </w:hyperlink>
      <w:r w:rsidRPr="009869EF">
        <w:rPr>
          <w:szCs w:val="16"/>
        </w:rPr>
        <w:t>.</w:t>
      </w:r>
    </w:p>
  </w:footnote>
  <w:footnote w:id="151">
    <w:p w14:paraId="04160EF2" w14:textId="77777777" w:rsidR="00120717" w:rsidRPr="009869EF" w:rsidRDefault="00120717" w:rsidP="00185006">
      <w:pPr>
        <w:pStyle w:val="FootnoteText"/>
      </w:pPr>
      <w:r w:rsidRPr="009869EF">
        <w:rPr>
          <w:rStyle w:val="FootnoteReference"/>
        </w:rPr>
        <w:footnoteRef/>
      </w:r>
      <w:r w:rsidRPr="009869EF">
        <w:t xml:space="preserve"> NZCS, </w:t>
      </w:r>
      <w:r w:rsidRPr="009869EF">
        <w:rPr>
          <w:i/>
          <w:iCs/>
        </w:rPr>
        <w:t>Working Tariff Document</w:t>
      </w:r>
      <w:r w:rsidRPr="009869EF">
        <w:t xml:space="preserve">. Viewed at: </w:t>
      </w:r>
      <w:hyperlink r:id="rId47" w:history="1">
        <w:r w:rsidRPr="009869EF">
          <w:rPr>
            <w:rStyle w:val="Hyperlink"/>
          </w:rPr>
          <w:t>https://www.customs.govt.nz/business/tariffs/working-tariff-document/working-tariff-document/</w:t>
        </w:r>
      </w:hyperlink>
      <w:r w:rsidRPr="009869EF">
        <w:t>.</w:t>
      </w:r>
    </w:p>
  </w:footnote>
  <w:footnote w:id="152">
    <w:p w14:paraId="5D4800F3" w14:textId="77777777" w:rsidR="00120717" w:rsidRPr="009869EF" w:rsidRDefault="00120717" w:rsidP="00DC3ED2">
      <w:pPr>
        <w:pStyle w:val="FootnoteText"/>
      </w:pPr>
      <w:r w:rsidRPr="009869EF">
        <w:rPr>
          <w:rStyle w:val="FootnoteReference"/>
        </w:rPr>
        <w:footnoteRef/>
      </w:r>
      <w:r w:rsidRPr="009869EF">
        <w:t xml:space="preserve"> NZCS, </w:t>
      </w:r>
      <w:r w:rsidRPr="009869EF">
        <w:rPr>
          <w:i/>
          <w:iCs/>
        </w:rPr>
        <w:t xml:space="preserve">New Health Promotion Agency (HPA) Levy </w:t>
      </w:r>
      <w:r>
        <w:rPr>
          <w:i/>
          <w:iCs/>
        </w:rPr>
        <w:t>R</w:t>
      </w:r>
      <w:r w:rsidRPr="009869EF">
        <w:rPr>
          <w:i/>
          <w:iCs/>
        </w:rPr>
        <w:t xml:space="preserve">ates for </w:t>
      </w:r>
      <w:r>
        <w:rPr>
          <w:i/>
          <w:iCs/>
        </w:rPr>
        <w:t>A</w:t>
      </w:r>
      <w:r w:rsidRPr="009869EF">
        <w:rPr>
          <w:i/>
          <w:iCs/>
        </w:rPr>
        <w:t>lcohol from 1</w:t>
      </w:r>
      <w:r>
        <w:rPr>
          <w:i/>
          <w:iCs/>
        </w:rPr>
        <w:t> </w:t>
      </w:r>
      <w:r w:rsidRPr="009869EF">
        <w:rPr>
          <w:i/>
          <w:iCs/>
        </w:rPr>
        <w:t>July</w:t>
      </w:r>
      <w:r>
        <w:rPr>
          <w:i/>
          <w:iCs/>
        </w:rPr>
        <w:t> </w:t>
      </w:r>
      <w:r w:rsidRPr="009869EF">
        <w:rPr>
          <w:i/>
          <w:iCs/>
        </w:rPr>
        <w:t>2021</w:t>
      </w:r>
      <w:r w:rsidRPr="009869EF">
        <w:t xml:space="preserve">. Viewed at: </w:t>
      </w:r>
      <w:hyperlink r:id="rId48" w:history="1">
        <w:r w:rsidRPr="009869EF">
          <w:rPr>
            <w:rStyle w:val="Hyperlink"/>
          </w:rPr>
          <w:t>https://www.customs.govt.nz/about-us/news/important-notices/new-health-promotion-agency-hpa-levy-rates-for-alcohol-from-1-july-2021/</w:t>
        </w:r>
      </w:hyperlink>
      <w:r w:rsidRPr="009869EF">
        <w:t>.</w:t>
      </w:r>
    </w:p>
  </w:footnote>
  <w:footnote w:id="153">
    <w:p w14:paraId="2E595C78" w14:textId="77777777" w:rsidR="00120717" w:rsidRPr="009869EF" w:rsidRDefault="00120717" w:rsidP="00185006">
      <w:pPr>
        <w:pStyle w:val="FootnoteText"/>
      </w:pPr>
      <w:r w:rsidRPr="009869EF">
        <w:rPr>
          <w:rStyle w:val="FootnoteReference"/>
        </w:rPr>
        <w:footnoteRef/>
      </w:r>
      <w:r w:rsidRPr="009869EF">
        <w:t xml:space="preserve"> NZCS, </w:t>
      </w:r>
      <w:r w:rsidRPr="009869EF">
        <w:rPr>
          <w:i/>
          <w:iCs/>
        </w:rPr>
        <w:t xml:space="preserve">Import </w:t>
      </w:r>
      <w:r>
        <w:rPr>
          <w:i/>
          <w:iCs/>
        </w:rPr>
        <w:t>P</w:t>
      </w:r>
      <w:r w:rsidRPr="009869EF">
        <w:rPr>
          <w:i/>
          <w:iCs/>
        </w:rPr>
        <w:t xml:space="preserve">rohibitions and </w:t>
      </w:r>
      <w:r>
        <w:rPr>
          <w:i/>
          <w:iCs/>
        </w:rPr>
        <w:t>R</w:t>
      </w:r>
      <w:r w:rsidRPr="009869EF">
        <w:rPr>
          <w:i/>
          <w:iCs/>
        </w:rPr>
        <w:t>estrictions</w:t>
      </w:r>
      <w:r w:rsidRPr="009869EF">
        <w:t xml:space="preserve">. Viewed at: </w:t>
      </w:r>
      <w:hyperlink r:id="rId49" w:history="1">
        <w:r w:rsidRPr="009869EF">
          <w:rPr>
            <w:rStyle w:val="Hyperlink"/>
          </w:rPr>
          <w:t>https://www.customs.govt.nz/business/import/import-prohibited-and-restricted-imports/prohibitions-and-restrictions/</w:t>
        </w:r>
      </w:hyperlink>
      <w:r w:rsidRPr="009869EF">
        <w:t>.</w:t>
      </w:r>
    </w:p>
  </w:footnote>
  <w:footnote w:id="154">
    <w:p w14:paraId="353D3A8A" w14:textId="77777777" w:rsidR="00120717" w:rsidRPr="00201FFF" w:rsidRDefault="00120717" w:rsidP="00185006">
      <w:pPr>
        <w:pStyle w:val="FootnoteText"/>
        <w:rPr>
          <w:lang w:val="fr-CH"/>
        </w:rPr>
      </w:pPr>
      <w:r w:rsidRPr="009869EF">
        <w:rPr>
          <w:rStyle w:val="FootnoteReference"/>
        </w:rPr>
        <w:footnoteRef/>
      </w:r>
      <w:r w:rsidRPr="00201FFF">
        <w:rPr>
          <w:lang w:val="fr-CH"/>
        </w:rPr>
        <w:t xml:space="preserve"> WTO document G/MA/QR/N/NZL/2, 7 October 2014. </w:t>
      </w:r>
    </w:p>
  </w:footnote>
  <w:footnote w:id="155">
    <w:p w14:paraId="08FB9CE6" w14:textId="77777777" w:rsidR="00120717" w:rsidRPr="009869EF" w:rsidRDefault="00120717">
      <w:pPr>
        <w:pStyle w:val="FootnoteText"/>
      </w:pPr>
      <w:r w:rsidRPr="009869EF">
        <w:rPr>
          <w:rStyle w:val="FootnoteReference"/>
        </w:rPr>
        <w:footnoteRef/>
      </w:r>
      <w:r w:rsidRPr="009869EF">
        <w:t xml:space="preserve"> WTO document G/MA/QR/N/NZL/5, 25</w:t>
      </w:r>
      <w:r>
        <w:t> </w:t>
      </w:r>
      <w:r w:rsidRPr="009869EF">
        <w:t>March</w:t>
      </w:r>
      <w:r>
        <w:t> </w:t>
      </w:r>
      <w:r w:rsidRPr="009869EF">
        <w:t>2021.</w:t>
      </w:r>
    </w:p>
  </w:footnote>
  <w:footnote w:id="156">
    <w:p w14:paraId="37BED216" w14:textId="77777777" w:rsidR="00120717" w:rsidRPr="009869EF" w:rsidRDefault="00120717" w:rsidP="00185006">
      <w:pPr>
        <w:pStyle w:val="FootnoteText"/>
      </w:pPr>
      <w:r w:rsidRPr="009869EF">
        <w:rPr>
          <w:rStyle w:val="FootnoteReference"/>
        </w:rPr>
        <w:footnoteRef/>
      </w:r>
      <w:r w:rsidRPr="009869EF">
        <w:t xml:space="preserve"> </w:t>
      </w:r>
      <w:r w:rsidRPr="009869EF">
        <w:rPr>
          <w:szCs w:val="16"/>
        </w:rPr>
        <w:t>Parliamentary Counsel Office</w:t>
      </w:r>
      <w:r>
        <w:rPr>
          <w:szCs w:val="16"/>
        </w:rPr>
        <w:t>,</w:t>
      </w:r>
      <w:r w:rsidRPr="009869EF">
        <w:rPr>
          <w:szCs w:val="16"/>
        </w:rPr>
        <w:t xml:space="preserve"> New</w:t>
      </w:r>
      <w:r>
        <w:rPr>
          <w:szCs w:val="16"/>
        </w:rPr>
        <w:t> Zealand</w:t>
      </w:r>
      <w:r w:rsidRPr="009869EF">
        <w:rPr>
          <w:szCs w:val="16"/>
        </w:rPr>
        <w:t xml:space="preserve"> Legislation, </w:t>
      </w:r>
      <w:r w:rsidRPr="009869EF">
        <w:rPr>
          <w:i/>
          <w:iCs/>
          <w:szCs w:val="16"/>
        </w:rPr>
        <w:t>Trade (Anti-dumping and Countervailing Duties) Act 1988</w:t>
      </w:r>
      <w:r w:rsidRPr="009869EF">
        <w:rPr>
          <w:szCs w:val="16"/>
        </w:rPr>
        <w:t xml:space="preserve">. Viewed at: </w:t>
      </w:r>
      <w:hyperlink r:id="rId50" w:history="1">
        <w:r w:rsidRPr="009869EF">
          <w:rPr>
            <w:rStyle w:val="Hyperlink"/>
            <w:szCs w:val="16"/>
          </w:rPr>
          <w:t>https://www.legislation.govt.nz/act/public/1988/0158/latest/DLM137948.html</w:t>
        </w:r>
      </w:hyperlink>
      <w:r w:rsidRPr="009869EF">
        <w:rPr>
          <w:szCs w:val="16"/>
        </w:rPr>
        <w:t>.</w:t>
      </w:r>
    </w:p>
  </w:footnote>
  <w:footnote w:id="157">
    <w:p w14:paraId="2E8E681D" w14:textId="77777777" w:rsidR="00120717" w:rsidRPr="009869EF" w:rsidRDefault="00120717">
      <w:pPr>
        <w:pStyle w:val="FootnoteText"/>
      </w:pPr>
      <w:r w:rsidRPr="009869EF">
        <w:rPr>
          <w:rStyle w:val="FootnoteReference"/>
        </w:rPr>
        <w:footnoteRef/>
      </w:r>
      <w:r w:rsidRPr="009869EF">
        <w:t xml:space="preserve"> MBIE, </w:t>
      </w:r>
      <w:r w:rsidRPr="009869EF">
        <w:rPr>
          <w:i/>
          <w:iCs/>
        </w:rPr>
        <w:t xml:space="preserve">Trade </w:t>
      </w:r>
      <w:r>
        <w:rPr>
          <w:i/>
          <w:iCs/>
        </w:rPr>
        <w:t>R</w:t>
      </w:r>
      <w:r w:rsidRPr="009869EF">
        <w:rPr>
          <w:i/>
          <w:iCs/>
        </w:rPr>
        <w:t xml:space="preserve">emedy </w:t>
      </w:r>
      <w:r>
        <w:rPr>
          <w:i/>
          <w:iCs/>
        </w:rPr>
        <w:t>I</w:t>
      </w:r>
      <w:r w:rsidRPr="009869EF">
        <w:rPr>
          <w:i/>
          <w:iCs/>
        </w:rPr>
        <w:t>nvestigations</w:t>
      </w:r>
      <w:r w:rsidRPr="009869EF">
        <w:t>. Viewed at:</w:t>
      </w:r>
      <w:r>
        <w:t xml:space="preserve"> </w:t>
      </w:r>
      <w:hyperlink r:id="rId51" w:history="1">
        <w:r w:rsidRPr="00014EA0">
          <w:rPr>
            <w:rStyle w:val="Hyperlink"/>
          </w:rPr>
          <w:t>https://www.mbie.govt.nz/business-and-employment/business/trade-and-tariffs/trade-remedies/trade-remedy-investigations/</w:t>
        </w:r>
      </w:hyperlink>
      <w:r w:rsidRPr="009869EF">
        <w:rPr>
          <w:szCs w:val="16"/>
        </w:rPr>
        <w:t>.</w:t>
      </w:r>
    </w:p>
  </w:footnote>
  <w:footnote w:id="158">
    <w:p w14:paraId="283CFD60" w14:textId="77777777" w:rsidR="00120717" w:rsidRPr="009869EF" w:rsidRDefault="00120717" w:rsidP="00185006">
      <w:pPr>
        <w:pStyle w:val="FootnoteText"/>
      </w:pPr>
      <w:r w:rsidRPr="009869EF">
        <w:rPr>
          <w:rStyle w:val="FootnoteReference"/>
        </w:rPr>
        <w:footnoteRef/>
      </w:r>
      <w:r w:rsidRPr="009869EF">
        <w:t xml:space="preserve"> See WTO documents G/SCM/N/313/NZL, 1</w:t>
      </w:r>
      <w:r>
        <w:t> </w:t>
      </w:r>
      <w:r w:rsidRPr="009869EF">
        <w:t>March</w:t>
      </w:r>
      <w:r>
        <w:t> </w:t>
      </w:r>
      <w:r w:rsidRPr="009869EF">
        <w:t>2017; G/SCM/N/334/NZL, 13</w:t>
      </w:r>
      <w:r>
        <w:t> </w:t>
      </w:r>
      <w:r w:rsidRPr="009869EF">
        <w:t>September</w:t>
      </w:r>
      <w:r>
        <w:t> </w:t>
      </w:r>
      <w:r w:rsidRPr="009869EF">
        <w:t>2018; G/SCM/N/342/NZL, 26</w:t>
      </w:r>
      <w:r>
        <w:t> </w:t>
      </w:r>
      <w:r w:rsidRPr="009869EF">
        <w:t>March</w:t>
      </w:r>
      <w:r>
        <w:t> </w:t>
      </w:r>
      <w:r w:rsidRPr="009869EF">
        <w:t>2019; and G/SCM/N/349/NZL, 16</w:t>
      </w:r>
      <w:r>
        <w:t> </w:t>
      </w:r>
      <w:r w:rsidRPr="009869EF">
        <w:t>October</w:t>
      </w:r>
      <w:r>
        <w:t> </w:t>
      </w:r>
      <w:r w:rsidRPr="009869EF">
        <w:t>2019.</w:t>
      </w:r>
    </w:p>
  </w:footnote>
  <w:footnote w:id="159">
    <w:p w14:paraId="46D10160" w14:textId="77777777" w:rsidR="00120717" w:rsidRPr="009869EF" w:rsidRDefault="00120717" w:rsidP="00185006">
      <w:pPr>
        <w:pStyle w:val="FootnoteText"/>
      </w:pPr>
      <w:r w:rsidRPr="009869EF">
        <w:rPr>
          <w:rStyle w:val="FootnoteReference"/>
        </w:rPr>
        <w:footnoteRef/>
      </w:r>
      <w:r w:rsidRPr="009869EF">
        <w:t xml:space="preserve"> </w:t>
      </w:r>
      <w:r w:rsidRPr="009869EF">
        <w:rPr>
          <w:bCs/>
          <w:szCs w:val="16"/>
        </w:rPr>
        <w:t>Information regarding export clearance and preferences under New</w:t>
      </w:r>
      <w:r>
        <w:rPr>
          <w:bCs/>
          <w:szCs w:val="16"/>
        </w:rPr>
        <w:t> Zealand</w:t>
      </w:r>
      <w:r w:rsidRPr="009869EF">
        <w:rPr>
          <w:bCs/>
          <w:szCs w:val="16"/>
        </w:rPr>
        <w:t xml:space="preserve">'s free trade agreements is available at: </w:t>
      </w:r>
      <w:hyperlink r:id="rId52" w:history="1">
        <w:r w:rsidRPr="009869EF">
          <w:rPr>
            <w:rStyle w:val="Hyperlink"/>
            <w:bCs/>
            <w:szCs w:val="16"/>
          </w:rPr>
          <w:t>https://www.customs.govt.nz/search/?query=export+clearance</w:t>
        </w:r>
      </w:hyperlink>
      <w:r w:rsidRPr="009869EF">
        <w:t>.</w:t>
      </w:r>
    </w:p>
  </w:footnote>
  <w:footnote w:id="160">
    <w:p w14:paraId="5B2E8DE0" w14:textId="77777777" w:rsidR="00120717" w:rsidRPr="009869EF" w:rsidRDefault="00120717" w:rsidP="00185006">
      <w:pPr>
        <w:pStyle w:val="FootnoteText"/>
      </w:pPr>
      <w:r w:rsidRPr="009869EF">
        <w:rPr>
          <w:rStyle w:val="FootnoteReference"/>
        </w:rPr>
        <w:footnoteRef/>
      </w:r>
      <w:r w:rsidRPr="009869EF">
        <w:t xml:space="preserve"> World Bank (2020), </w:t>
      </w:r>
      <w:r w:rsidRPr="009869EF">
        <w:rPr>
          <w:i/>
          <w:iCs/>
        </w:rPr>
        <w:t>Doing Business 2020, Economy Profile</w:t>
      </w:r>
      <w:r w:rsidRPr="009869EF">
        <w:t xml:space="preserve">. Viewed at: </w:t>
      </w:r>
      <w:hyperlink r:id="rId53" w:history="1">
        <w:r w:rsidRPr="009869EF">
          <w:rPr>
            <w:rStyle w:val="Hyperlink"/>
          </w:rPr>
          <w:t>https://www.doingbusiness.org/content/dam/doingBusiness/country/n/new-zealand/NZL.pdf</w:t>
        </w:r>
      </w:hyperlink>
      <w:r w:rsidRPr="009869EF">
        <w:t>.</w:t>
      </w:r>
    </w:p>
  </w:footnote>
  <w:footnote w:id="161">
    <w:p w14:paraId="2405A796" w14:textId="77777777" w:rsidR="00120717" w:rsidRPr="009869EF" w:rsidRDefault="00120717" w:rsidP="00185006">
      <w:pPr>
        <w:pStyle w:val="FootnoteText"/>
      </w:pPr>
      <w:r w:rsidRPr="009869EF">
        <w:rPr>
          <w:rStyle w:val="FootnoteReference"/>
        </w:rPr>
        <w:footnoteRef/>
      </w:r>
      <w:r w:rsidRPr="009869EF">
        <w:t xml:space="preserve"> NZCS, </w:t>
      </w:r>
      <w:r w:rsidRPr="009869EF">
        <w:rPr>
          <w:i/>
          <w:iCs/>
        </w:rPr>
        <w:t xml:space="preserve">Export </w:t>
      </w:r>
      <w:r>
        <w:rPr>
          <w:i/>
          <w:iCs/>
        </w:rPr>
        <w:t>P</w:t>
      </w:r>
      <w:r w:rsidRPr="009869EF">
        <w:rPr>
          <w:i/>
          <w:iCs/>
        </w:rPr>
        <w:t xml:space="preserve">rohibitions and </w:t>
      </w:r>
      <w:r>
        <w:rPr>
          <w:i/>
          <w:iCs/>
        </w:rPr>
        <w:t>R</w:t>
      </w:r>
      <w:r w:rsidRPr="009869EF">
        <w:rPr>
          <w:i/>
          <w:iCs/>
        </w:rPr>
        <w:t>estrictions</w:t>
      </w:r>
      <w:r w:rsidRPr="009869EF">
        <w:t xml:space="preserve">. Viewed at: </w:t>
      </w:r>
      <w:hyperlink r:id="rId54" w:history="1">
        <w:r w:rsidRPr="009869EF">
          <w:rPr>
            <w:rStyle w:val="Hyperlink"/>
          </w:rPr>
          <w:t>https://www.customs.govt.nz/business/export/export-prohibitions-and-restrictions</w:t>
        </w:r>
      </w:hyperlink>
      <w:r w:rsidRPr="009869EF">
        <w:t>.</w:t>
      </w:r>
    </w:p>
  </w:footnote>
  <w:footnote w:id="162">
    <w:p w14:paraId="07FAFDD6" w14:textId="77777777" w:rsidR="00120717" w:rsidRPr="009869EF" w:rsidRDefault="00120717" w:rsidP="00185006">
      <w:pPr>
        <w:pStyle w:val="FootnoteText"/>
      </w:pPr>
      <w:r w:rsidRPr="009869EF">
        <w:rPr>
          <w:rStyle w:val="FootnoteReference"/>
        </w:rPr>
        <w:footnoteRef/>
      </w:r>
      <w:r w:rsidRPr="009869EF">
        <w:t xml:space="preserve"> </w:t>
      </w:r>
      <w:r w:rsidRPr="009869EF">
        <w:rPr>
          <w:szCs w:val="16"/>
          <w:lang w:eastAsia="en-NZ"/>
        </w:rPr>
        <w:t>Goods and Services Tax Act 1985, S</w:t>
      </w:r>
      <w:r w:rsidRPr="009869EF">
        <w:rPr>
          <w:szCs w:val="16"/>
        </w:rPr>
        <w:t xml:space="preserve">ection 12: Imposition of goods and services tax on imports. </w:t>
      </w:r>
      <w:r w:rsidRPr="009869EF">
        <w:rPr>
          <w:szCs w:val="16"/>
          <w:lang w:eastAsia="en-NZ"/>
        </w:rPr>
        <w:t>Customs and Excise Act 2018: Subpart 6: Section 107-108 Excise Duty and excise-equivalent credits; Subpart 7 - Assessment, payment and recovery of Duty: Section 142-150 Refunds, Remissions and Drawback</w:t>
      </w:r>
      <w:r>
        <w:rPr>
          <w:szCs w:val="16"/>
          <w:lang w:eastAsia="en-NZ"/>
        </w:rPr>
        <w:t xml:space="preserve"> </w:t>
      </w:r>
      <w:r w:rsidRPr="009869EF">
        <w:rPr>
          <w:szCs w:val="16"/>
          <w:lang w:eastAsia="en-NZ"/>
        </w:rPr>
        <w:t xml:space="preserve">of duty; Subpart 8 - </w:t>
      </w:r>
      <w:r w:rsidRPr="009869EF">
        <w:rPr>
          <w:szCs w:val="16"/>
        </w:rPr>
        <w:t>Interest and penalties for late or incorrect payments of duty, incorrect refunds</w:t>
      </w:r>
      <w:r>
        <w:rPr>
          <w:szCs w:val="16"/>
        </w:rPr>
        <w:t> </w:t>
      </w:r>
      <w:r w:rsidRPr="009869EF">
        <w:rPr>
          <w:szCs w:val="16"/>
        </w:rPr>
        <w:t>of duty, and drawback incorrectly allowed: S</w:t>
      </w:r>
      <w:r w:rsidRPr="009869EF">
        <w:rPr>
          <w:szCs w:val="16"/>
          <w:lang w:eastAsia="en-NZ"/>
        </w:rPr>
        <w:t>ection 165-173 Remission and Refunds of interest and penalties.</w:t>
      </w:r>
    </w:p>
  </w:footnote>
  <w:footnote w:id="163">
    <w:p w14:paraId="42E8B423" w14:textId="77777777" w:rsidR="00120717" w:rsidRPr="00DD2D2F" w:rsidRDefault="00120717" w:rsidP="00DD2D2F">
      <w:pPr>
        <w:pStyle w:val="FootnoteText"/>
      </w:pPr>
      <w:r w:rsidRPr="009869EF">
        <w:rPr>
          <w:rStyle w:val="FootnoteReference"/>
        </w:rPr>
        <w:footnoteRef/>
      </w:r>
      <w:r w:rsidRPr="009869EF">
        <w:t xml:space="preserve"> </w:t>
      </w:r>
      <w:r>
        <w:t>The Treasury</w:t>
      </w:r>
      <w:r w:rsidRPr="009869EF">
        <w:t xml:space="preserve">, </w:t>
      </w:r>
      <w:r w:rsidRPr="009869EF">
        <w:rPr>
          <w:i/>
          <w:iCs/>
        </w:rPr>
        <w:t xml:space="preserve">NZECO in </w:t>
      </w:r>
      <w:r>
        <w:rPr>
          <w:i/>
          <w:iCs/>
        </w:rPr>
        <w:t>T</w:t>
      </w:r>
      <w:r w:rsidRPr="009869EF">
        <w:rPr>
          <w:i/>
          <w:iCs/>
        </w:rPr>
        <w:t xml:space="preserve">wo </w:t>
      </w:r>
      <w:r>
        <w:rPr>
          <w:i/>
          <w:iCs/>
        </w:rPr>
        <w:t>M</w:t>
      </w:r>
      <w:r w:rsidRPr="009869EF">
        <w:rPr>
          <w:i/>
          <w:iCs/>
        </w:rPr>
        <w:t>inutes</w:t>
      </w:r>
      <w:r w:rsidRPr="009869EF">
        <w:t xml:space="preserve">. Viewed at: </w:t>
      </w:r>
      <w:hyperlink r:id="rId55" w:history="1">
        <w:r>
          <w:rPr>
            <w:rStyle w:val="Hyperlink"/>
          </w:rPr>
          <w:t>https://exportcredit.treasury.govt.nz/about-us/nzec-two-minutes</w:t>
        </w:r>
      </w:hyperlink>
      <w:r w:rsidRPr="009869EF">
        <w:t>.</w:t>
      </w:r>
    </w:p>
  </w:footnote>
  <w:footnote w:id="164">
    <w:p w14:paraId="745381CC" w14:textId="77777777" w:rsidR="00120717" w:rsidRPr="009869EF" w:rsidRDefault="00120717" w:rsidP="00B52DB3">
      <w:pPr>
        <w:pStyle w:val="FootnoteText"/>
      </w:pPr>
      <w:r w:rsidRPr="009869EF">
        <w:rPr>
          <w:rStyle w:val="FootnoteReference"/>
        </w:rPr>
        <w:footnoteRef/>
      </w:r>
      <w:r w:rsidRPr="009869EF">
        <w:t xml:space="preserve"> </w:t>
      </w:r>
      <w:r>
        <w:t>The Treasury</w:t>
      </w:r>
      <w:r w:rsidRPr="009869EF">
        <w:t xml:space="preserve">, </w:t>
      </w:r>
      <w:r w:rsidRPr="009869EF">
        <w:rPr>
          <w:i/>
          <w:iCs/>
        </w:rPr>
        <w:t xml:space="preserve">NZECO in </w:t>
      </w:r>
      <w:r>
        <w:rPr>
          <w:i/>
          <w:iCs/>
        </w:rPr>
        <w:t>T</w:t>
      </w:r>
      <w:r w:rsidRPr="009869EF">
        <w:rPr>
          <w:i/>
          <w:iCs/>
        </w:rPr>
        <w:t xml:space="preserve">wo </w:t>
      </w:r>
      <w:r>
        <w:rPr>
          <w:i/>
          <w:iCs/>
        </w:rPr>
        <w:t>M</w:t>
      </w:r>
      <w:r w:rsidRPr="009869EF">
        <w:rPr>
          <w:i/>
          <w:iCs/>
        </w:rPr>
        <w:t>inutes</w:t>
      </w:r>
      <w:r w:rsidRPr="009869EF">
        <w:t xml:space="preserve">. Viewed at: </w:t>
      </w:r>
      <w:hyperlink r:id="rId56" w:history="1">
        <w:r>
          <w:rPr>
            <w:rStyle w:val="Hyperlink"/>
          </w:rPr>
          <w:t>https://exportcredit.treasury.govt.nz/about-us/nzec-two-minutes</w:t>
        </w:r>
      </w:hyperlink>
      <w:r w:rsidRPr="009869EF">
        <w:t>.</w:t>
      </w:r>
    </w:p>
  </w:footnote>
  <w:footnote w:id="165">
    <w:p w14:paraId="298922B7" w14:textId="77777777" w:rsidR="00120717" w:rsidRPr="009869EF" w:rsidRDefault="00120717" w:rsidP="00185006">
      <w:pPr>
        <w:pStyle w:val="FootnoteText"/>
      </w:pPr>
      <w:r w:rsidRPr="009869EF">
        <w:rPr>
          <w:rStyle w:val="FootnoteReference"/>
        </w:rPr>
        <w:footnoteRef/>
      </w:r>
      <w:r w:rsidRPr="009869EF">
        <w:t xml:space="preserve"> </w:t>
      </w:r>
      <w:bookmarkStart w:id="134" w:name="_Hlk93648901"/>
      <w:r w:rsidRPr="009869EF">
        <w:t xml:space="preserve">Callaghan Innovation. Viewed at: </w:t>
      </w:r>
      <w:bookmarkEnd w:id="134"/>
      <w:r w:rsidRPr="009869EF">
        <w:fldChar w:fldCharType="begin"/>
      </w:r>
      <w:r w:rsidRPr="009869EF">
        <w:instrText xml:space="preserve"> HYPERLINK "https://aus01.safelinks.protection.outlook.com/?url=https%3A%2F%2Fwww.rd.callaghaninnovation.govt.nz%2F&amp;data=04%7C01%7CSeona.Ku%40mbie.govt.nz%7Cab0a0082b8b54320bea008d93b77190a%7C78b2bd11e42b47eab0112e04c3af5ec1%7C0%7C0%7C637606204966338313%7CUnknown%7CTWFpbGZsb3d8eyJWIjoiMC4wLjAwMDAiLCJQIjoiV2luMzIiLCJBTiI6Ik1haWwiLCJXVCI6Mn0%3D%7C1000&amp;sdata=4O3EJh9DgQLkUfZ6R9ozhNz9KyKUmqGhktZPo2KvAgQ%3D&amp;reserved=0" </w:instrText>
      </w:r>
      <w:r w:rsidRPr="009869EF">
        <w:fldChar w:fldCharType="separate"/>
      </w:r>
      <w:r w:rsidRPr="009869EF">
        <w:rPr>
          <w:rStyle w:val="Hyperlink"/>
          <w:szCs w:val="20"/>
        </w:rPr>
        <w:t>https://www.rd.callaghaninnovation.govt.nz/</w:t>
      </w:r>
      <w:r w:rsidRPr="009869EF">
        <w:rPr>
          <w:rStyle w:val="Hyperlink"/>
          <w:szCs w:val="20"/>
        </w:rPr>
        <w:fldChar w:fldCharType="end"/>
      </w:r>
      <w:r w:rsidRPr="009869EF">
        <w:t>.</w:t>
      </w:r>
    </w:p>
  </w:footnote>
  <w:footnote w:id="166">
    <w:p w14:paraId="0D058892" w14:textId="77777777" w:rsidR="00120717" w:rsidRPr="009869EF" w:rsidRDefault="00120717">
      <w:pPr>
        <w:pStyle w:val="FootnoteText"/>
      </w:pPr>
      <w:r w:rsidRPr="009869EF">
        <w:rPr>
          <w:rStyle w:val="FootnoteReference"/>
        </w:rPr>
        <w:footnoteRef/>
      </w:r>
      <w:r w:rsidRPr="009869EF">
        <w:t xml:space="preserve"> Callaghan Innovation</w:t>
      </w:r>
      <w:r>
        <w:t xml:space="preserve">, </w:t>
      </w:r>
      <w:r w:rsidRPr="00363954">
        <w:rPr>
          <w:i/>
          <w:iCs/>
        </w:rPr>
        <w:t>Innovation Skills</w:t>
      </w:r>
      <w:r w:rsidRPr="009869EF">
        <w:t xml:space="preserve">. Viewed at: </w:t>
      </w:r>
      <w:hyperlink r:id="rId57" w:history="1">
        <w:r w:rsidRPr="009869EF">
          <w:rPr>
            <w:rStyle w:val="Hyperlink"/>
          </w:rPr>
          <w:t>https://www.callaghaninnovation.govt.nz/innovation-skills</w:t>
        </w:r>
      </w:hyperlink>
      <w:r w:rsidRPr="009869EF">
        <w:t>.</w:t>
      </w:r>
    </w:p>
  </w:footnote>
  <w:footnote w:id="167">
    <w:p w14:paraId="28550475" w14:textId="77777777" w:rsidR="00120717" w:rsidRPr="009869EF" w:rsidRDefault="00120717" w:rsidP="00185006">
      <w:pPr>
        <w:pStyle w:val="FootnoteText"/>
      </w:pPr>
      <w:r w:rsidRPr="009869EF">
        <w:rPr>
          <w:rStyle w:val="FootnoteReference"/>
        </w:rPr>
        <w:footnoteRef/>
      </w:r>
      <w:r w:rsidRPr="009869EF">
        <w:t xml:space="preserve"> NZTE, </w:t>
      </w:r>
      <w:r w:rsidRPr="009869EF">
        <w:rPr>
          <w:i/>
          <w:iCs/>
        </w:rPr>
        <w:t>Exporting with NZTE</w:t>
      </w:r>
      <w:r w:rsidRPr="009869EF">
        <w:t xml:space="preserve">. Viewed at: </w:t>
      </w:r>
      <w:hyperlink r:id="rId58" w:history="1">
        <w:r w:rsidRPr="00057B0B">
          <w:rPr>
            <w:rStyle w:val="Hyperlink"/>
          </w:rPr>
          <w:t>https://www.nzte.govt.nz/page/exporting-with-nzte</w:t>
        </w:r>
      </w:hyperlink>
      <w:r w:rsidRPr="009869EF">
        <w:t>.</w:t>
      </w:r>
    </w:p>
  </w:footnote>
  <w:footnote w:id="168">
    <w:p w14:paraId="6098D7EA" w14:textId="77777777" w:rsidR="00120717" w:rsidRPr="009869EF" w:rsidRDefault="00120717" w:rsidP="00185006">
      <w:pPr>
        <w:pStyle w:val="FootnoteText"/>
      </w:pPr>
      <w:r w:rsidRPr="009869EF">
        <w:rPr>
          <w:rStyle w:val="FootnoteReference"/>
        </w:rPr>
        <w:footnoteRef/>
      </w:r>
      <w:r w:rsidRPr="009869EF">
        <w:t xml:space="preserve"> WTO document G/SCM/N/372/NZL, 30</w:t>
      </w:r>
      <w:r>
        <w:t> </w:t>
      </w:r>
      <w:r w:rsidRPr="009869EF">
        <w:t>June</w:t>
      </w:r>
      <w:r>
        <w:t> </w:t>
      </w:r>
      <w:r w:rsidRPr="009869EF">
        <w:t>2021.</w:t>
      </w:r>
    </w:p>
  </w:footnote>
  <w:footnote w:id="169">
    <w:p w14:paraId="62A01CEC" w14:textId="77777777" w:rsidR="00120717" w:rsidRPr="009869EF" w:rsidRDefault="00120717" w:rsidP="00185006">
      <w:pPr>
        <w:pStyle w:val="FootnoteText"/>
      </w:pPr>
      <w:r w:rsidRPr="009869EF">
        <w:rPr>
          <w:rStyle w:val="FootnoteReference"/>
        </w:rPr>
        <w:footnoteRef/>
      </w:r>
      <w:r w:rsidRPr="009869EF">
        <w:t xml:space="preserve"> The last year for new applications was 2017/18. Ministry for Primary Industries, </w:t>
      </w:r>
      <w:r w:rsidRPr="009869EF">
        <w:rPr>
          <w:i/>
          <w:iCs/>
        </w:rPr>
        <w:t>Primary Growth Partnership (PGP)</w:t>
      </w:r>
      <w:r w:rsidRPr="009869EF">
        <w:t xml:space="preserve">. Viewed at: </w:t>
      </w:r>
      <w:hyperlink r:id="rId59" w:history="1">
        <w:r w:rsidRPr="009869EF">
          <w:rPr>
            <w:rStyle w:val="Hyperlink"/>
          </w:rPr>
          <w:t>https://www.mpi.govt.nz/funding-rural-support/primary-growth-partnerships-pgps/</w:t>
        </w:r>
      </w:hyperlink>
      <w:r w:rsidRPr="009869EF">
        <w:t>.</w:t>
      </w:r>
    </w:p>
  </w:footnote>
  <w:footnote w:id="170">
    <w:p w14:paraId="33827FAC" w14:textId="77777777" w:rsidR="00120717" w:rsidRPr="009869EF" w:rsidRDefault="00120717" w:rsidP="00185006">
      <w:pPr>
        <w:pStyle w:val="FootnoteText"/>
      </w:pPr>
      <w:r w:rsidRPr="009869EF">
        <w:rPr>
          <w:rStyle w:val="FootnoteReference"/>
        </w:rPr>
        <w:footnoteRef/>
      </w:r>
      <w:r w:rsidRPr="009869EF">
        <w:t xml:space="preserve"> WTO document G/SCM/N/372/NZL, 30</w:t>
      </w:r>
      <w:r>
        <w:t> </w:t>
      </w:r>
      <w:r w:rsidRPr="009869EF">
        <w:t>June</w:t>
      </w:r>
      <w:r>
        <w:t> </w:t>
      </w:r>
      <w:r w:rsidRPr="009869EF">
        <w:t>2021.</w:t>
      </w:r>
    </w:p>
  </w:footnote>
  <w:footnote w:id="171">
    <w:p w14:paraId="3068BF94" w14:textId="77777777" w:rsidR="00120717" w:rsidRPr="009869EF" w:rsidRDefault="00120717" w:rsidP="00185006">
      <w:pPr>
        <w:pStyle w:val="FootnoteText"/>
      </w:pPr>
      <w:r w:rsidRPr="009869EF">
        <w:rPr>
          <w:rStyle w:val="FootnoteReference"/>
        </w:rPr>
        <w:footnoteRef/>
      </w:r>
      <w:r w:rsidRPr="009869EF">
        <w:t xml:space="preserve"> </w:t>
      </w:r>
      <w:r>
        <w:t xml:space="preserve">That is, </w:t>
      </w:r>
      <w:r w:rsidRPr="009869EF">
        <w:t>Regional Council</w:t>
      </w:r>
      <w:r>
        <w:t>s</w:t>
      </w:r>
      <w:r w:rsidRPr="009869EF">
        <w:t>, District Council</w:t>
      </w:r>
      <w:r>
        <w:t>s</w:t>
      </w:r>
      <w:r w:rsidRPr="009869EF">
        <w:t xml:space="preserve">, </w:t>
      </w:r>
      <w:r>
        <w:t xml:space="preserve">and </w:t>
      </w:r>
      <w:r w:rsidRPr="009869EF">
        <w:t>Unitary Authorities.</w:t>
      </w:r>
    </w:p>
  </w:footnote>
  <w:footnote w:id="172">
    <w:p w14:paraId="3D8A5F4A" w14:textId="77777777" w:rsidR="00120717" w:rsidRPr="009869EF" w:rsidRDefault="00120717" w:rsidP="00323B40">
      <w:pPr>
        <w:pStyle w:val="FootnoteText"/>
      </w:pPr>
      <w:r w:rsidRPr="009869EF">
        <w:rPr>
          <w:rStyle w:val="FootnoteReference"/>
        </w:rPr>
        <w:footnoteRef/>
      </w:r>
      <w:r w:rsidRPr="009869EF">
        <w:t xml:space="preserve"> Standards and Accreditation Act 2015, 20</w:t>
      </w:r>
      <w:r>
        <w:t> </w:t>
      </w:r>
      <w:r w:rsidRPr="009869EF">
        <w:t>October</w:t>
      </w:r>
      <w:r>
        <w:t> </w:t>
      </w:r>
      <w:r w:rsidRPr="009869EF">
        <w:t>2015.</w:t>
      </w:r>
    </w:p>
  </w:footnote>
  <w:footnote w:id="173">
    <w:p w14:paraId="00768183" w14:textId="77777777" w:rsidR="00120717" w:rsidRPr="009869EF" w:rsidRDefault="00120717" w:rsidP="00323B40">
      <w:pPr>
        <w:pStyle w:val="FootnoteText"/>
      </w:pPr>
      <w:r w:rsidRPr="009869EF">
        <w:rPr>
          <w:rStyle w:val="FootnoteReference"/>
        </w:rPr>
        <w:footnoteRef/>
      </w:r>
      <w:r w:rsidRPr="009869EF">
        <w:t xml:space="preserve"> Standards and Accreditation Act 2015, Articles 7, 10</w:t>
      </w:r>
      <w:r>
        <w:t>,</w:t>
      </w:r>
      <w:r w:rsidRPr="009869EF">
        <w:t xml:space="preserve"> and 15.</w:t>
      </w:r>
      <w:r w:rsidRPr="009869EF">
        <w:rPr>
          <w:color w:val="FF0000"/>
        </w:rPr>
        <w:t xml:space="preserve"> </w:t>
      </w:r>
    </w:p>
  </w:footnote>
  <w:footnote w:id="174">
    <w:p w14:paraId="5D533A15" w14:textId="77777777" w:rsidR="00120717" w:rsidRPr="009869EF" w:rsidRDefault="00120717" w:rsidP="00323B40">
      <w:pPr>
        <w:pStyle w:val="FootnoteText"/>
      </w:pPr>
      <w:r w:rsidRPr="009869EF">
        <w:rPr>
          <w:rStyle w:val="FootnoteReference"/>
        </w:rPr>
        <w:footnoteRef/>
      </w:r>
      <w:r w:rsidRPr="009869EF">
        <w:t xml:space="preserve"> Standards and Accreditation Act 2015, Articles 11 and 12.</w:t>
      </w:r>
    </w:p>
  </w:footnote>
  <w:footnote w:id="175">
    <w:p w14:paraId="5CE81A02" w14:textId="77777777" w:rsidR="00120717" w:rsidRPr="009869EF" w:rsidRDefault="00120717" w:rsidP="00323B40">
      <w:pPr>
        <w:pStyle w:val="FootnoteText"/>
      </w:pPr>
      <w:r w:rsidRPr="009869EF">
        <w:rPr>
          <w:rStyle w:val="FootnoteReference"/>
        </w:rPr>
        <w:footnoteRef/>
      </w:r>
      <w:r w:rsidRPr="009869EF">
        <w:t xml:space="preserve"> Standards and Accreditation Act 2015, Article</w:t>
      </w:r>
      <w:r>
        <w:t> </w:t>
      </w:r>
      <w:r w:rsidRPr="009869EF">
        <w:t>10</w:t>
      </w:r>
      <w:r>
        <w:t>;</w:t>
      </w:r>
      <w:r w:rsidRPr="009869EF">
        <w:t xml:space="preserve"> and Standards Act 1988, Article</w:t>
      </w:r>
      <w:r>
        <w:t> </w:t>
      </w:r>
      <w:r w:rsidRPr="009869EF">
        <w:t>10.</w:t>
      </w:r>
    </w:p>
  </w:footnote>
  <w:footnote w:id="176">
    <w:p w14:paraId="4F3AB6FC" w14:textId="77777777" w:rsidR="00120717" w:rsidRPr="009869EF" w:rsidRDefault="00120717" w:rsidP="00201FFF">
      <w:pPr>
        <w:pStyle w:val="FootnoteText"/>
      </w:pPr>
      <w:r w:rsidRPr="009869EF">
        <w:rPr>
          <w:rStyle w:val="FootnoteReference"/>
        </w:rPr>
        <w:footnoteRef/>
      </w:r>
      <w:r w:rsidRPr="009869EF">
        <w:t xml:space="preserve"> WTO </w:t>
      </w:r>
      <w:r>
        <w:t>d</w:t>
      </w:r>
      <w:r w:rsidRPr="009869EF">
        <w:t>ocument WT/TPR/S/316</w:t>
      </w:r>
      <w:r>
        <w:t>/Rev.1,</w:t>
      </w:r>
      <w:r w:rsidRPr="009869EF">
        <w:t xml:space="preserve"> </w:t>
      </w:r>
      <w:r>
        <w:t>12 October </w:t>
      </w:r>
      <w:r w:rsidRPr="009869EF">
        <w:t>2015.</w:t>
      </w:r>
    </w:p>
  </w:footnote>
  <w:footnote w:id="177">
    <w:p w14:paraId="1A8ACFD8" w14:textId="77777777" w:rsidR="00120717" w:rsidRPr="009869EF" w:rsidRDefault="00120717" w:rsidP="00201FFF">
      <w:pPr>
        <w:pStyle w:val="FootnoteText"/>
      </w:pPr>
      <w:r w:rsidRPr="009869EF">
        <w:rPr>
          <w:rStyle w:val="FootnoteReference"/>
        </w:rPr>
        <w:footnoteRef/>
      </w:r>
      <w:r w:rsidRPr="009869EF">
        <w:t xml:space="preserve"> </w:t>
      </w:r>
      <w:r>
        <w:t xml:space="preserve">Regarding the withdrawal </w:t>
      </w:r>
      <w:r w:rsidRPr="001607A5">
        <w:t>of older standards</w:t>
      </w:r>
      <w:r>
        <w:t xml:space="preserve">, </w:t>
      </w:r>
      <w:r w:rsidRPr="001607A5">
        <w:t>the authorities</w:t>
      </w:r>
      <w:r>
        <w:t xml:space="preserve"> indicate that </w:t>
      </w:r>
      <w:r w:rsidRPr="001607A5">
        <w:t xml:space="preserve">they encourage taking </w:t>
      </w:r>
      <w:r>
        <w:t xml:space="preserve">up </w:t>
      </w:r>
      <w:r w:rsidRPr="001607A5">
        <w:t>existing standards, where possible.</w:t>
      </w:r>
    </w:p>
  </w:footnote>
  <w:footnote w:id="178">
    <w:p w14:paraId="5A545354" w14:textId="77777777" w:rsidR="00120717" w:rsidRPr="009869EF" w:rsidRDefault="00120717" w:rsidP="00323B40">
      <w:pPr>
        <w:pStyle w:val="FootnoteText"/>
      </w:pPr>
      <w:r w:rsidRPr="009869EF">
        <w:rPr>
          <w:rStyle w:val="FootnoteReference"/>
        </w:rPr>
        <w:footnoteRef/>
      </w:r>
      <w:r w:rsidRPr="009869EF">
        <w:t xml:space="preserve"> The authorities further indicate that this review process does not imply that standards that are </w:t>
      </w:r>
      <w:r>
        <w:t xml:space="preserve">at least </w:t>
      </w:r>
      <w:r w:rsidRPr="009869EF">
        <w:t xml:space="preserve">10 years </w:t>
      </w:r>
      <w:r>
        <w:t xml:space="preserve">old </w:t>
      </w:r>
      <w:r w:rsidRPr="009869EF">
        <w:t>are withdrawn by default.</w:t>
      </w:r>
    </w:p>
  </w:footnote>
  <w:footnote w:id="179">
    <w:p w14:paraId="700DB0C1" w14:textId="77777777" w:rsidR="00120717" w:rsidRPr="009869EF" w:rsidRDefault="00120717" w:rsidP="00323B40">
      <w:pPr>
        <w:pStyle w:val="FootnoteText"/>
      </w:pPr>
      <w:r w:rsidRPr="009869EF">
        <w:rPr>
          <w:rStyle w:val="FootnoteReference"/>
        </w:rPr>
        <w:footnoteRef/>
      </w:r>
      <w:r w:rsidRPr="009869EF">
        <w:t xml:space="preserve"> Notifications were made under Article</w:t>
      </w:r>
      <w:r>
        <w:t>s </w:t>
      </w:r>
      <w:r w:rsidRPr="009869EF">
        <w:t>2.9.2 and 5.6.2 of the TBT</w:t>
      </w:r>
      <w:r>
        <w:t> Agreement</w:t>
      </w:r>
      <w:r w:rsidRPr="009869EF">
        <w:t xml:space="preserve">. </w:t>
      </w:r>
      <w:r>
        <w:t xml:space="preserve">WTO </w:t>
      </w:r>
      <w:r w:rsidRPr="009869EF">
        <w:t xml:space="preserve">TBT Information Management System. Viewed at: </w:t>
      </w:r>
      <w:hyperlink r:id="rId60" w:history="1">
        <w:r w:rsidRPr="009869EF">
          <w:rPr>
            <w:rStyle w:val="Hyperlink"/>
          </w:rPr>
          <w:t>http://tbtims.wto.org/</w:t>
        </w:r>
      </w:hyperlink>
      <w:r w:rsidRPr="009869EF">
        <w:t xml:space="preserve">. </w:t>
      </w:r>
    </w:p>
  </w:footnote>
  <w:footnote w:id="180">
    <w:p w14:paraId="5842C3E3" w14:textId="77777777" w:rsidR="00120717" w:rsidRPr="009869EF" w:rsidRDefault="00120717" w:rsidP="00323B40">
      <w:pPr>
        <w:pStyle w:val="FootnoteText"/>
      </w:pPr>
      <w:r w:rsidRPr="009869EF">
        <w:rPr>
          <w:rStyle w:val="FootnoteReference"/>
        </w:rPr>
        <w:footnoteRef/>
      </w:r>
      <w:r w:rsidRPr="009869EF">
        <w:t xml:space="preserve"> Notifications were made under Article</w:t>
      </w:r>
      <w:r>
        <w:t> </w:t>
      </w:r>
      <w:r w:rsidRPr="009869EF">
        <w:t>2.10.1 of the TBT</w:t>
      </w:r>
      <w:r>
        <w:t> Agreement</w:t>
      </w:r>
      <w:r w:rsidRPr="009869EF">
        <w:t>.</w:t>
      </w:r>
    </w:p>
  </w:footnote>
  <w:footnote w:id="181">
    <w:p w14:paraId="1461CB56" w14:textId="77777777" w:rsidR="00120717" w:rsidRPr="009869EF" w:rsidRDefault="00120717" w:rsidP="00323B40">
      <w:pPr>
        <w:pStyle w:val="FootnoteText"/>
      </w:pPr>
      <w:r w:rsidRPr="009869EF">
        <w:rPr>
          <w:rStyle w:val="FootnoteReference"/>
        </w:rPr>
        <w:footnoteRef/>
      </w:r>
      <w:r w:rsidRPr="009869EF">
        <w:t xml:space="preserve"> TBT Information Management System. Viewed at: </w:t>
      </w:r>
      <w:hyperlink r:id="rId61" w:history="1">
        <w:r w:rsidRPr="009869EF">
          <w:rPr>
            <w:rStyle w:val="Hyperlink"/>
          </w:rPr>
          <w:t>http://tbtims.wto.org/</w:t>
        </w:r>
      </w:hyperlink>
      <w:r w:rsidRPr="009869EF">
        <w:t xml:space="preserve">. </w:t>
      </w:r>
    </w:p>
  </w:footnote>
  <w:footnote w:id="182">
    <w:p w14:paraId="06C25CFD" w14:textId="77777777" w:rsidR="00120717" w:rsidRPr="009869EF" w:rsidRDefault="00120717" w:rsidP="00323B40">
      <w:pPr>
        <w:pStyle w:val="FootnoteText"/>
      </w:pPr>
      <w:r w:rsidRPr="009869EF">
        <w:rPr>
          <w:rStyle w:val="FootnoteReference"/>
        </w:rPr>
        <w:footnoteRef/>
      </w:r>
      <w:r w:rsidRPr="009869EF">
        <w:t xml:space="preserve"> Accreditation Council, </w:t>
      </w:r>
      <w:r w:rsidRPr="009869EF">
        <w:rPr>
          <w:i/>
          <w:iCs/>
        </w:rPr>
        <w:t>2020 Annual Report.</w:t>
      </w:r>
    </w:p>
  </w:footnote>
  <w:footnote w:id="183">
    <w:p w14:paraId="697618F8" w14:textId="77777777" w:rsidR="00120717" w:rsidRPr="009869EF" w:rsidRDefault="00120717" w:rsidP="00323B40">
      <w:pPr>
        <w:pStyle w:val="FootnoteText"/>
      </w:pPr>
      <w:r w:rsidRPr="009869EF">
        <w:rPr>
          <w:rStyle w:val="FootnoteReference"/>
        </w:rPr>
        <w:footnoteRef/>
      </w:r>
      <w:r w:rsidRPr="009869EF">
        <w:t xml:space="preserve"> JAS-</w:t>
      </w:r>
      <w:r>
        <w:t xml:space="preserve">ANZ (2021), </w:t>
      </w:r>
      <w:r w:rsidRPr="00B90693">
        <w:rPr>
          <w:i/>
          <w:iCs/>
        </w:rPr>
        <w:t>Annual Report 2020-21</w:t>
      </w:r>
      <w:r w:rsidRPr="009869EF">
        <w:t>, 27</w:t>
      </w:r>
      <w:r>
        <w:t> </w:t>
      </w:r>
      <w:r w:rsidRPr="009869EF">
        <w:t>September.</w:t>
      </w:r>
    </w:p>
  </w:footnote>
  <w:footnote w:id="184">
    <w:p w14:paraId="72A8D1BC" w14:textId="77777777" w:rsidR="00120717" w:rsidRPr="009869EF" w:rsidRDefault="00120717" w:rsidP="00323B40">
      <w:pPr>
        <w:pStyle w:val="FootnoteText"/>
      </w:pPr>
      <w:r w:rsidRPr="009869EF">
        <w:rPr>
          <w:rStyle w:val="FootnoteReference"/>
        </w:rPr>
        <w:footnoteRef/>
      </w:r>
      <w:r w:rsidRPr="009869EF">
        <w:t xml:space="preserve"> Standards and Accreditation Act 2015, Articles 33-36.</w:t>
      </w:r>
    </w:p>
  </w:footnote>
  <w:footnote w:id="185">
    <w:p w14:paraId="51830BDD" w14:textId="77777777" w:rsidR="00120717" w:rsidRPr="009869EF" w:rsidRDefault="00120717" w:rsidP="00323B40">
      <w:pPr>
        <w:pStyle w:val="FootnoteText"/>
      </w:pPr>
      <w:r w:rsidRPr="009869EF">
        <w:rPr>
          <w:rStyle w:val="FootnoteReference"/>
        </w:rPr>
        <w:footnoteRef/>
      </w:r>
      <w:r w:rsidRPr="009869EF">
        <w:t xml:space="preserve"> Since 30</w:t>
      </w:r>
      <w:r>
        <w:t> </w:t>
      </w:r>
      <w:r w:rsidRPr="009869EF">
        <w:t>August</w:t>
      </w:r>
      <w:r>
        <w:t> </w:t>
      </w:r>
      <w:r w:rsidRPr="009869EF">
        <w:t>2017, Telarc Limited is fully owned by the Accreditation Council. Prior to this date, the Accreditation Council owned 75% of the shares of Telarc Limited.</w:t>
      </w:r>
    </w:p>
  </w:footnote>
  <w:footnote w:id="186">
    <w:p w14:paraId="2B6AECC9" w14:textId="77777777" w:rsidR="00120717" w:rsidRPr="009869EF" w:rsidRDefault="00120717" w:rsidP="00323B40">
      <w:pPr>
        <w:pStyle w:val="FootnoteText"/>
        <w:rPr>
          <w:shd w:val="clear" w:color="auto" w:fill="FFFFFF" w:themeFill="background1"/>
        </w:rPr>
      </w:pPr>
      <w:r w:rsidRPr="009869EF">
        <w:rPr>
          <w:rStyle w:val="FootnoteReference"/>
        </w:rPr>
        <w:footnoteRef/>
      </w:r>
      <w:r w:rsidRPr="009869EF">
        <w:t xml:space="preserve"> </w:t>
      </w:r>
      <w:r>
        <w:t>MBIE (2019)</w:t>
      </w:r>
      <w:r w:rsidRPr="009869EF">
        <w:rPr>
          <w:shd w:val="clear" w:color="auto" w:fill="FFFFFF" w:themeFill="background1"/>
        </w:rPr>
        <w:t xml:space="preserve">, </w:t>
      </w:r>
      <w:r w:rsidRPr="009869EF">
        <w:rPr>
          <w:i/>
          <w:iCs/>
          <w:shd w:val="clear" w:color="auto" w:fill="FFFFFF" w:themeFill="background1"/>
        </w:rPr>
        <w:t xml:space="preserve">Conformance System Strategy: </w:t>
      </w:r>
      <w:r>
        <w:rPr>
          <w:i/>
          <w:iCs/>
          <w:shd w:val="clear" w:color="auto" w:fill="FFFFFF" w:themeFill="background1"/>
        </w:rPr>
        <w:t>A</w:t>
      </w:r>
      <w:r w:rsidRPr="009869EF">
        <w:rPr>
          <w:i/>
          <w:iCs/>
          <w:shd w:val="clear" w:color="auto" w:fill="FFFFFF" w:themeFill="background1"/>
        </w:rPr>
        <w:t xml:space="preserve"> Common Direction and Goals for Enhancing the Conformance System</w:t>
      </w:r>
      <w:r w:rsidRPr="009869EF">
        <w:rPr>
          <w:shd w:val="clear" w:color="auto" w:fill="FFFFFF" w:themeFill="background1"/>
        </w:rPr>
        <w:t>.</w:t>
      </w:r>
    </w:p>
  </w:footnote>
  <w:footnote w:id="187">
    <w:p w14:paraId="400AAA25" w14:textId="473A6FE8" w:rsidR="00120717" w:rsidRPr="00B90693" w:rsidRDefault="00120717">
      <w:pPr>
        <w:pStyle w:val="FootnoteText"/>
        <w:rPr>
          <w:lang w:val="en-US"/>
        </w:rPr>
      </w:pPr>
      <w:r>
        <w:rPr>
          <w:rStyle w:val="FootnoteReference"/>
        </w:rPr>
        <w:footnoteRef/>
      </w:r>
      <w:r>
        <w:t xml:space="preserve"> Including the </w:t>
      </w:r>
      <w:r w:rsidRPr="005B3330">
        <w:rPr>
          <w:szCs w:val="16"/>
        </w:rPr>
        <w:t xml:space="preserve">APEC </w:t>
      </w:r>
      <w:r w:rsidRPr="009206B9">
        <w:rPr>
          <w:szCs w:val="16"/>
        </w:rPr>
        <w:t>Mutual Recognition Arrangement on Conformity Assessment of Foods and Food Product</w:t>
      </w:r>
      <w:r>
        <w:rPr>
          <w:szCs w:val="16"/>
        </w:rPr>
        <w:t xml:space="preserve">s, </w:t>
      </w:r>
      <w:r w:rsidRPr="005B3330">
        <w:rPr>
          <w:szCs w:val="16"/>
        </w:rPr>
        <w:t>which is a framework agreement</w:t>
      </w:r>
      <w:r>
        <w:rPr>
          <w:szCs w:val="16"/>
        </w:rPr>
        <w:t xml:space="preserve"> that, as at January 2022, did not contain any product-</w:t>
      </w:r>
      <w:r w:rsidR="00B93EE1">
        <w:rPr>
          <w:szCs w:val="16"/>
        </w:rPr>
        <w:t>specific</w:t>
      </w:r>
      <w:r>
        <w:rPr>
          <w:szCs w:val="16"/>
        </w:rPr>
        <w:t xml:space="preserve"> commitments.</w:t>
      </w:r>
    </w:p>
  </w:footnote>
  <w:footnote w:id="188">
    <w:p w14:paraId="742E2016" w14:textId="702FD237" w:rsidR="00120717" w:rsidRPr="00B90693" w:rsidRDefault="00120717">
      <w:pPr>
        <w:pStyle w:val="FootnoteText"/>
        <w:rPr>
          <w:lang w:val="en-US"/>
        </w:rPr>
      </w:pPr>
      <w:r>
        <w:rPr>
          <w:rStyle w:val="FootnoteReference"/>
        </w:rPr>
        <w:footnoteRef/>
      </w:r>
      <w:r>
        <w:t xml:space="preserve"> As at January 2022, New Zealand had notified one MRA (i.e. with the European Union) under </w:t>
      </w:r>
      <w:r w:rsidRPr="009A7BB3">
        <w:t>Article</w:t>
      </w:r>
      <w:r>
        <w:t> </w:t>
      </w:r>
      <w:r w:rsidRPr="009A7BB3">
        <w:t>10.7 of</w:t>
      </w:r>
      <w:r>
        <w:t xml:space="preserve"> the TBT Agreement (WTO document G/TBT/10.7/N/27, 14</w:t>
      </w:r>
      <w:r w:rsidR="00A56655">
        <w:t> </w:t>
      </w:r>
      <w:r>
        <w:t>October</w:t>
      </w:r>
      <w:r w:rsidR="00A56655">
        <w:t> </w:t>
      </w:r>
      <w:r>
        <w:t xml:space="preserve">1999). </w:t>
      </w:r>
    </w:p>
  </w:footnote>
  <w:footnote w:id="189">
    <w:p w14:paraId="247C89C8" w14:textId="77777777" w:rsidR="00364BAC" w:rsidRPr="009869EF" w:rsidRDefault="00364BAC" w:rsidP="00364BAC">
      <w:pPr>
        <w:pStyle w:val="FootnoteText"/>
      </w:pPr>
      <w:r w:rsidRPr="009869EF">
        <w:rPr>
          <w:rStyle w:val="FootnoteReference"/>
        </w:rPr>
        <w:footnoteRef/>
      </w:r>
      <w:r w:rsidRPr="009869EF">
        <w:t xml:space="preserve"> </w:t>
      </w:r>
      <w:r>
        <w:t>MBIE (2018)</w:t>
      </w:r>
      <w:r w:rsidRPr="009869EF">
        <w:t xml:space="preserve">, </w:t>
      </w:r>
      <w:r w:rsidRPr="009869EF">
        <w:rPr>
          <w:i/>
          <w:iCs/>
        </w:rPr>
        <w:t>A Guide to New</w:t>
      </w:r>
      <w:r>
        <w:rPr>
          <w:i/>
          <w:iCs/>
        </w:rPr>
        <w:t> Zealand</w:t>
      </w:r>
      <w:r w:rsidRPr="009869EF">
        <w:rPr>
          <w:i/>
          <w:iCs/>
        </w:rPr>
        <w:t>'s Standards and Conformance System</w:t>
      </w:r>
      <w:r w:rsidRPr="009869EF">
        <w:t>, March.</w:t>
      </w:r>
    </w:p>
  </w:footnote>
  <w:footnote w:id="190">
    <w:p w14:paraId="2891D33F" w14:textId="77777777" w:rsidR="00120717" w:rsidRPr="009869EF" w:rsidRDefault="00120717" w:rsidP="00323B40">
      <w:pPr>
        <w:pStyle w:val="FootnoteText"/>
      </w:pPr>
      <w:r w:rsidRPr="009869EF">
        <w:rPr>
          <w:rStyle w:val="FootnoteReference"/>
        </w:rPr>
        <w:footnoteRef/>
      </w:r>
      <w:r w:rsidRPr="009869EF">
        <w:t xml:space="preserve"> The </w:t>
      </w:r>
      <w:r>
        <w:t>a</w:t>
      </w:r>
      <w:r w:rsidRPr="009869EF">
        <w:t>uthorities further indicate that as of January 2022 New</w:t>
      </w:r>
      <w:r>
        <w:t> Zealand</w:t>
      </w:r>
      <w:r w:rsidRPr="009869EF">
        <w:t xml:space="preserve"> has not negotiated any sectoral or product-specific arrangement under this APEC MRA.</w:t>
      </w:r>
    </w:p>
  </w:footnote>
  <w:footnote w:id="191">
    <w:p w14:paraId="2D83EC49" w14:textId="77777777" w:rsidR="00120717" w:rsidRPr="009869EF" w:rsidRDefault="00120717" w:rsidP="00323B40">
      <w:pPr>
        <w:pStyle w:val="FootnoteText"/>
      </w:pPr>
      <w:r w:rsidRPr="009869EF">
        <w:rPr>
          <w:rStyle w:val="FootnoteReference"/>
        </w:rPr>
        <w:footnoteRef/>
      </w:r>
      <w:r w:rsidRPr="009869EF">
        <w:t xml:space="preserve"> Unfair Trading Act 1986, Articles 16 and 26.</w:t>
      </w:r>
    </w:p>
  </w:footnote>
  <w:footnote w:id="192">
    <w:p w14:paraId="390C68FD" w14:textId="77777777" w:rsidR="00120717" w:rsidRPr="009869EF" w:rsidRDefault="00120717" w:rsidP="00323B40">
      <w:pPr>
        <w:pStyle w:val="FootnoteText"/>
      </w:pPr>
      <w:r w:rsidRPr="009869EF">
        <w:rPr>
          <w:rStyle w:val="FootnoteReference"/>
        </w:rPr>
        <w:footnoteRef/>
      </w:r>
      <w:r w:rsidRPr="009869EF">
        <w:t xml:space="preserve"> Weights and Measure Regulations 1999, Part 5.</w:t>
      </w:r>
    </w:p>
  </w:footnote>
  <w:footnote w:id="193">
    <w:p w14:paraId="2C247BCA" w14:textId="77777777" w:rsidR="00120717" w:rsidRPr="009869EF" w:rsidRDefault="00120717" w:rsidP="00323B40">
      <w:pPr>
        <w:pStyle w:val="FootnoteText"/>
      </w:pPr>
      <w:r w:rsidRPr="009869EF">
        <w:rPr>
          <w:rStyle w:val="FootnoteReference"/>
        </w:rPr>
        <w:footnoteRef/>
      </w:r>
      <w:r w:rsidRPr="009869EF">
        <w:t xml:space="preserve"> Australia-New</w:t>
      </w:r>
      <w:r>
        <w:t> Zealand</w:t>
      </w:r>
      <w:r w:rsidRPr="009869EF">
        <w:t xml:space="preserve"> Food Standards Code, Part 1.2 (Standards 1.2.1 to 1.2.10) and Part 1.4 (Standard 1.4.4).</w:t>
      </w:r>
    </w:p>
  </w:footnote>
  <w:footnote w:id="194">
    <w:p w14:paraId="0EADD1F9" w14:textId="77777777" w:rsidR="00120717" w:rsidRPr="009869EF" w:rsidRDefault="00120717" w:rsidP="00323B40">
      <w:pPr>
        <w:pStyle w:val="FootnoteText"/>
      </w:pPr>
      <w:r w:rsidRPr="009869EF">
        <w:rPr>
          <w:rStyle w:val="FootnoteReference"/>
        </w:rPr>
        <w:footnoteRef/>
      </w:r>
      <w:r w:rsidRPr="009869EF">
        <w:t xml:space="preserve"> Consumer Information Standards (Care Labelling) Regulations 2000, Consumer Information Standards (Country of Origin (Clothing and Footwear) Labelling) Regulations 1992, Consumer Information Standards (Fibre Content Labelling) Regulations 2000, Consumer Information Standards (Used Motor Vehicles) Regulations 2008, Consumer Information Standards (Water Efficiency) Regulations 2017, Consumer Information Standards (Origin of Food) Regulations 2021.</w:t>
      </w:r>
    </w:p>
  </w:footnote>
  <w:footnote w:id="195">
    <w:p w14:paraId="3D5CEBEA" w14:textId="77777777" w:rsidR="00120717" w:rsidRPr="009869EF" w:rsidRDefault="00120717" w:rsidP="00323B40">
      <w:pPr>
        <w:pStyle w:val="FootnoteText"/>
      </w:pPr>
      <w:r w:rsidRPr="009869EF">
        <w:rPr>
          <w:rStyle w:val="FootnoteReference"/>
        </w:rPr>
        <w:footnoteRef/>
      </w:r>
      <w:r w:rsidRPr="009869EF">
        <w:t xml:space="preserve"> WTO </w:t>
      </w:r>
      <w:r>
        <w:t>d</w:t>
      </w:r>
      <w:r w:rsidRPr="009869EF">
        <w:t>ocument G/TBT/N/NZL/93, 9</w:t>
      </w:r>
      <w:r>
        <w:t> </w:t>
      </w:r>
      <w:r w:rsidRPr="009869EF">
        <w:t>December</w:t>
      </w:r>
      <w:r>
        <w:t> </w:t>
      </w:r>
      <w:r w:rsidRPr="009869EF">
        <w:t>2019.</w:t>
      </w:r>
    </w:p>
  </w:footnote>
  <w:footnote w:id="196">
    <w:p w14:paraId="30D33B2A" w14:textId="77777777" w:rsidR="00120717" w:rsidRPr="009869EF" w:rsidRDefault="00120717" w:rsidP="00323B40">
      <w:pPr>
        <w:pStyle w:val="FootnoteText"/>
      </w:pPr>
      <w:r w:rsidRPr="009869EF">
        <w:rPr>
          <w:rStyle w:val="FootnoteReference"/>
        </w:rPr>
        <w:footnoteRef/>
      </w:r>
      <w:r w:rsidRPr="009869EF">
        <w:t xml:space="preserve"> WTO </w:t>
      </w:r>
      <w:r>
        <w:t>d</w:t>
      </w:r>
      <w:r w:rsidRPr="009869EF">
        <w:t>ocument G/TBT/M/81, 26 June 2020.</w:t>
      </w:r>
    </w:p>
  </w:footnote>
  <w:footnote w:id="197">
    <w:p w14:paraId="329174DA" w14:textId="77777777" w:rsidR="00120717" w:rsidRPr="009869EF" w:rsidRDefault="00120717" w:rsidP="00323B40">
      <w:pPr>
        <w:pStyle w:val="FootnoteText"/>
      </w:pPr>
      <w:r w:rsidRPr="009869EF">
        <w:rPr>
          <w:rStyle w:val="FootnoteReference"/>
        </w:rPr>
        <w:footnoteRef/>
      </w:r>
      <w:r w:rsidRPr="009869EF">
        <w:t xml:space="preserve"> The Smoke-free Environments (Tobacco Standardised Packaging) Amendment Act 2016, the Smoke</w:t>
      </w:r>
      <w:r>
        <w:noBreakHyphen/>
      </w:r>
      <w:r w:rsidRPr="009869EF">
        <w:t>free Environments Regulations 2017, and their amendments.</w:t>
      </w:r>
    </w:p>
  </w:footnote>
  <w:footnote w:id="198">
    <w:p w14:paraId="113CAAB0" w14:textId="77777777" w:rsidR="00120717" w:rsidRPr="009869EF" w:rsidRDefault="00120717" w:rsidP="00323B40">
      <w:pPr>
        <w:pStyle w:val="FootnoteText"/>
      </w:pPr>
      <w:r w:rsidRPr="009869EF">
        <w:rPr>
          <w:rStyle w:val="FootnoteReference"/>
        </w:rPr>
        <w:footnoteRef/>
      </w:r>
      <w:r w:rsidRPr="009869EF">
        <w:t xml:space="preserve"> Information provided by the authorities and viewed at: </w:t>
      </w:r>
      <w:hyperlink r:id="rId62" w:history="1">
        <w:r w:rsidRPr="009869EF">
          <w:rPr>
            <w:rStyle w:val="Hyperlink"/>
          </w:rPr>
          <w:t>https://www.health.govt.nz/publication/proposals-smokefree-aotearoa-2025-action-plan</w:t>
        </w:r>
      </w:hyperlink>
      <w:r w:rsidRPr="009869EF">
        <w:t xml:space="preserve">. </w:t>
      </w:r>
    </w:p>
  </w:footnote>
  <w:footnote w:id="199">
    <w:p w14:paraId="5F6CCD18" w14:textId="77777777" w:rsidR="00120717" w:rsidRPr="00FB2710" w:rsidRDefault="00120717" w:rsidP="0058707B">
      <w:pPr>
        <w:pStyle w:val="FootnoteText"/>
        <w:rPr>
          <w:lang w:val="en-NZ"/>
        </w:rPr>
      </w:pPr>
      <w:r>
        <w:rPr>
          <w:rStyle w:val="FootnoteReference"/>
        </w:rPr>
        <w:footnoteRef/>
      </w:r>
      <w:r>
        <w:t xml:space="preserve"> MPI, </w:t>
      </w:r>
      <w:r w:rsidRPr="001A0C34">
        <w:rPr>
          <w:i/>
          <w:iCs/>
        </w:rPr>
        <w:t>Redesign of Animal Products and Wine Regulations and Notices</w:t>
      </w:r>
      <w:r>
        <w:t xml:space="preserve">. Viewed at: </w:t>
      </w:r>
      <w:hyperlink r:id="rId63" w:history="1">
        <w:r w:rsidRPr="000D73FF">
          <w:rPr>
            <w:rStyle w:val="Hyperlink"/>
          </w:rPr>
          <w:t>https://www.mpi.govt.nz/legal/legislation-standards-and-reviews/redesign-of-animal-products-and-wine-regulations-and-notices/</w:t>
        </w:r>
      </w:hyperlink>
      <w:r>
        <w:t>.</w:t>
      </w:r>
    </w:p>
  </w:footnote>
  <w:footnote w:id="200">
    <w:p w14:paraId="6C050388" w14:textId="77777777" w:rsidR="00120717" w:rsidRDefault="00120717" w:rsidP="00901CAA">
      <w:pPr>
        <w:pStyle w:val="FootnoteText"/>
      </w:pPr>
      <w:r>
        <w:rPr>
          <w:rStyle w:val="FootnoteReference"/>
        </w:rPr>
        <w:footnoteRef/>
      </w:r>
      <w:r>
        <w:t xml:space="preserve"> T</w:t>
      </w:r>
      <w:r w:rsidRPr="0070273B">
        <w:t>he MPI maintains export certification systems for food, plant, and animal products whereby it authorizes approved organizations to carry out certification services on its behalf</w:t>
      </w:r>
      <w:r>
        <w:t>.</w:t>
      </w:r>
    </w:p>
  </w:footnote>
  <w:footnote w:id="201">
    <w:p w14:paraId="1765753D" w14:textId="77777777" w:rsidR="00120717" w:rsidRPr="007840BE" w:rsidRDefault="00120717" w:rsidP="0058707B">
      <w:pPr>
        <w:pStyle w:val="FootnoteText"/>
        <w:rPr>
          <w:lang w:val="en-NZ"/>
        </w:rPr>
      </w:pPr>
      <w:r>
        <w:rPr>
          <w:rStyle w:val="FootnoteReference"/>
        </w:rPr>
        <w:footnoteRef/>
      </w:r>
      <w:r>
        <w:t xml:space="preserve"> MPI, </w:t>
      </w:r>
      <w:r w:rsidRPr="001A0C34">
        <w:rPr>
          <w:i/>
          <w:iCs/>
        </w:rPr>
        <w:t>Work to Strengthen Food Recalls and Risk-based Plans and Programmes</w:t>
      </w:r>
      <w:r>
        <w:t xml:space="preserve">. Viewed at: </w:t>
      </w:r>
      <w:hyperlink r:id="rId64" w:history="1">
        <w:r w:rsidRPr="00546C37">
          <w:rPr>
            <w:rStyle w:val="Hyperlink"/>
          </w:rPr>
          <w:t>https://www.mpi.govt.nz/consultations/proposals-to-strengthen-food-recalls-and-risk-based-plans-and-programmes/</w:t>
        </w:r>
      </w:hyperlink>
      <w:r>
        <w:t>.</w:t>
      </w:r>
    </w:p>
  </w:footnote>
  <w:footnote w:id="202">
    <w:p w14:paraId="2A4F7051" w14:textId="77777777" w:rsidR="00120717" w:rsidRDefault="00120717" w:rsidP="00901CAA">
      <w:pPr>
        <w:pStyle w:val="FootnoteText"/>
      </w:pPr>
      <w:r>
        <w:rPr>
          <w:rStyle w:val="FootnoteReference"/>
        </w:rPr>
        <w:footnoteRef/>
      </w:r>
      <w:r>
        <w:t xml:space="preserve"> MPI (2015), </w:t>
      </w:r>
      <w:r w:rsidRPr="001A0C34">
        <w:rPr>
          <w:i/>
          <w:iCs/>
        </w:rPr>
        <w:t>National Policy Direction for Pest Management</w:t>
      </w:r>
      <w:r>
        <w:t xml:space="preserve">. Viewed at: </w:t>
      </w:r>
      <w:hyperlink r:id="rId65" w:history="1">
        <w:r w:rsidRPr="00BC1FC1">
          <w:rPr>
            <w:rStyle w:val="Hyperlink"/>
          </w:rPr>
          <w:t>https://www.mpi.govt.nz/dmsdocument/9464-National-Policy-Direction-for-Pest-Management-2015</w:t>
        </w:r>
      </w:hyperlink>
      <w:r>
        <w:t>.</w:t>
      </w:r>
    </w:p>
  </w:footnote>
  <w:footnote w:id="203">
    <w:p w14:paraId="44948E05" w14:textId="77777777" w:rsidR="00120717" w:rsidRDefault="00120717" w:rsidP="00901CAA">
      <w:pPr>
        <w:pStyle w:val="FootnoteText"/>
      </w:pPr>
      <w:r>
        <w:rPr>
          <w:rStyle w:val="FootnoteReference"/>
        </w:rPr>
        <w:footnoteRef/>
      </w:r>
      <w:r>
        <w:t xml:space="preserve"> MPI, </w:t>
      </w:r>
      <w:r w:rsidRPr="001A0C34">
        <w:rPr>
          <w:i/>
          <w:iCs/>
        </w:rPr>
        <w:t>Fees and Charges Overview</w:t>
      </w:r>
      <w:r>
        <w:t xml:space="preserve">. Viewed at: </w:t>
      </w:r>
      <w:hyperlink r:id="rId66" w:history="1">
        <w:r w:rsidRPr="00146054">
          <w:rPr>
            <w:rStyle w:val="Hyperlink"/>
          </w:rPr>
          <w:t>https://www.mpi.govt.nz/legal/legislation-standards-and-reviews/legislation-fees-and-charges/updated-fees-and-charges/</w:t>
        </w:r>
      </w:hyperlink>
      <w:r>
        <w:t>.</w:t>
      </w:r>
    </w:p>
  </w:footnote>
  <w:footnote w:id="204">
    <w:p w14:paraId="1219314F" w14:textId="77777777" w:rsidR="00120717" w:rsidRDefault="00120717" w:rsidP="00901CAA">
      <w:pPr>
        <w:pStyle w:val="FootnoteText"/>
      </w:pPr>
      <w:r>
        <w:rPr>
          <w:rStyle w:val="FootnoteReference"/>
        </w:rPr>
        <w:footnoteRef/>
      </w:r>
      <w:r>
        <w:t xml:space="preserve"> </w:t>
      </w:r>
      <w:r w:rsidRPr="00BD42DA">
        <w:t>Biosecurity Amendment Act 2015</w:t>
      </w:r>
      <w:r>
        <w:t>.</w:t>
      </w:r>
    </w:p>
  </w:footnote>
  <w:footnote w:id="205">
    <w:p w14:paraId="6B854EDB" w14:textId="77777777" w:rsidR="00120717" w:rsidRDefault="00120717" w:rsidP="00901CAA">
      <w:pPr>
        <w:pStyle w:val="FootnoteText"/>
      </w:pPr>
      <w:r>
        <w:rPr>
          <w:rStyle w:val="FootnoteReference"/>
        </w:rPr>
        <w:footnoteRef/>
      </w:r>
      <w:r>
        <w:t xml:space="preserve"> GIA, </w:t>
      </w:r>
      <w:r w:rsidRPr="001A0C34">
        <w:rPr>
          <w:i/>
          <w:iCs/>
        </w:rPr>
        <w:t>Government Industry Agreement</w:t>
      </w:r>
      <w:r>
        <w:t xml:space="preserve">. Viewed at: </w:t>
      </w:r>
      <w:hyperlink r:id="rId67" w:history="1">
        <w:r w:rsidRPr="00BB2C80">
          <w:rPr>
            <w:rStyle w:val="Hyperlink"/>
          </w:rPr>
          <w:t>https://www.gia.org.nz/</w:t>
        </w:r>
      </w:hyperlink>
      <w:r>
        <w:t>.</w:t>
      </w:r>
    </w:p>
  </w:footnote>
  <w:footnote w:id="206">
    <w:p w14:paraId="742F195F" w14:textId="77777777" w:rsidR="00120717" w:rsidRDefault="00120717" w:rsidP="00901CAA">
      <w:pPr>
        <w:pStyle w:val="FootnoteText"/>
      </w:pPr>
      <w:r>
        <w:rPr>
          <w:rStyle w:val="FootnoteReference"/>
        </w:rPr>
        <w:footnoteRef/>
      </w:r>
      <w:r>
        <w:t xml:space="preserve"> MPI, </w:t>
      </w:r>
      <w:r>
        <w:rPr>
          <w:i/>
          <w:iCs/>
        </w:rPr>
        <w:t>T</w:t>
      </w:r>
      <w:r w:rsidRPr="00EF57D9">
        <w:rPr>
          <w:i/>
          <w:iCs/>
        </w:rPr>
        <w:t xml:space="preserve">he </w:t>
      </w:r>
      <w:r>
        <w:rPr>
          <w:i/>
          <w:iCs/>
        </w:rPr>
        <w:t>R</w:t>
      </w:r>
      <w:r w:rsidRPr="00EF57D9">
        <w:rPr>
          <w:i/>
          <w:iCs/>
        </w:rPr>
        <w:t xml:space="preserve">ole and </w:t>
      </w:r>
      <w:r>
        <w:rPr>
          <w:i/>
          <w:iCs/>
        </w:rPr>
        <w:t>R</w:t>
      </w:r>
      <w:r w:rsidRPr="00EF57D9">
        <w:rPr>
          <w:i/>
          <w:iCs/>
        </w:rPr>
        <w:t>esponsibilities of FSANZ</w:t>
      </w:r>
      <w:r>
        <w:t xml:space="preserve">. Viewed at: </w:t>
      </w:r>
      <w:hyperlink r:id="rId68" w:history="1">
        <w:r w:rsidRPr="00CC0725">
          <w:rPr>
            <w:rStyle w:val="Hyperlink"/>
          </w:rPr>
          <w:t>https://www.mpi.govt.nz/food-business/food-safety-codes-standards/australia-new-zealand-co-operation/food-standards-australia-new-zealand-fsanz/</w:t>
        </w:r>
      </w:hyperlink>
      <w:r>
        <w:t>.</w:t>
      </w:r>
    </w:p>
  </w:footnote>
  <w:footnote w:id="207">
    <w:p w14:paraId="4DED4E6B" w14:textId="77777777" w:rsidR="00120717" w:rsidRPr="001A1E8F" w:rsidRDefault="00120717">
      <w:pPr>
        <w:pStyle w:val="FootnoteText"/>
        <w:rPr>
          <w:lang w:val="mi-NZ"/>
        </w:rPr>
      </w:pPr>
      <w:r>
        <w:rPr>
          <w:rStyle w:val="FootnoteReference"/>
        </w:rPr>
        <w:footnoteRef/>
      </w:r>
      <w:r>
        <w:t xml:space="preserve"> MPI, My Food Rules online tool. Viewed at: </w:t>
      </w:r>
      <w:hyperlink r:id="rId69" w:history="1">
        <w:r w:rsidRPr="00546C37">
          <w:rPr>
            <w:rStyle w:val="Hyperlink"/>
          </w:rPr>
          <w:t>https://www.mpi.govt.nz/food-business/food-safety-rules/</w:t>
        </w:r>
      </w:hyperlink>
      <w:r>
        <w:t>.</w:t>
      </w:r>
    </w:p>
  </w:footnote>
  <w:footnote w:id="208">
    <w:p w14:paraId="23E630EB" w14:textId="77777777" w:rsidR="00120717" w:rsidRDefault="00120717" w:rsidP="00901CAA">
      <w:pPr>
        <w:pStyle w:val="FootnoteText"/>
      </w:pPr>
      <w:r>
        <w:rPr>
          <w:rStyle w:val="FootnoteReference"/>
        </w:rPr>
        <w:footnoteRef/>
      </w:r>
      <w:r>
        <w:t xml:space="preserve"> MPI (2021), </w:t>
      </w:r>
      <w:r w:rsidRPr="001A0C34">
        <w:rPr>
          <w:i/>
          <w:iCs/>
        </w:rPr>
        <w:t>Food Notice: Importing Food</w:t>
      </w:r>
      <w:r>
        <w:t xml:space="preserve">, November. Viewed at: </w:t>
      </w:r>
      <w:hyperlink r:id="rId70" w:anchor=":~:text=To%20provide%20visibility%20and%20control,manner%20be%20specified%20by%20Notice.&amp;text=Categorising%20food%20in%20this%20manner,imported%20food%20based%20on%20risk" w:history="1">
        <w:r w:rsidRPr="00333E18">
          <w:rPr>
            <w:rStyle w:val="Hyperlink"/>
          </w:rPr>
          <w:t>https://www.mpi.govt.nz/dmsdocument/10685/direct#:~:text=To%20provide%20visibility%20and%20control,manner%20be%20specified%20by%20Notice.&amp;text=Categorising%20food%20in%20this%20manner,imported%20food%20based%20on%20risk</w:t>
        </w:r>
      </w:hyperlink>
      <w:r w:rsidRPr="00345027">
        <w:t>.</w:t>
      </w:r>
      <w:r>
        <w:t xml:space="preserve"> </w:t>
      </w:r>
    </w:p>
  </w:footnote>
  <w:footnote w:id="209">
    <w:p w14:paraId="50EF7D3D" w14:textId="77777777" w:rsidR="00120717" w:rsidRDefault="00120717" w:rsidP="00901CAA">
      <w:pPr>
        <w:pStyle w:val="FootnoteText"/>
      </w:pPr>
      <w:r>
        <w:rPr>
          <w:rStyle w:val="FootnoteReference"/>
        </w:rPr>
        <w:footnoteRef/>
      </w:r>
      <w:r>
        <w:t xml:space="preserve"> MPI, </w:t>
      </w:r>
      <w:r w:rsidRPr="001A0C34">
        <w:rPr>
          <w:i/>
          <w:iCs/>
        </w:rPr>
        <w:t>Import Health Standards</w:t>
      </w:r>
      <w:r>
        <w:t xml:space="preserve">. Viewed at: </w:t>
      </w:r>
      <w:hyperlink r:id="rId71" w:history="1">
        <w:r w:rsidRPr="005F1F30">
          <w:rPr>
            <w:rStyle w:val="Hyperlink"/>
          </w:rPr>
          <w:t>https://www.mpi.govt.nz/legal/compliance-requirements/ihs-import-health-standards</w:t>
        </w:r>
      </w:hyperlink>
      <w:r>
        <w:t>.</w:t>
      </w:r>
    </w:p>
  </w:footnote>
  <w:footnote w:id="210">
    <w:p w14:paraId="0EA46D26" w14:textId="77777777" w:rsidR="00120717" w:rsidRPr="006B3383" w:rsidRDefault="00120717" w:rsidP="007A77C5">
      <w:pPr>
        <w:pStyle w:val="FootnoteText"/>
        <w:rPr>
          <w:lang w:val="en-NZ"/>
        </w:rPr>
      </w:pPr>
      <w:r>
        <w:rPr>
          <w:rStyle w:val="FootnoteReference"/>
        </w:rPr>
        <w:footnoteRef/>
      </w:r>
      <w:r>
        <w:t xml:space="preserve"> MPI, </w:t>
      </w:r>
      <w:r w:rsidRPr="001A0C34">
        <w:rPr>
          <w:i/>
          <w:iCs/>
        </w:rPr>
        <w:t xml:space="preserve">Genetically Modified </w:t>
      </w:r>
      <w:r>
        <w:rPr>
          <w:i/>
          <w:iCs/>
        </w:rPr>
        <w:t>Seeds and Nursery Stock</w:t>
      </w:r>
      <w:r>
        <w:t xml:space="preserve">. Viewed at: </w:t>
      </w:r>
      <w:hyperlink r:id="rId72" w:history="1">
        <w:r w:rsidRPr="00546C37">
          <w:rPr>
            <w:rStyle w:val="Hyperlink"/>
          </w:rPr>
          <w:t>https://www.mpi.govt.nz/import/plants-flowers-seeds-plant-growing-products/seeds-for-sowing/genetically-modified-seeds-and-nursery-stock/</w:t>
        </w:r>
      </w:hyperlink>
      <w:r>
        <w:t>.</w:t>
      </w:r>
    </w:p>
  </w:footnote>
  <w:footnote w:id="211">
    <w:p w14:paraId="54FBF211" w14:textId="77777777" w:rsidR="00120717" w:rsidRPr="009869EF" w:rsidRDefault="00120717" w:rsidP="00B90693">
      <w:pPr>
        <w:pStyle w:val="FootnoteText"/>
      </w:pPr>
      <w:r w:rsidRPr="009869EF">
        <w:rPr>
          <w:rStyle w:val="FootnoteReference"/>
        </w:rPr>
        <w:footnoteRef/>
      </w:r>
      <w:r w:rsidRPr="009869EF">
        <w:t xml:space="preserve"> During the reporting period, the Commerce Act 1986 </w:t>
      </w:r>
      <w:r>
        <w:t xml:space="preserve">was </w:t>
      </w:r>
      <w:r w:rsidRPr="009869EF">
        <w:t>amended 12 times (from 1 March 2016 to</w:t>
      </w:r>
      <w:r>
        <w:t> </w:t>
      </w:r>
      <w:r w:rsidRPr="009869EF">
        <w:t>8</w:t>
      </w:r>
      <w:r>
        <w:t> </w:t>
      </w:r>
      <w:r w:rsidRPr="009869EF">
        <w:t>April</w:t>
      </w:r>
      <w:r>
        <w:t> </w:t>
      </w:r>
      <w:r w:rsidRPr="009869EF">
        <w:t xml:space="preserve">2021). For more details about the amendments, see </w:t>
      </w:r>
      <w:hyperlink r:id="rId73" w:history="1">
        <w:r>
          <w:rPr>
            <w:rStyle w:val="Hyperlink"/>
          </w:rPr>
          <w:t>https://www.legislation.govt.nz/act/public/1986/0005/latest/versions.aspx?av=True</w:t>
        </w:r>
      </w:hyperlink>
      <w:r w:rsidRPr="009869EF">
        <w:t xml:space="preserve">. </w:t>
      </w:r>
    </w:p>
  </w:footnote>
  <w:footnote w:id="212">
    <w:p w14:paraId="608256E8" w14:textId="77777777" w:rsidR="00120717" w:rsidRPr="009869EF" w:rsidRDefault="00120717" w:rsidP="00CC0CEB">
      <w:pPr>
        <w:pStyle w:val="FootnoteText"/>
        <w:jc w:val="both"/>
      </w:pPr>
      <w:r w:rsidRPr="009869EF">
        <w:rPr>
          <w:rStyle w:val="FootnoteReference"/>
        </w:rPr>
        <w:footnoteRef/>
      </w:r>
      <w:r w:rsidRPr="009869EF">
        <w:t xml:space="preserve"> Commerce Act</w:t>
      </w:r>
      <w:r>
        <w:t>,</w:t>
      </w:r>
      <w:r w:rsidRPr="00752C78">
        <w:t xml:space="preserve"> </w:t>
      </w:r>
      <w:r w:rsidRPr="009869EF">
        <w:t>Sections 4</w:t>
      </w:r>
      <w:r>
        <w:noBreakHyphen/>
      </w:r>
      <w:r w:rsidRPr="009869EF">
        <w:t xml:space="preserve">6. </w:t>
      </w:r>
    </w:p>
  </w:footnote>
  <w:footnote w:id="213">
    <w:p w14:paraId="034CEF3B" w14:textId="77777777" w:rsidR="00120717" w:rsidRPr="009869EF" w:rsidRDefault="00120717" w:rsidP="001660DA">
      <w:pPr>
        <w:pStyle w:val="FootnoteText"/>
      </w:pPr>
      <w:r w:rsidRPr="009869EF">
        <w:rPr>
          <w:rStyle w:val="FootnoteReference"/>
        </w:rPr>
        <w:footnoteRef/>
      </w:r>
      <w:r w:rsidRPr="009869EF">
        <w:t xml:space="preserve"> OECD</w:t>
      </w:r>
      <w:r>
        <w:t xml:space="preserve"> (2019)</w:t>
      </w:r>
      <w:r w:rsidRPr="009869EF">
        <w:t xml:space="preserve">, </w:t>
      </w:r>
      <w:r w:rsidRPr="00B90693">
        <w:rPr>
          <w:i/>
          <w:iCs/>
        </w:rPr>
        <w:t>Annual Report on Competition Policy Developments in New Zealand, 2018</w:t>
      </w:r>
      <w:r>
        <w:t>, document</w:t>
      </w:r>
      <w:r w:rsidRPr="009869EF">
        <w:t xml:space="preserve"> DAF/COMP/AR(2019)25. </w:t>
      </w:r>
      <w:r>
        <w:t>V</w:t>
      </w:r>
      <w:r w:rsidRPr="009869EF">
        <w:t xml:space="preserve">iewed at: </w:t>
      </w:r>
      <w:hyperlink r:id="rId74" w:history="1">
        <w:r>
          <w:rPr>
            <w:rStyle w:val="Hyperlink"/>
          </w:rPr>
          <w:t>https://one.oecd.org/document/DAF/COMP/AR(2019)25/en/pdf</w:t>
        </w:r>
      </w:hyperlink>
      <w:r w:rsidRPr="009869EF">
        <w:t xml:space="preserve">. </w:t>
      </w:r>
    </w:p>
  </w:footnote>
  <w:footnote w:id="214">
    <w:p w14:paraId="398261F5" w14:textId="77777777" w:rsidR="00120717" w:rsidRPr="009869EF" w:rsidRDefault="00120717" w:rsidP="00CC0CEB">
      <w:pPr>
        <w:pStyle w:val="FootnoteText"/>
        <w:jc w:val="both"/>
      </w:pPr>
      <w:r w:rsidRPr="009869EF">
        <w:rPr>
          <w:rStyle w:val="FootnoteReference"/>
        </w:rPr>
        <w:footnoteRef/>
      </w:r>
      <w:r w:rsidRPr="009869EF">
        <w:t xml:space="preserve"> For more about the collaborative activity clearance regime, see Section 65A of the Commerce Act. </w:t>
      </w:r>
    </w:p>
  </w:footnote>
  <w:footnote w:id="215">
    <w:p w14:paraId="59F4BE55" w14:textId="77777777" w:rsidR="00120717" w:rsidRPr="009869EF" w:rsidRDefault="00120717" w:rsidP="001660DA">
      <w:pPr>
        <w:pStyle w:val="FootnoteText"/>
      </w:pPr>
      <w:r w:rsidRPr="009869EF">
        <w:rPr>
          <w:rStyle w:val="FootnoteReference"/>
        </w:rPr>
        <w:footnoteRef/>
      </w:r>
      <w:r w:rsidRPr="009869EF">
        <w:t xml:space="preserve"> For more about the exception relating to the vertical supply of goods and services, see Section 32 of the Commerce Act. </w:t>
      </w:r>
    </w:p>
  </w:footnote>
  <w:footnote w:id="216">
    <w:p w14:paraId="1D36BAEB" w14:textId="77777777" w:rsidR="00120717" w:rsidRPr="009869EF" w:rsidRDefault="00120717" w:rsidP="001660DA">
      <w:pPr>
        <w:pStyle w:val="FootnoteText"/>
        <w:ind w:firstLine="540"/>
      </w:pPr>
      <w:r w:rsidRPr="009869EF">
        <w:rPr>
          <w:rStyle w:val="FootnoteReference"/>
        </w:rPr>
        <w:footnoteRef/>
      </w:r>
      <w:r w:rsidRPr="009869EF">
        <w:t xml:space="preserve"> When giving a clearance or granting an authorization for business acquisitions, the Commerce Commission may accept a written undertaking to dispose of assets or shares specified in the undertaking. For more details, see Section 69A of the Commerce Act. </w:t>
      </w:r>
    </w:p>
  </w:footnote>
  <w:footnote w:id="217">
    <w:p w14:paraId="57AD7C65" w14:textId="77777777" w:rsidR="00120717" w:rsidRPr="009869EF" w:rsidRDefault="00120717" w:rsidP="00CC7B21">
      <w:pPr>
        <w:pStyle w:val="FootnoteText"/>
      </w:pPr>
      <w:r w:rsidRPr="009869EF">
        <w:rPr>
          <w:rStyle w:val="FootnoteReference"/>
        </w:rPr>
        <w:footnoteRef/>
      </w:r>
      <w:r w:rsidRPr="009869EF">
        <w:t xml:space="preserve"> For more details on market studies in general and the Retail Fuel, Retail Grocery</w:t>
      </w:r>
      <w:r>
        <w:t>,</w:t>
      </w:r>
      <w:r w:rsidRPr="009869EF">
        <w:t xml:space="preserve"> and Residential Building Supplies market studies, see </w:t>
      </w:r>
      <w:hyperlink r:id="rId75" w:history="1">
        <w:r>
          <w:rPr>
            <w:rStyle w:val="Hyperlink"/>
          </w:rPr>
          <w:t>https://comcom.govt.nz/about-us/our-role/competition-studies</w:t>
        </w:r>
      </w:hyperlink>
      <w:r w:rsidRPr="009869EF">
        <w:t xml:space="preserve">. </w:t>
      </w:r>
    </w:p>
  </w:footnote>
  <w:footnote w:id="218">
    <w:p w14:paraId="358A2348" w14:textId="77777777" w:rsidR="00120717" w:rsidRPr="009869EF" w:rsidRDefault="00120717" w:rsidP="00CC7B21">
      <w:pPr>
        <w:pStyle w:val="FootnoteText"/>
      </w:pPr>
      <w:r w:rsidRPr="009869EF">
        <w:rPr>
          <w:rStyle w:val="FootnoteReference"/>
        </w:rPr>
        <w:footnoteRef/>
      </w:r>
      <w:r w:rsidRPr="009869EF">
        <w:t xml:space="preserve"> </w:t>
      </w:r>
      <w:r>
        <w:t xml:space="preserve">Commerce Commission (2019), </w:t>
      </w:r>
      <w:r w:rsidRPr="00B90693">
        <w:rPr>
          <w:i/>
          <w:iCs/>
        </w:rPr>
        <w:t>Mergers and Acquisitions Guidelines</w:t>
      </w:r>
      <w:r>
        <w:t>.</w:t>
      </w:r>
      <w:r w:rsidRPr="009869EF">
        <w:t xml:space="preserve"> </w:t>
      </w:r>
      <w:r>
        <w:t>V</w:t>
      </w:r>
      <w:r w:rsidRPr="009869EF">
        <w:t xml:space="preserve">iewed at: </w:t>
      </w:r>
      <w:hyperlink r:id="rId76" w:history="1">
        <w:r>
          <w:rPr>
            <w:rStyle w:val="Hyperlink"/>
          </w:rPr>
          <w:t>https://comcom.govt.nz/__data/assets/pdf_file/0020/91019/Mergers-and-acquisitions-Guidelines-July-2019.pdf</w:t>
        </w:r>
      </w:hyperlink>
      <w:r w:rsidRPr="009869EF">
        <w:t xml:space="preserve">. </w:t>
      </w:r>
    </w:p>
  </w:footnote>
  <w:footnote w:id="219">
    <w:p w14:paraId="0F784CE9" w14:textId="77777777" w:rsidR="00120717" w:rsidRPr="009869EF" w:rsidRDefault="00120717" w:rsidP="00CC7B21">
      <w:pPr>
        <w:pStyle w:val="FootnoteText"/>
      </w:pPr>
      <w:r w:rsidRPr="009869EF">
        <w:rPr>
          <w:rStyle w:val="FootnoteReference"/>
        </w:rPr>
        <w:footnoteRef/>
      </w:r>
      <w:r w:rsidRPr="009869EF">
        <w:t xml:space="preserve"> </w:t>
      </w:r>
      <w:r>
        <w:t xml:space="preserve">Commerce Commission, </w:t>
      </w:r>
      <w:r w:rsidRPr="00B90693">
        <w:rPr>
          <w:i/>
          <w:iCs/>
        </w:rPr>
        <w:t>Statement of Intent: Our Approach for 2020-2024</w:t>
      </w:r>
      <w:r>
        <w:t>. V</w:t>
      </w:r>
      <w:r w:rsidRPr="009869EF">
        <w:t xml:space="preserve">iewed at: </w:t>
      </w:r>
      <w:hyperlink r:id="rId77" w:history="1">
        <w:r>
          <w:rPr>
            <w:rStyle w:val="Hyperlink"/>
          </w:rPr>
          <w:t>https://comcom.govt.nz/__data/assets/pdf_file/0014/222305/Statement-of-Intent-20202024.PDF</w:t>
        </w:r>
      </w:hyperlink>
      <w:r w:rsidRPr="009869EF">
        <w:t xml:space="preserve">. </w:t>
      </w:r>
    </w:p>
  </w:footnote>
  <w:footnote w:id="220">
    <w:p w14:paraId="152B52A0" w14:textId="77777777" w:rsidR="00120717" w:rsidRPr="009869EF" w:rsidRDefault="00120717" w:rsidP="00CC7B21">
      <w:pPr>
        <w:pStyle w:val="FootnoteText"/>
      </w:pPr>
      <w:r w:rsidRPr="009869EF">
        <w:rPr>
          <w:rStyle w:val="FootnoteReference"/>
        </w:rPr>
        <w:footnoteRef/>
      </w:r>
      <w:r w:rsidRPr="009869EF">
        <w:t xml:space="preserve"> </w:t>
      </w:r>
      <w:r>
        <w:t xml:space="preserve">Commerce Commission (2020), </w:t>
      </w:r>
      <w:r w:rsidRPr="00B90693">
        <w:rPr>
          <w:i/>
          <w:iCs/>
        </w:rPr>
        <w:t>Business Collaboration under COVID</w:t>
      </w:r>
      <w:r w:rsidRPr="00B90693">
        <w:rPr>
          <w:i/>
          <w:iCs/>
        </w:rPr>
        <w:noBreakHyphen/>
        <w:t>19</w:t>
      </w:r>
      <w:r>
        <w:t>. V</w:t>
      </w:r>
      <w:r w:rsidRPr="009869EF">
        <w:t xml:space="preserve">iewed at: </w:t>
      </w:r>
      <w:hyperlink r:id="rId78" w:history="1">
        <w:r>
          <w:rPr>
            <w:rStyle w:val="Hyperlink"/>
          </w:rPr>
          <w:t>https://comcom.govt.nz/__data/assets/pdf_file/0019/215812/Business-collaboration-under-COVID-19-guidelines-May-2020.pdf</w:t>
        </w:r>
      </w:hyperlink>
      <w:r w:rsidRPr="009869EF">
        <w:t xml:space="preserve">. </w:t>
      </w:r>
    </w:p>
  </w:footnote>
  <w:footnote w:id="221">
    <w:p w14:paraId="3A0D7EA5" w14:textId="77777777" w:rsidR="00120717" w:rsidRPr="009869EF" w:rsidRDefault="00120717" w:rsidP="00CC7B21">
      <w:pPr>
        <w:pStyle w:val="FootnoteText"/>
      </w:pPr>
      <w:r w:rsidRPr="009869EF">
        <w:rPr>
          <w:rStyle w:val="FootnoteReference"/>
        </w:rPr>
        <w:footnoteRef/>
      </w:r>
      <w:r w:rsidRPr="009869EF">
        <w:t xml:space="preserve"> The text of the Fuel Industry Act 2020 can be viewed at: </w:t>
      </w:r>
      <w:hyperlink r:id="rId79" w:history="1">
        <w:r>
          <w:rPr>
            <w:rStyle w:val="Hyperlink"/>
          </w:rPr>
          <w:t>https://www.legislation.govt.nz/act/public/2020/0060/latest/LMS321426.html</w:t>
        </w:r>
      </w:hyperlink>
      <w:r w:rsidRPr="009869EF">
        <w:t>.</w:t>
      </w:r>
    </w:p>
  </w:footnote>
  <w:footnote w:id="222">
    <w:p w14:paraId="32C05476" w14:textId="77777777" w:rsidR="00120717" w:rsidRPr="009869EF" w:rsidRDefault="00120717" w:rsidP="00CC7B21">
      <w:pPr>
        <w:pStyle w:val="FootnoteText"/>
      </w:pPr>
      <w:r w:rsidRPr="009869EF">
        <w:rPr>
          <w:rStyle w:val="FootnoteReference"/>
        </w:rPr>
        <w:footnoteRef/>
      </w:r>
      <w:r w:rsidRPr="009869EF">
        <w:t xml:space="preserve"> </w:t>
      </w:r>
      <w:r>
        <w:t xml:space="preserve">Commerce Commission, </w:t>
      </w:r>
      <w:r w:rsidRPr="00B90693">
        <w:rPr>
          <w:i/>
          <w:iCs/>
        </w:rPr>
        <w:t>Market Study into the Grocery Sector</w:t>
      </w:r>
      <w:r w:rsidRPr="009869EF">
        <w:t xml:space="preserve">. </w:t>
      </w:r>
      <w:r>
        <w:t>V</w:t>
      </w:r>
      <w:r w:rsidRPr="009869EF">
        <w:t xml:space="preserve">iewed at: </w:t>
      </w:r>
      <w:hyperlink r:id="rId80" w:history="1">
        <w:r w:rsidRPr="001E25AC">
          <w:rPr>
            <w:rStyle w:val="Hyperlink"/>
          </w:rPr>
          <w:t>https://comcom.govt.nz/about-us/our-role/competition-studies/market-study-into-retail-grocery-sectoComr</w:t>
        </w:r>
      </w:hyperlink>
      <w:r w:rsidRPr="009869EF">
        <w:t>.</w:t>
      </w:r>
    </w:p>
  </w:footnote>
  <w:footnote w:id="223">
    <w:p w14:paraId="17750883" w14:textId="19D6490A" w:rsidR="00120717" w:rsidRPr="009869EF" w:rsidRDefault="00120717" w:rsidP="00CC7B21">
      <w:pPr>
        <w:pStyle w:val="FootnoteText"/>
      </w:pPr>
      <w:r w:rsidRPr="009869EF">
        <w:rPr>
          <w:rStyle w:val="FootnoteReference"/>
        </w:rPr>
        <w:footnoteRef/>
      </w:r>
      <w:r w:rsidRPr="009869EF">
        <w:t xml:space="preserve"> Electricity Authority</w:t>
      </w:r>
      <w:r>
        <w:t xml:space="preserve"> (2020), </w:t>
      </w:r>
      <w:r w:rsidRPr="00B90693">
        <w:rPr>
          <w:i/>
          <w:iCs/>
        </w:rPr>
        <w:t>Saves and Win-backs Code</w:t>
      </w:r>
      <w:r>
        <w:rPr>
          <w:i/>
          <w:iCs/>
        </w:rPr>
        <w:t>:</w:t>
      </w:r>
      <w:r w:rsidRPr="00B90693">
        <w:rPr>
          <w:i/>
          <w:iCs/>
        </w:rPr>
        <w:t xml:space="preserve"> Amendment</w:t>
      </w:r>
      <w:r w:rsidRPr="00B90693">
        <w:t>, 18</w:t>
      </w:r>
      <w:r w:rsidR="00A56655">
        <w:t> </w:t>
      </w:r>
      <w:r w:rsidRPr="00B90693">
        <w:t>February.</w:t>
      </w:r>
      <w:r>
        <w:t xml:space="preserve"> V</w:t>
      </w:r>
      <w:r w:rsidRPr="009869EF">
        <w:t xml:space="preserve">iewed at: </w:t>
      </w:r>
      <w:hyperlink r:id="rId81" w:history="1">
        <w:r w:rsidRPr="009869EF">
          <w:rPr>
            <w:rStyle w:val="Hyperlink"/>
          </w:rPr>
          <w:t>https://www.ea.govt.nz/assets/dms-assets/26/26369Saves-and-Win-backs-Code-Amendment-Decision-Paper.PDF</w:t>
        </w:r>
      </w:hyperlink>
      <w:r w:rsidRPr="009869EF">
        <w:t>.</w:t>
      </w:r>
    </w:p>
  </w:footnote>
  <w:footnote w:id="224">
    <w:p w14:paraId="7FD454AA" w14:textId="77777777" w:rsidR="00120717" w:rsidRPr="009869EF" w:rsidRDefault="00120717" w:rsidP="00CC7B21">
      <w:pPr>
        <w:pStyle w:val="FootnoteText"/>
      </w:pPr>
      <w:r w:rsidRPr="009869EF">
        <w:rPr>
          <w:rStyle w:val="FootnoteReference"/>
        </w:rPr>
        <w:footnoteRef/>
      </w:r>
      <w:r w:rsidRPr="009869EF">
        <w:t xml:space="preserve"> </w:t>
      </w:r>
      <w:r>
        <w:t xml:space="preserve">Commerce Commission (2018), </w:t>
      </w:r>
      <w:r w:rsidRPr="00B90693">
        <w:rPr>
          <w:i/>
          <w:iCs/>
        </w:rPr>
        <w:t>Competition and Consumer Investigation Guidelines</w:t>
      </w:r>
      <w:r>
        <w:t>. V</w:t>
      </w:r>
      <w:r w:rsidRPr="009869EF">
        <w:t xml:space="preserve">iewed at: </w:t>
      </w:r>
      <w:hyperlink r:id="rId82" w:history="1">
        <w:r>
          <w:rPr>
            <w:rStyle w:val="Hyperlink"/>
          </w:rPr>
          <w:t>https://comcom.govt.nz/__data/assets/pdf_file/0028/89821/Competition-and-Consumer-Investigation-Guidelines-July-2018.pdf</w:t>
        </w:r>
      </w:hyperlink>
      <w:r w:rsidRPr="009869EF">
        <w:t>.</w:t>
      </w:r>
    </w:p>
  </w:footnote>
  <w:footnote w:id="225">
    <w:p w14:paraId="0FC0FE1D" w14:textId="77777777" w:rsidR="00120717" w:rsidRPr="009869EF" w:rsidRDefault="00120717" w:rsidP="00CC7B21">
      <w:pPr>
        <w:pStyle w:val="FootnoteText"/>
      </w:pPr>
      <w:r w:rsidRPr="009869EF">
        <w:rPr>
          <w:rStyle w:val="FootnoteReference"/>
        </w:rPr>
        <w:footnoteRef/>
      </w:r>
      <w:r w:rsidRPr="009869EF">
        <w:t xml:space="preserve"> Commerce Commission</w:t>
      </w:r>
      <w:r>
        <w:t>,</w:t>
      </w:r>
      <w:r w:rsidRPr="009869EF">
        <w:t xml:space="preserve"> </w:t>
      </w:r>
      <w:r w:rsidRPr="00B90693">
        <w:rPr>
          <w:i/>
          <w:iCs/>
        </w:rPr>
        <w:t>Annual Report 2020</w:t>
      </w:r>
      <w:r>
        <w:t>. V</w:t>
      </w:r>
      <w:r w:rsidRPr="009869EF">
        <w:t xml:space="preserve">iewed at: </w:t>
      </w:r>
      <w:hyperlink r:id="rId83" w:history="1">
        <w:r>
          <w:rPr>
            <w:rStyle w:val="Hyperlink"/>
          </w:rPr>
          <w:t>https://comcom.govt.nz/__data/assets/pdf_file/0018/234027/Commerce-Commission-Annual-Report-2020.pdf</w:t>
        </w:r>
      </w:hyperlink>
      <w:r w:rsidRPr="009869EF">
        <w:t>.</w:t>
      </w:r>
    </w:p>
  </w:footnote>
  <w:footnote w:id="226">
    <w:p w14:paraId="79E157DA" w14:textId="77777777" w:rsidR="00120717" w:rsidRPr="009869EF" w:rsidRDefault="00120717" w:rsidP="00341DC9">
      <w:pPr>
        <w:pStyle w:val="FootnoteText"/>
        <w:jc w:val="both"/>
      </w:pPr>
      <w:r w:rsidRPr="009869EF">
        <w:rPr>
          <w:rStyle w:val="FootnoteReference"/>
        </w:rPr>
        <w:footnoteRef/>
      </w:r>
      <w:r w:rsidRPr="009869EF">
        <w:t xml:space="preserve"> New</w:t>
      </w:r>
      <w:r>
        <w:t> Zealand</w:t>
      </w:r>
      <w:r w:rsidRPr="009869EF">
        <w:t xml:space="preserve"> also signed the Trans-Pacific Partnership Agreement (TPP) in February 2016. Following </w:t>
      </w:r>
      <w:r>
        <w:t xml:space="preserve">the </w:t>
      </w:r>
      <w:r w:rsidRPr="009869EF">
        <w:t>U</w:t>
      </w:r>
      <w:r>
        <w:t>nited </w:t>
      </w:r>
      <w:r w:rsidRPr="009869EF">
        <w:t>S</w:t>
      </w:r>
      <w:r>
        <w:t>tates'</w:t>
      </w:r>
      <w:r w:rsidRPr="009869EF">
        <w:t xml:space="preserve"> withdrawal from the TPP, the remaining members concluded negotiations on the CPTPP on 23</w:t>
      </w:r>
      <w:r>
        <w:t> </w:t>
      </w:r>
      <w:r w:rsidRPr="009869EF">
        <w:t>January</w:t>
      </w:r>
      <w:r>
        <w:t> </w:t>
      </w:r>
      <w:r w:rsidRPr="009869EF">
        <w:t>2018.</w:t>
      </w:r>
    </w:p>
  </w:footnote>
  <w:footnote w:id="227">
    <w:p w14:paraId="54F444AC" w14:textId="77777777" w:rsidR="00120717" w:rsidRPr="009869EF" w:rsidRDefault="00120717" w:rsidP="00185006">
      <w:pPr>
        <w:pStyle w:val="FootnoteText"/>
      </w:pPr>
      <w:r w:rsidRPr="009869EF">
        <w:rPr>
          <w:rStyle w:val="FootnoteReference"/>
        </w:rPr>
        <w:footnoteRef/>
      </w:r>
      <w:r w:rsidRPr="009869EF">
        <w:t xml:space="preserve"> WTO document G/STR/N/18/NZL, 2</w:t>
      </w:r>
      <w:r>
        <w:t> </w:t>
      </w:r>
      <w:r w:rsidRPr="009869EF">
        <w:t>July</w:t>
      </w:r>
      <w:r>
        <w:t> </w:t>
      </w:r>
      <w:r w:rsidRPr="009869EF">
        <w:t>2020.</w:t>
      </w:r>
    </w:p>
  </w:footnote>
  <w:footnote w:id="228">
    <w:p w14:paraId="39FB6BB4" w14:textId="77777777" w:rsidR="00120717" w:rsidRPr="009869EF" w:rsidRDefault="00120717" w:rsidP="00185006">
      <w:pPr>
        <w:pStyle w:val="FootnoteText"/>
      </w:pPr>
      <w:r w:rsidRPr="009869EF">
        <w:rPr>
          <w:rStyle w:val="FootnoteReference"/>
        </w:rPr>
        <w:footnoteRef/>
      </w:r>
      <w:r w:rsidRPr="009869EF">
        <w:t xml:space="preserve"> </w:t>
      </w:r>
      <w:r w:rsidRPr="009869EF">
        <w:rPr>
          <w:szCs w:val="16"/>
        </w:rPr>
        <w:t xml:space="preserve">Commerce Commission, </w:t>
      </w:r>
      <w:r w:rsidRPr="009869EF">
        <w:rPr>
          <w:i/>
          <w:iCs/>
          <w:szCs w:val="16"/>
        </w:rPr>
        <w:t>Regulated Industries</w:t>
      </w:r>
      <w:r w:rsidRPr="009869EF">
        <w:rPr>
          <w:szCs w:val="16"/>
        </w:rPr>
        <w:t>. Viewed at</w:t>
      </w:r>
      <w:r>
        <w:rPr>
          <w:szCs w:val="16"/>
        </w:rPr>
        <w:t>:</w:t>
      </w:r>
      <w:r w:rsidRPr="009869EF">
        <w:rPr>
          <w:szCs w:val="16"/>
        </w:rPr>
        <w:t xml:space="preserve"> </w:t>
      </w:r>
      <w:hyperlink r:id="rId84" w:history="1">
        <w:r w:rsidRPr="009869EF">
          <w:rPr>
            <w:rStyle w:val="Hyperlink"/>
            <w:szCs w:val="16"/>
          </w:rPr>
          <w:t>http://www.comcom.govt.nz/regulated-industries/</w:t>
        </w:r>
      </w:hyperlink>
      <w:r w:rsidRPr="009869EF">
        <w:rPr>
          <w:szCs w:val="16"/>
        </w:rPr>
        <w:t>.</w:t>
      </w:r>
    </w:p>
  </w:footnote>
  <w:footnote w:id="229">
    <w:p w14:paraId="7D5F9D79" w14:textId="77777777" w:rsidR="00120717" w:rsidRPr="009869EF" w:rsidRDefault="00120717" w:rsidP="00185006">
      <w:pPr>
        <w:pStyle w:val="FootnoteText"/>
      </w:pPr>
      <w:r w:rsidRPr="009869EF">
        <w:rPr>
          <w:rStyle w:val="FootnoteReference"/>
        </w:rPr>
        <w:footnoteRef/>
      </w:r>
      <w:r>
        <w:t xml:space="preserve"> The Treasury, </w:t>
      </w:r>
      <w:r w:rsidRPr="001E25AC">
        <w:rPr>
          <w:i/>
          <w:iCs/>
        </w:rPr>
        <w:t>Portfolio of Companies and Entities</w:t>
      </w:r>
      <w:r>
        <w:t xml:space="preserve">. Viewed at: </w:t>
      </w:r>
      <w:hyperlink r:id="rId85" w:history="1">
        <w:r w:rsidRPr="002673A6">
          <w:rPr>
            <w:rStyle w:val="Hyperlink"/>
          </w:rPr>
          <w:t>https://www.treasury.govt.nz/information-and-services/commercial-portfolio-and-advice/commercial-portfolio</w:t>
        </w:r>
      </w:hyperlink>
      <w:r>
        <w:t xml:space="preserve">. </w:t>
      </w:r>
    </w:p>
  </w:footnote>
  <w:footnote w:id="230">
    <w:p w14:paraId="582916ED" w14:textId="77777777" w:rsidR="00120717" w:rsidRPr="009869EF" w:rsidRDefault="00120717" w:rsidP="003A49AC">
      <w:pPr>
        <w:pStyle w:val="FootnoteText"/>
      </w:pPr>
      <w:r w:rsidRPr="009869EF">
        <w:rPr>
          <w:rStyle w:val="FootnoteReference"/>
        </w:rPr>
        <w:footnoteRef/>
      </w:r>
      <w:r w:rsidRPr="009869EF">
        <w:t xml:space="preserve"> Data</w:t>
      </w:r>
      <w:r w:rsidRPr="009869EF">
        <w:rPr>
          <w:szCs w:val="20"/>
        </w:rPr>
        <w:t xml:space="preserve"> provided by the authorities.</w:t>
      </w:r>
    </w:p>
  </w:footnote>
  <w:footnote w:id="231">
    <w:p w14:paraId="3B61788F" w14:textId="77777777" w:rsidR="00120717" w:rsidRPr="009869EF" w:rsidRDefault="00120717" w:rsidP="00DB7089">
      <w:pPr>
        <w:pStyle w:val="FootnoteText"/>
        <w:rPr>
          <w:szCs w:val="16"/>
        </w:rPr>
      </w:pPr>
      <w:r w:rsidRPr="009869EF">
        <w:rPr>
          <w:rStyle w:val="FootnoteReference"/>
          <w:szCs w:val="16"/>
        </w:rPr>
        <w:footnoteRef/>
      </w:r>
      <w:r w:rsidRPr="009869EF">
        <w:t xml:space="preserve"> For more details on these five principles, see</w:t>
      </w:r>
      <w:r w:rsidRPr="009869EF">
        <w:rPr>
          <w:szCs w:val="16"/>
        </w:rPr>
        <w:t xml:space="preserve"> </w:t>
      </w:r>
      <w:r>
        <w:rPr>
          <w:szCs w:val="16"/>
        </w:rPr>
        <w:t xml:space="preserve">the New Zealand Government Procurement website: </w:t>
      </w:r>
      <w:hyperlink r:id="rId86" w:history="1">
        <w:r>
          <w:rPr>
            <w:rStyle w:val="Hyperlink"/>
            <w:color w:val="0000FF"/>
            <w:szCs w:val="16"/>
            <w:lang w:eastAsia="en-US"/>
          </w:rPr>
          <w:t>https://www.procurement.govt.nz/procurement/principles-charter-and-rules/government-procurement-principles/</w:t>
        </w:r>
      </w:hyperlink>
      <w:r w:rsidRPr="009869EF">
        <w:rPr>
          <w:szCs w:val="16"/>
          <w:lang w:eastAsia="en-US"/>
        </w:rPr>
        <w:t>.</w:t>
      </w:r>
    </w:p>
  </w:footnote>
  <w:footnote w:id="232">
    <w:p w14:paraId="255AE675" w14:textId="77777777" w:rsidR="00120717" w:rsidRPr="009869EF" w:rsidRDefault="00120717" w:rsidP="00DB7089">
      <w:pPr>
        <w:pStyle w:val="FootnoteText"/>
        <w:rPr>
          <w:szCs w:val="16"/>
        </w:rPr>
      </w:pPr>
      <w:r w:rsidRPr="009869EF">
        <w:rPr>
          <w:rStyle w:val="FootnoteReference"/>
          <w:szCs w:val="16"/>
        </w:rPr>
        <w:footnoteRef/>
      </w:r>
      <w:r w:rsidRPr="009869EF">
        <w:rPr>
          <w:szCs w:val="16"/>
        </w:rPr>
        <w:t xml:space="preserve"> All the relevant documents can be viewed </w:t>
      </w:r>
      <w:r>
        <w:rPr>
          <w:szCs w:val="16"/>
        </w:rPr>
        <w:t>on the New Zealand Government Procurement website</w:t>
      </w:r>
      <w:r w:rsidRPr="009869EF">
        <w:rPr>
          <w:szCs w:val="16"/>
        </w:rPr>
        <w:t xml:space="preserve">: </w:t>
      </w:r>
      <w:hyperlink r:id="rId87" w:history="1">
        <w:r>
          <w:rPr>
            <w:rStyle w:val="Hyperlink"/>
            <w:color w:val="0000FF"/>
            <w:szCs w:val="16"/>
            <w:lang w:eastAsia="en-US"/>
          </w:rPr>
          <w:t>https://www.procurement.govt.nz/procurement/principles-charter-and-rules/</w:t>
        </w:r>
      </w:hyperlink>
      <w:r w:rsidRPr="009869EF">
        <w:rPr>
          <w:szCs w:val="16"/>
          <w:lang w:eastAsia="en-US"/>
        </w:rPr>
        <w:t>.</w:t>
      </w:r>
    </w:p>
  </w:footnote>
  <w:footnote w:id="233">
    <w:p w14:paraId="2B47EE8C" w14:textId="77777777" w:rsidR="00120717" w:rsidRPr="009869EF" w:rsidRDefault="00120717" w:rsidP="00CC7B21">
      <w:pPr>
        <w:pStyle w:val="FootnoteText"/>
      </w:pPr>
      <w:r w:rsidRPr="009869EF">
        <w:rPr>
          <w:rStyle w:val="FootnoteReference"/>
          <w:szCs w:val="16"/>
        </w:rPr>
        <w:footnoteRef/>
      </w:r>
      <w:r w:rsidRPr="009869EF">
        <w:t xml:space="preserve"> The list of government agencies required or encouraged to apply the Rules can be viewed </w:t>
      </w:r>
      <w:r>
        <w:t>on the New Zealand Government Procurement website</w:t>
      </w:r>
      <w:r w:rsidRPr="009869EF">
        <w:t xml:space="preserve">: </w:t>
      </w:r>
      <w:hyperlink r:id="rId88" w:history="1">
        <w:r>
          <w:rPr>
            <w:rStyle w:val="Hyperlink"/>
            <w:color w:val="0000FF"/>
            <w:szCs w:val="16"/>
            <w:lang w:eastAsia="en-US"/>
          </w:rPr>
          <w:t>https://www.procurement.govt.nz/about-us/mandate-and-eligibility/eligible-agencies-procurement/</w:t>
        </w:r>
      </w:hyperlink>
      <w:r w:rsidRPr="009869EF">
        <w:rPr>
          <w:szCs w:val="16"/>
          <w:lang w:eastAsia="en-US"/>
        </w:rPr>
        <w:t>.</w:t>
      </w:r>
    </w:p>
  </w:footnote>
  <w:footnote w:id="234">
    <w:p w14:paraId="019734C0" w14:textId="77777777" w:rsidR="00120717" w:rsidRPr="009869EF" w:rsidRDefault="00120717" w:rsidP="00CC7B21">
      <w:pPr>
        <w:pStyle w:val="FootnoteText"/>
        <w:rPr>
          <w:szCs w:val="16"/>
        </w:rPr>
      </w:pPr>
      <w:r w:rsidRPr="009869EF">
        <w:rPr>
          <w:rStyle w:val="FootnoteReference"/>
          <w:szCs w:val="16"/>
        </w:rPr>
        <w:footnoteRef/>
      </w:r>
      <w:r w:rsidRPr="009869EF">
        <w:rPr>
          <w:szCs w:val="16"/>
        </w:rPr>
        <w:t xml:space="preserve"> See Rule 16 on Broader Outcomes. </w:t>
      </w:r>
    </w:p>
  </w:footnote>
  <w:footnote w:id="235">
    <w:p w14:paraId="20CF4C98" w14:textId="77777777" w:rsidR="00120717" w:rsidRPr="009869EF" w:rsidRDefault="00120717" w:rsidP="00CC7B21">
      <w:pPr>
        <w:pStyle w:val="FootnoteText"/>
      </w:pPr>
      <w:r w:rsidRPr="009869EF">
        <w:rPr>
          <w:rStyle w:val="FootnoteReference"/>
          <w:szCs w:val="16"/>
        </w:rPr>
        <w:footnoteRef/>
      </w:r>
      <w:r w:rsidRPr="009869EF">
        <w:t xml:space="preserve"> The </w:t>
      </w:r>
      <w:r w:rsidRPr="009869EF">
        <w:rPr>
          <w:szCs w:val="16"/>
        </w:rPr>
        <w:t>Guidelines on removing barriers for New</w:t>
      </w:r>
      <w:r>
        <w:rPr>
          <w:szCs w:val="16"/>
        </w:rPr>
        <w:t> Zealand</w:t>
      </w:r>
      <w:r w:rsidRPr="009869EF">
        <w:rPr>
          <w:szCs w:val="16"/>
        </w:rPr>
        <w:t xml:space="preserve"> businesses (viewed at: </w:t>
      </w:r>
      <w:hyperlink r:id="rId89" w:history="1">
        <w:r>
          <w:rPr>
            <w:rStyle w:val="Hyperlink"/>
            <w:color w:val="0000FF"/>
            <w:szCs w:val="16"/>
            <w:lang w:eastAsia="en-US"/>
          </w:rPr>
          <w:t>https://www.procurement.govt.nz/assets/procurement-property/documents/broader-outcomes/removing-barriers-for-new-zealand-businesses.pdf</w:t>
        </w:r>
      </w:hyperlink>
      <w:r w:rsidRPr="009869EF">
        <w:rPr>
          <w:szCs w:val="16"/>
          <w:lang w:eastAsia="en-US"/>
        </w:rPr>
        <w:t xml:space="preserve">) and on </w:t>
      </w:r>
      <w:r>
        <w:rPr>
          <w:szCs w:val="16"/>
          <w:lang w:eastAsia="en-US"/>
        </w:rPr>
        <w:t>s</w:t>
      </w:r>
      <w:r w:rsidRPr="009869EF">
        <w:rPr>
          <w:szCs w:val="16"/>
        </w:rPr>
        <w:t xml:space="preserve">upporting Māori, Pasifika, and regional businesses (viewed at: </w:t>
      </w:r>
      <w:hyperlink r:id="rId90" w:history="1">
        <w:r>
          <w:rPr>
            <w:rStyle w:val="Hyperlink"/>
            <w:color w:val="0000FF"/>
            <w:szCs w:val="16"/>
            <w:lang w:eastAsia="en-US"/>
          </w:rPr>
          <w:t>https://www.procurement.govt.nz/assets/procurement-property/documents/broader-outcomes/supporting-maori-pasifika-and-regional-businesses.pdf</w:t>
        </w:r>
      </w:hyperlink>
      <w:r>
        <w:rPr>
          <w:rStyle w:val="Hyperlink"/>
          <w:color w:val="0000FF"/>
          <w:szCs w:val="16"/>
          <w:lang w:eastAsia="en-US"/>
        </w:rPr>
        <w:t>)</w:t>
      </w:r>
      <w:r w:rsidRPr="009869EF">
        <w:rPr>
          <w:szCs w:val="16"/>
          <w:lang w:eastAsia="en-US"/>
        </w:rPr>
        <w:t xml:space="preserve"> provide additional details.</w:t>
      </w:r>
      <w:r w:rsidRPr="009869EF">
        <w:rPr>
          <w:sz w:val="18"/>
          <w:szCs w:val="22"/>
          <w:lang w:eastAsia="en-US"/>
        </w:rPr>
        <w:t xml:space="preserve"> </w:t>
      </w:r>
    </w:p>
  </w:footnote>
  <w:footnote w:id="236">
    <w:p w14:paraId="4BBA2874" w14:textId="77777777" w:rsidR="00120717" w:rsidRPr="009869EF" w:rsidRDefault="00120717" w:rsidP="00CC7B21">
      <w:pPr>
        <w:pStyle w:val="FootnoteText"/>
      </w:pPr>
      <w:r w:rsidRPr="009869EF">
        <w:rPr>
          <w:rStyle w:val="FootnoteReference"/>
          <w:szCs w:val="16"/>
        </w:rPr>
        <w:footnoteRef/>
      </w:r>
      <w:r w:rsidRPr="009869EF">
        <w:t xml:space="preserve"> The Broader Outcomes are explained in detail in the Rules. For example, Rule 17 obliges procuring entities to consider how they can facilitate access of New</w:t>
      </w:r>
      <w:r>
        <w:t> Zealand</w:t>
      </w:r>
      <w:r w:rsidRPr="009869EF">
        <w:t xml:space="preserve"> businesses to the government procurement sector, including Māori, Pasifika</w:t>
      </w:r>
      <w:r>
        <w:t>,</w:t>
      </w:r>
      <w:r w:rsidRPr="009869EF">
        <w:t xml:space="preserve"> and regional businesses</w:t>
      </w:r>
      <w:r>
        <w:t>,</w:t>
      </w:r>
      <w:r w:rsidRPr="009869EF">
        <w:t xml:space="preserve"> as well as social enterprises. Nevertheless, facilitating access for local businesses should not violate the principle of non-discrimination and the contract should be awarded to the supplier offering the best value for money. </w:t>
      </w:r>
    </w:p>
  </w:footnote>
  <w:footnote w:id="237">
    <w:p w14:paraId="3FAEC930" w14:textId="77777777" w:rsidR="00120717" w:rsidRPr="009869EF" w:rsidRDefault="00120717" w:rsidP="00CC7B21">
      <w:pPr>
        <w:pStyle w:val="FootnoteText"/>
        <w:rPr>
          <w:szCs w:val="16"/>
        </w:rPr>
      </w:pPr>
      <w:r w:rsidRPr="009869EF">
        <w:rPr>
          <w:rStyle w:val="FootnoteReference"/>
          <w:szCs w:val="16"/>
        </w:rPr>
        <w:footnoteRef/>
      </w:r>
      <w:r w:rsidRPr="009869EF">
        <w:t xml:space="preserve"> </w:t>
      </w:r>
      <w:r>
        <w:t xml:space="preserve">New Zealand Government Procurement (2019), </w:t>
      </w:r>
      <w:r w:rsidRPr="00B90693">
        <w:rPr>
          <w:i/>
          <w:iCs/>
        </w:rPr>
        <w:t>Government Procurement Rules</w:t>
      </w:r>
      <w:r>
        <w:t>. Viewed</w:t>
      </w:r>
      <w:r w:rsidRPr="009869EF">
        <w:t xml:space="preserve"> at: </w:t>
      </w:r>
      <w:hyperlink r:id="rId91" w:history="1">
        <w:r>
          <w:rPr>
            <w:rStyle w:val="Hyperlink"/>
            <w:color w:val="0000FF"/>
            <w:szCs w:val="16"/>
            <w:lang w:eastAsia="en-US"/>
          </w:rPr>
          <w:t>https://www.procurement.govt.nz/assets/procurement-property/documents/government-procurement-rules.pdf</w:t>
        </w:r>
      </w:hyperlink>
      <w:r w:rsidRPr="00150FE8">
        <w:rPr>
          <w:szCs w:val="16"/>
          <w:lang w:eastAsia="en-US"/>
        </w:rPr>
        <w:t>.</w:t>
      </w:r>
    </w:p>
  </w:footnote>
  <w:footnote w:id="238">
    <w:p w14:paraId="2F690CE8" w14:textId="77777777" w:rsidR="00120717" w:rsidRPr="009869EF" w:rsidRDefault="00120717" w:rsidP="00CC7B21">
      <w:pPr>
        <w:pStyle w:val="FootnoteText"/>
      </w:pPr>
      <w:r w:rsidRPr="009869EF">
        <w:rPr>
          <w:rStyle w:val="FootnoteReference"/>
          <w:szCs w:val="16"/>
        </w:rPr>
        <w:footnoteRef/>
      </w:r>
      <w:r w:rsidRPr="009869EF">
        <w:t xml:space="preserve"> For more details, see Rule 19 on Improving Conditions for New</w:t>
      </w:r>
      <w:r>
        <w:t> Zealand</w:t>
      </w:r>
      <w:r w:rsidRPr="009869EF">
        <w:t xml:space="preserve"> </w:t>
      </w:r>
      <w:r>
        <w:t>W</w:t>
      </w:r>
      <w:r w:rsidRPr="009869EF">
        <w:t>orkers. Another sustainability-related norm is included in Rule 20 on Transitioning to a Net-Zero Emissions Economy and Designing Waste Out of the System</w:t>
      </w:r>
      <w:r>
        <w:t>,</w:t>
      </w:r>
      <w:r w:rsidRPr="009869EF">
        <w:t xml:space="preserve"> which mandates procuring entities to support the procurement of low</w:t>
      </w:r>
      <w:r>
        <w:noBreakHyphen/>
      </w:r>
      <w:r w:rsidRPr="009869EF">
        <w:t xml:space="preserve">waste and low-emissions goods and services. </w:t>
      </w:r>
    </w:p>
  </w:footnote>
  <w:footnote w:id="239">
    <w:p w14:paraId="6C20EB48" w14:textId="77777777" w:rsidR="00120717" w:rsidRPr="009869EF" w:rsidRDefault="00120717" w:rsidP="00E95F9E">
      <w:pPr>
        <w:pStyle w:val="FootnoteText"/>
      </w:pPr>
      <w:r w:rsidRPr="009869EF">
        <w:rPr>
          <w:rStyle w:val="FootnoteReference"/>
          <w:szCs w:val="16"/>
        </w:rPr>
        <w:footnoteRef/>
      </w:r>
      <w:r w:rsidRPr="009869EF">
        <w:t xml:space="preserve"> Commitment 12 of the National Action Plan 2018-2020 aims "to publish the data on government-awarded contracts that is currently publicly available on the Government Electronic Tenders Service (GETS) as open data"</w:t>
      </w:r>
      <w:r>
        <w:t>.</w:t>
      </w:r>
      <w:r w:rsidRPr="009869EF">
        <w:t xml:space="preserve"> </w:t>
      </w:r>
      <w:r>
        <w:t xml:space="preserve">Open Government Partnership New Zealand, </w:t>
      </w:r>
      <w:r w:rsidRPr="00B90693">
        <w:rPr>
          <w:i/>
          <w:iCs/>
        </w:rPr>
        <w:t>Third National Action Plan</w:t>
      </w:r>
      <w:r>
        <w:t xml:space="preserve">. Viewed at: </w:t>
      </w:r>
      <w:hyperlink r:id="rId92" w:history="1">
        <w:r>
          <w:rPr>
            <w:rStyle w:val="Hyperlink"/>
            <w:color w:val="0000FF"/>
            <w:szCs w:val="16"/>
            <w:lang w:eastAsia="en-US"/>
          </w:rPr>
          <w:t>https://ogp.org.nz/new-zealands-plan/third-national-action-plan-2018-2020</w:t>
        </w:r>
      </w:hyperlink>
      <w:r w:rsidRPr="009869EF">
        <w:rPr>
          <w:szCs w:val="16"/>
          <w:lang w:eastAsia="en-US"/>
        </w:rPr>
        <w:t xml:space="preserve">. </w:t>
      </w:r>
    </w:p>
  </w:footnote>
  <w:footnote w:id="240">
    <w:p w14:paraId="45EF228A" w14:textId="77777777" w:rsidR="00120717" w:rsidRPr="009869EF" w:rsidRDefault="00120717" w:rsidP="00E95F9E">
      <w:pPr>
        <w:pStyle w:val="FootnoteText"/>
      </w:pPr>
      <w:r w:rsidRPr="009869EF">
        <w:rPr>
          <w:rStyle w:val="FootnoteReference"/>
          <w:szCs w:val="16"/>
        </w:rPr>
        <w:footnoteRef/>
      </w:r>
      <w:r w:rsidRPr="009869EF">
        <w:t xml:space="preserve"> Such Panels may be established by an entity for its use only or be open for use by other entities when established and approved as an Open Syndicated Contract. </w:t>
      </w:r>
    </w:p>
  </w:footnote>
  <w:footnote w:id="241">
    <w:p w14:paraId="020CEBDE" w14:textId="77777777" w:rsidR="00120717" w:rsidRPr="009869EF" w:rsidRDefault="00120717" w:rsidP="00E95F9E">
      <w:pPr>
        <w:pStyle w:val="FootnoteText"/>
      </w:pPr>
      <w:r w:rsidRPr="009869EF">
        <w:rPr>
          <w:rStyle w:val="FootnoteReference"/>
          <w:szCs w:val="16"/>
        </w:rPr>
        <w:footnoteRef/>
      </w:r>
      <w:r w:rsidRPr="009869EF">
        <w:t xml:space="preserve"> All entities must purchase through these agreements, unless there is a good reason not to.</w:t>
      </w:r>
    </w:p>
  </w:footnote>
  <w:footnote w:id="242">
    <w:p w14:paraId="44C14E0F" w14:textId="77777777" w:rsidR="00120717" w:rsidRPr="00516DCA" w:rsidRDefault="00120717" w:rsidP="00B220C9">
      <w:pPr>
        <w:pStyle w:val="FootnoteText"/>
      </w:pPr>
      <w:r w:rsidRPr="00516DCA">
        <w:rPr>
          <w:rStyle w:val="FootnoteReference"/>
          <w:szCs w:val="16"/>
        </w:rPr>
        <w:footnoteRef/>
      </w:r>
      <w:r w:rsidRPr="00516DCA">
        <w:t xml:space="preserve"> World Bank Data. Viewed at: </w:t>
      </w:r>
      <w:hyperlink r:id="rId93" w:history="1">
        <w:r w:rsidRPr="00516DCA">
          <w:rPr>
            <w:rStyle w:val="Hyperlink"/>
          </w:rPr>
          <w:t>https://data.worldbank.org/indicator/BX.GSR.ROYL.CD?locations=NZ</w:t>
        </w:r>
      </w:hyperlink>
      <w:r w:rsidRPr="00516DCA">
        <w:t xml:space="preserve">. </w:t>
      </w:r>
    </w:p>
  </w:footnote>
  <w:footnote w:id="243">
    <w:p w14:paraId="46DC67F3" w14:textId="77777777" w:rsidR="00120717" w:rsidRPr="00516DCA" w:rsidRDefault="00120717" w:rsidP="00B220C9">
      <w:pPr>
        <w:pStyle w:val="FootnoteText"/>
      </w:pPr>
      <w:r w:rsidRPr="00516DCA">
        <w:rPr>
          <w:rStyle w:val="FootnoteReference"/>
          <w:szCs w:val="16"/>
        </w:rPr>
        <w:footnoteRef/>
      </w:r>
      <w:r w:rsidRPr="00516DCA">
        <w:t xml:space="preserve"> Charges for the use of intellectual property are payments and receipts between residents and non</w:t>
      </w:r>
      <w:r w:rsidRPr="00516DCA">
        <w:noBreakHyphen/>
        <w:t>residents for the authorized use of proprietary rights (such as patents, trademarks, copyrights, industrial processes and designs including trade secrets, and franchises) and for the use, through licensing agreements, of produced originals or prototypes (such as copyrights on books and manuscripts, computer software, cinematographic works, and sound recordings) and related rights (such as for live performances and television, cable, or satellite broadcast).</w:t>
      </w:r>
    </w:p>
  </w:footnote>
  <w:footnote w:id="244">
    <w:p w14:paraId="108C9F3C" w14:textId="77777777" w:rsidR="00120717" w:rsidRPr="00516DCA" w:rsidRDefault="00120717" w:rsidP="00B220C9">
      <w:pPr>
        <w:pStyle w:val="FootnoteText"/>
      </w:pPr>
      <w:r w:rsidRPr="00516DCA">
        <w:rPr>
          <w:rStyle w:val="FootnoteReference"/>
          <w:szCs w:val="16"/>
        </w:rPr>
        <w:footnoteRef/>
      </w:r>
      <w:r w:rsidRPr="00516DCA">
        <w:t xml:space="preserve"> New</w:t>
      </w:r>
      <w:r>
        <w:t> Zealand</w:t>
      </w:r>
      <w:r w:rsidRPr="00516DCA">
        <w:t xml:space="preserve"> has notified most new laws and regulations and amendments to existing laws and regulations to the TRIPS Council. </w:t>
      </w:r>
      <w:r>
        <w:t>T</w:t>
      </w:r>
      <w:r w:rsidRPr="00516DCA">
        <w:t xml:space="preserve">he associated notifications, carrying the </w:t>
      </w:r>
      <w:r w:rsidRPr="00E9137A">
        <w:t>IP/N/1/NZL/-</w:t>
      </w:r>
      <w:r w:rsidRPr="00516DCA">
        <w:t xml:space="preserve"> symbol, have been provided in relevant footnote references.</w:t>
      </w:r>
    </w:p>
  </w:footnote>
  <w:footnote w:id="245">
    <w:p w14:paraId="7DC57EFC" w14:textId="77777777" w:rsidR="00120717" w:rsidRPr="00516DCA" w:rsidRDefault="00120717" w:rsidP="00B220C9">
      <w:pPr>
        <w:pStyle w:val="FootnoteText"/>
      </w:pPr>
      <w:r w:rsidRPr="00516DCA">
        <w:rPr>
          <w:rStyle w:val="FootnoteReference"/>
          <w:szCs w:val="16"/>
        </w:rPr>
        <w:footnoteRef/>
      </w:r>
      <w:r w:rsidRPr="00516DCA">
        <w:t xml:space="preserve"> MBIE</w:t>
      </w:r>
      <w:r>
        <w:t xml:space="preserve">, </w:t>
      </w:r>
      <w:r w:rsidRPr="00E9137A">
        <w:rPr>
          <w:i/>
          <w:iCs/>
        </w:rPr>
        <w:t>Proposed Intellectual Property Laws Amendment Bill</w:t>
      </w:r>
      <w:r w:rsidRPr="00516DCA">
        <w:t xml:space="preserve">. Viewed at: </w:t>
      </w:r>
      <w:hyperlink r:id="rId94" w:history="1">
        <w:r w:rsidRPr="00516DCA">
          <w:rPr>
            <w:rStyle w:val="Hyperlink"/>
          </w:rPr>
          <w:t>https://www.mbie.govt.nz/business-and-employment/business/intellectual-property/proposed-intellectual-property-laws-amendment-bill/</w:t>
        </w:r>
      </w:hyperlink>
      <w:r w:rsidRPr="00516DCA">
        <w:t>.</w:t>
      </w:r>
    </w:p>
  </w:footnote>
  <w:footnote w:id="246">
    <w:p w14:paraId="1CA5809C" w14:textId="77777777" w:rsidR="00120717" w:rsidRPr="00516DCA" w:rsidRDefault="00120717" w:rsidP="001F7151">
      <w:pPr>
        <w:pStyle w:val="FootnoteText"/>
      </w:pPr>
      <w:r w:rsidRPr="00516DCA">
        <w:rPr>
          <w:rStyle w:val="FootnoteReference"/>
          <w:szCs w:val="16"/>
        </w:rPr>
        <w:footnoteRef/>
      </w:r>
      <w:r w:rsidRPr="00516DCA">
        <w:t xml:space="preserve"> MBIE, </w:t>
      </w:r>
      <w:r w:rsidRPr="00E9137A">
        <w:rPr>
          <w:i/>
          <w:iCs/>
        </w:rPr>
        <w:t>Research, Science and Innovation System Performance Report 2018</w:t>
      </w:r>
      <w:r w:rsidRPr="00516DCA">
        <w:t xml:space="preserve">, p. 2. Viewed at: </w:t>
      </w:r>
      <w:hyperlink r:id="rId95" w:history="1">
        <w:r w:rsidRPr="00516DCA">
          <w:rPr>
            <w:rStyle w:val="Hyperlink"/>
          </w:rPr>
          <w:t>https://www.mbie.govt.nz/dmsdocument/1499-research-science-and-innovation-system-performance-report-2018</w:t>
        </w:r>
      </w:hyperlink>
      <w:r w:rsidRPr="00516DCA">
        <w:t xml:space="preserve">. </w:t>
      </w:r>
    </w:p>
  </w:footnote>
  <w:footnote w:id="247">
    <w:p w14:paraId="1443AC47" w14:textId="77777777" w:rsidR="00120717" w:rsidRPr="00516DCA" w:rsidRDefault="00120717" w:rsidP="001F7151">
      <w:pPr>
        <w:pStyle w:val="FootnoteText"/>
      </w:pPr>
      <w:r w:rsidRPr="00516DCA">
        <w:rPr>
          <w:rStyle w:val="FootnoteReference"/>
          <w:szCs w:val="16"/>
        </w:rPr>
        <w:footnoteRef/>
      </w:r>
      <w:r w:rsidRPr="00516DCA">
        <w:t xml:space="preserve"> MBIE</w:t>
      </w:r>
      <w:r>
        <w:t xml:space="preserve"> (2021), "MBIE Open Consultation on Issues Facing Research, Science and Innovation System", 28 October</w:t>
      </w:r>
      <w:r w:rsidRPr="00516DCA">
        <w:t xml:space="preserve">. Viewed at: </w:t>
      </w:r>
      <w:hyperlink r:id="rId96" w:history="1">
        <w:r w:rsidRPr="00516DCA">
          <w:rPr>
            <w:rStyle w:val="Hyperlink"/>
          </w:rPr>
          <w:t>https://www.mbie.govt.nz/about/news/mbie-opens-consultation-on-issues-facing-research-science-and-innovation-system/</w:t>
        </w:r>
      </w:hyperlink>
      <w:r>
        <w:t xml:space="preserve">; </w:t>
      </w:r>
      <w:r w:rsidRPr="00516DCA">
        <w:t>and</w:t>
      </w:r>
      <w:r w:rsidRPr="00516DCA">
        <w:rPr>
          <w:rFonts w:eastAsia="Times New Roman"/>
        </w:rPr>
        <w:t> </w:t>
      </w:r>
      <w:r w:rsidRPr="00E9137A">
        <w:rPr>
          <w:rFonts w:eastAsia="Times New Roman"/>
          <w:i/>
          <w:iCs/>
        </w:rPr>
        <w:t xml:space="preserve">Te Ara Paerangi </w:t>
      </w:r>
      <w:r>
        <w:rPr>
          <w:rFonts w:eastAsia="Times New Roman"/>
          <w:i/>
          <w:iCs/>
        </w:rPr>
        <w:t xml:space="preserve">– </w:t>
      </w:r>
      <w:r w:rsidRPr="00E9137A">
        <w:rPr>
          <w:rFonts w:eastAsia="Times New Roman"/>
          <w:i/>
          <w:iCs/>
        </w:rPr>
        <w:t>Future Pathways</w:t>
      </w:r>
      <w:r>
        <w:rPr>
          <w:rFonts w:eastAsia="Times New Roman"/>
        </w:rPr>
        <w:t xml:space="preserve">. Viewed at: </w:t>
      </w:r>
      <w:hyperlink r:id="rId97" w:history="1">
        <w:r w:rsidRPr="00921C61">
          <w:rPr>
            <w:rStyle w:val="Hyperlink"/>
            <w:rFonts w:eastAsia="Times New Roman"/>
          </w:rPr>
          <w:t>https://www.mbie.govt.nz/science-and-technology/science-and-innovation/research-and-data/te-ara-paerangi-future-pathways/</w:t>
        </w:r>
      </w:hyperlink>
      <w:r w:rsidRPr="00516DCA">
        <w:rPr>
          <w:rFonts w:eastAsia="Times New Roman"/>
        </w:rPr>
        <w:t>.</w:t>
      </w:r>
    </w:p>
  </w:footnote>
  <w:footnote w:id="248">
    <w:p w14:paraId="0334DDD6" w14:textId="77777777" w:rsidR="00120717" w:rsidRPr="00516DCA" w:rsidRDefault="00120717" w:rsidP="00B220C9">
      <w:pPr>
        <w:pStyle w:val="FootnoteText"/>
      </w:pPr>
      <w:r w:rsidRPr="00516DCA">
        <w:rPr>
          <w:rStyle w:val="FootnoteReference"/>
          <w:szCs w:val="16"/>
        </w:rPr>
        <w:footnoteRef/>
      </w:r>
      <w:r w:rsidRPr="00516DCA">
        <w:t xml:space="preserve"> </w:t>
      </w:r>
      <w:r>
        <w:t xml:space="preserve">New Zealand Government (2015), </w:t>
      </w:r>
      <w:r w:rsidRPr="00E9137A">
        <w:rPr>
          <w:i/>
          <w:iCs/>
        </w:rPr>
        <w:t>The Business Growth Agenda 2015/16: Toward 2025</w:t>
      </w:r>
      <w:r w:rsidRPr="00516DCA">
        <w:t>, p.</w:t>
      </w:r>
      <w:r>
        <w:t> </w:t>
      </w:r>
      <w:r w:rsidRPr="00516DCA">
        <w:t xml:space="preserve">6. Viewed at: </w:t>
      </w:r>
      <w:hyperlink r:id="rId98" w:history="1">
        <w:r w:rsidRPr="00516DCA">
          <w:rPr>
            <w:rStyle w:val="Hyperlink"/>
          </w:rPr>
          <w:t>https://www.beehive.govt.nz/sites/default/files/Business%20Growth%20Agenda%20-%20Towards%202025.pdf</w:t>
        </w:r>
      </w:hyperlink>
      <w:r w:rsidRPr="00516DCA">
        <w:t xml:space="preserve">. </w:t>
      </w:r>
    </w:p>
  </w:footnote>
  <w:footnote w:id="249">
    <w:p w14:paraId="1E2F1D81" w14:textId="77777777" w:rsidR="00120717" w:rsidRPr="00516DCA" w:rsidRDefault="00120717" w:rsidP="00B220C9">
      <w:pPr>
        <w:pStyle w:val="FootnoteText"/>
      </w:pPr>
      <w:r w:rsidRPr="00516DCA">
        <w:rPr>
          <w:rStyle w:val="FootnoteReference"/>
          <w:szCs w:val="16"/>
        </w:rPr>
        <w:footnoteRef/>
      </w:r>
      <w:r w:rsidRPr="00516DCA">
        <w:t xml:space="preserve"> </w:t>
      </w:r>
      <w:r>
        <w:t xml:space="preserve">MBIE, </w:t>
      </w:r>
      <w:r w:rsidRPr="00E9137A">
        <w:rPr>
          <w:i/>
          <w:iCs/>
        </w:rPr>
        <w:t>National Statement of Science Investment, 2015-2025</w:t>
      </w:r>
      <w:r w:rsidRPr="00516DCA">
        <w:t>, p.</w:t>
      </w:r>
      <w:r>
        <w:t> </w:t>
      </w:r>
      <w:r w:rsidRPr="00516DCA">
        <w:t xml:space="preserve">34. Viewed at: </w:t>
      </w:r>
      <w:hyperlink r:id="rId99" w:history="1">
        <w:r w:rsidRPr="00516DCA">
          <w:rPr>
            <w:rStyle w:val="Hyperlink"/>
          </w:rPr>
          <w:t>https://www.mbie.govt.nz/assets/2eaba48268/national-statement-science-investment-2015-2025.pdf</w:t>
        </w:r>
      </w:hyperlink>
      <w:r w:rsidRPr="00516DCA">
        <w:t xml:space="preserve">. </w:t>
      </w:r>
    </w:p>
  </w:footnote>
  <w:footnote w:id="250">
    <w:p w14:paraId="108BB1A4" w14:textId="77777777" w:rsidR="00120717" w:rsidRPr="00516DCA" w:rsidRDefault="00120717" w:rsidP="00B220C9">
      <w:pPr>
        <w:pStyle w:val="FootnoteText"/>
      </w:pPr>
      <w:r w:rsidRPr="00516DCA">
        <w:rPr>
          <w:rStyle w:val="FootnoteReference"/>
          <w:szCs w:val="16"/>
        </w:rPr>
        <w:footnoteRef/>
      </w:r>
      <w:r w:rsidRPr="00516DCA">
        <w:t xml:space="preserve"> OECD</w:t>
      </w:r>
      <w:r>
        <w:t>,</w:t>
      </w:r>
      <w:r w:rsidRPr="00516DCA">
        <w:t xml:space="preserve"> </w:t>
      </w:r>
      <w:r w:rsidRPr="00E9137A">
        <w:rPr>
          <w:i/>
          <w:iCs/>
        </w:rPr>
        <w:t>Main Science and Technology Indicators</w:t>
      </w:r>
      <w:r w:rsidRPr="00516DCA">
        <w:t>, Vol</w:t>
      </w:r>
      <w:r>
        <w:t>. </w:t>
      </w:r>
      <w:r w:rsidRPr="00516DCA">
        <w:t>2021</w:t>
      </w:r>
      <w:r>
        <w:t>,</w:t>
      </w:r>
      <w:r w:rsidRPr="00516DCA">
        <w:t xml:space="preserve"> Issue 1, Tables 2 and 14. Viewed at: </w:t>
      </w:r>
      <w:hyperlink r:id="rId100" w:history="1">
        <w:r w:rsidRPr="00516DCA">
          <w:rPr>
            <w:rStyle w:val="Hyperlink"/>
          </w:rPr>
          <w:t>https://www.oecd-ilibrary.org/docserver/eea67efc-en.pdf?expires=1635607066&amp;id=id&amp;accname=ocid195767&amp;checksum=4C13C1EB2473881A8686F8DFDEF83BAE</w:t>
        </w:r>
      </w:hyperlink>
      <w:r w:rsidRPr="00516DCA">
        <w:t xml:space="preserve">. </w:t>
      </w:r>
      <w:r w:rsidRPr="00516DCA">
        <w:rPr>
          <w:shd w:val="clear" w:color="auto" w:fill="FFFFFF"/>
        </w:rPr>
        <w:t xml:space="preserve">The Government's total investment in RSI for </w:t>
      </w:r>
      <w:r>
        <w:rPr>
          <w:shd w:val="clear" w:color="auto" w:fill="FFFFFF"/>
        </w:rPr>
        <w:t>FY</w:t>
      </w:r>
      <w:r w:rsidRPr="00516DCA">
        <w:rPr>
          <w:shd w:val="clear" w:color="auto" w:fill="FFFFFF"/>
        </w:rPr>
        <w:t>2020</w:t>
      </w:r>
      <w:r>
        <w:rPr>
          <w:shd w:val="clear" w:color="auto" w:fill="FFFFFF"/>
        </w:rPr>
        <w:t>/</w:t>
      </w:r>
      <w:r w:rsidRPr="00516DCA">
        <w:rPr>
          <w:shd w:val="clear" w:color="auto" w:fill="FFFFFF"/>
        </w:rPr>
        <w:t xml:space="preserve">21 was approximately NZD 1.8 billion. </w:t>
      </w:r>
      <w:r w:rsidRPr="00516DCA">
        <w:t>MBIE</w:t>
      </w:r>
      <w:r>
        <w:t xml:space="preserve"> (2020)</w:t>
      </w:r>
      <w:r w:rsidRPr="00516DCA">
        <w:t xml:space="preserve">, </w:t>
      </w:r>
      <w:r w:rsidRPr="00E9137A">
        <w:rPr>
          <w:i/>
          <w:iCs/>
        </w:rPr>
        <w:t>Briefing for the Incoming Minister of Research, Science and Innovation</w:t>
      </w:r>
      <w:r>
        <w:t xml:space="preserve">, </w:t>
      </w:r>
      <w:r w:rsidRPr="00516DCA">
        <w:t>November, p.</w:t>
      </w:r>
      <w:r>
        <w:t> </w:t>
      </w:r>
      <w:r w:rsidRPr="00516DCA">
        <w:t xml:space="preserve">24. Viewed at: </w:t>
      </w:r>
      <w:hyperlink r:id="rId101" w:history="1">
        <w:r w:rsidRPr="00516DCA">
          <w:rPr>
            <w:rStyle w:val="Hyperlink"/>
          </w:rPr>
          <w:t>https://www.beehive.govt.nz/sites/default/files/2020-12/RSI.pdf</w:t>
        </w:r>
      </w:hyperlink>
      <w:r w:rsidRPr="00516DCA">
        <w:t>.</w:t>
      </w:r>
    </w:p>
  </w:footnote>
  <w:footnote w:id="251">
    <w:p w14:paraId="5A2A878A" w14:textId="77777777" w:rsidR="00120717" w:rsidRPr="00516DCA" w:rsidRDefault="00120717" w:rsidP="00B220C9">
      <w:pPr>
        <w:pStyle w:val="FootnoteText"/>
      </w:pPr>
      <w:r w:rsidRPr="00516DCA">
        <w:rPr>
          <w:rStyle w:val="FootnoteReference"/>
          <w:szCs w:val="16"/>
        </w:rPr>
        <w:footnoteRef/>
      </w:r>
      <w:r w:rsidRPr="00516DCA">
        <w:t xml:space="preserve"> MBIE</w:t>
      </w:r>
      <w:r>
        <w:t xml:space="preserve"> (2016),</w:t>
      </w:r>
      <w:r w:rsidRPr="00516DCA">
        <w:t xml:space="preserve"> </w:t>
      </w:r>
      <w:r w:rsidRPr="00E9137A">
        <w:rPr>
          <w:i/>
          <w:iCs/>
        </w:rPr>
        <w:t>What We Know (And Don't Know) about Economic Growth in New Zealand</w:t>
      </w:r>
      <w:r w:rsidRPr="00516DCA">
        <w:t xml:space="preserve">, Working Paper 16/01, p. 25. Viewed at: </w:t>
      </w:r>
      <w:hyperlink r:id="rId102" w:history="1">
        <w:r w:rsidRPr="00516DCA">
          <w:rPr>
            <w:rStyle w:val="Hyperlink"/>
          </w:rPr>
          <w:t>https://www.mbie.govt.nz/dmsdocument/4028-what-we-know-and-dont-know-about-economic-growth-in-new-zealand</w:t>
        </w:r>
      </w:hyperlink>
      <w:r w:rsidRPr="00516DCA">
        <w:t xml:space="preserve">. </w:t>
      </w:r>
    </w:p>
  </w:footnote>
  <w:footnote w:id="252">
    <w:p w14:paraId="2C9EA45B" w14:textId="77777777" w:rsidR="00120717" w:rsidRPr="00516DCA" w:rsidRDefault="00120717" w:rsidP="00B220C9">
      <w:pPr>
        <w:pStyle w:val="FootnoteText"/>
      </w:pPr>
      <w:r w:rsidRPr="00516DCA">
        <w:rPr>
          <w:rStyle w:val="FootnoteReference"/>
          <w:szCs w:val="16"/>
        </w:rPr>
        <w:footnoteRef/>
      </w:r>
      <w:r w:rsidRPr="00516DCA">
        <w:t xml:space="preserve"> Taxation (Research and Development Tax Credits) Act 2019. Viewed at: </w:t>
      </w:r>
      <w:hyperlink r:id="rId103" w:history="1">
        <w:r w:rsidRPr="00516DCA">
          <w:rPr>
            <w:rStyle w:val="Hyperlink"/>
          </w:rPr>
          <w:t>https://legislation.govt.nz/act/public/2019/0015/latest/LMS110236.html</w:t>
        </w:r>
      </w:hyperlink>
      <w:r w:rsidRPr="00516DCA">
        <w:t xml:space="preserve">. </w:t>
      </w:r>
    </w:p>
  </w:footnote>
  <w:footnote w:id="253">
    <w:p w14:paraId="5D140E20" w14:textId="77777777" w:rsidR="00120717" w:rsidRPr="00516DCA" w:rsidRDefault="00120717" w:rsidP="00B220C9">
      <w:pPr>
        <w:pStyle w:val="FootnoteText"/>
      </w:pPr>
      <w:r w:rsidRPr="00516DCA">
        <w:rPr>
          <w:rStyle w:val="FootnoteReference"/>
          <w:szCs w:val="16"/>
        </w:rPr>
        <w:footnoteRef/>
      </w:r>
      <w:r w:rsidRPr="00516DCA">
        <w:t xml:space="preserve"> </w:t>
      </w:r>
      <w:r>
        <w:t>COVID</w:t>
      </w:r>
      <w:r>
        <w:noBreakHyphen/>
        <w:t>19</w:t>
      </w:r>
      <w:r w:rsidRPr="00516DCA">
        <w:t xml:space="preserve"> Response (Taxation and Social Assistance Urgent Measures) Act 2020. Viewed at: </w:t>
      </w:r>
      <w:hyperlink r:id="rId104" w:history="1">
        <w:r w:rsidRPr="00516DCA">
          <w:rPr>
            <w:rStyle w:val="Hyperlink"/>
          </w:rPr>
          <w:t>https://www.legislation.govt.nz/act/public/2020/0008/latest/whole.html</w:t>
        </w:r>
      </w:hyperlink>
      <w:r w:rsidRPr="00516DCA">
        <w:t xml:space="preserve">. </w:t>
      </w:r>
    </w:p>
  </w:footnote>
  <w:footnote w:id="254">
    <w:p w14:paraId="656EBE02" w14:textId="77777777" w:rsidR="00120717" w:rsidRPr="00516DCA" w:rsidRDefault="00120717" w:rsidP="00B220C9">
      <w:pPr>
        <w:pStyle w:val="FootnoteText"/>
      </w:pPr>
      <w:r w:rsidRPr="00516DCA">
        <w:rPr>
          <w:rStyle w:val="FootnoteReference"/>
          <w:szCs w:val="16"/>
        </w:rPr>
        <w:footnoteRef/>
      </w:r>
      <w:r w:rsidRPr="00516DCA">
        <w:t xml:space="preserve"> MBIE</w:t>
      </w:r>
      <w:r>
        <w:t xml:space="preserve"> (2020)</w:t>
      </w:r>
      <w:r w:rsidRPr="00516DCA">
        <w:t xml:space="preserve">, </w:t>
      </w:r>
      <w:r w:rsidRPr="00E9137A">
        <w:rPr>
          <w:i/>
          <w:iCs/>
        </w:rPr>
        <w:t>Briefing for the Incoming Minister of Research, Science and Innovation</w:t>
      </w:r>
      <w:r w:rsidRPr="00516DCA">
        <w:t>, p. 5.</w:t>
      </w:r>
      <w:r w:rsidRPr="00921C61" w:rsidDel="00921C61">
        <w:t xml:space="preserve"> </w:t>
      </w:r>
    </w:p>
  </w:footnote>
  <w:footnote w:id="255">
    <w:p w14:paraId="647C5181" w14:textId="77777777" w:rsidR="00120717" w:rsidRPr="00516DCA" w:rsidRDefault="00120717" w:rsidP="00B220C9">
      <w:pPr>
        <w:pStyle w:val="FootnoteText"/>
      </w:pPr>
      <w:r w:rsidRPr="00516DCA">
        <w:rPr>
          <w:rStyle w:val="FootnoteReference"/>
          <w:szCs w:val="16"/>
        </w:rPr>
        <w:footnoteRef/>
      </w:r>
      <w:r w:rsidRPr="00516DCA">
        <w:t xml:space="preserve"> Derwent</w:t>
      </w:r>
      <w:r>
        <w:t xml:space="preserve"> (2020)</w:t>
      </w:r>
      <w:r w:rsidRPr="00516DCA">
        <w:t xml:space="preserve">, </w:t>
      </w:r>
      <w:r w:rsidRPr="00E9137A">
        <w:rPr>
          <w:i/>
          <w:iCs/>
        </w:rPr>
        <w:t>Survey of New Zealand Patent Activity</w:t>
      </w:r>
      <w:r w:rsidRPr="00516DCA">
        <w:t xml:space="preserve">, p. 37. Viewed at: </w:t>
      </w:r>
      <w:hyperlink r:id="rId105" w:history="1">
        <w:r w:rsidRPr="00516DCA">
          <w:rPr>
            <w:rStyle w:val="Hyperlink"/>
          </w:rPr>
          <w:t>https://www.iponz.govt.nz/assets/pdf/about-iponz/clarivate-report-survey-of-new-zealand-patent-activity.pdf</w:t>
        </w:r>
      </w:hyperlink>
      <w:r w:rsidRPr="00516DCA">
        <w:t>. The Patents Act 2013 adopted the international standard of absolute novelty, rather than local novelty, and requires examiners to examine an invention's inventive step.</w:t>
      </w:r>
    </w:p>
  </w:footnote>
  <w:footnote w:id="256">
    <w:p w14:paraId="104FA898" w14:textId="77777777" w:rsidR="00120717" w:rsidRPr="00516DCA" w:rsidRDefault="00120717" w:rsidP="00B220C9">
      <w:pPr>
        <w:pStyle w:val="FootnoteText"/>
      </w:pPr>
      <w:r w:rsidRPr="00516DCA">
        <w:rPr>
          <w:rStyle w:val="FootnoteReference"/>
          <w:szCs w:val="16"/>
        </w:rPr>
        <w:footnoteRef/>
      </w:r>
      <w:r w:rsidRPr="00150FE8">
        <w:rPr>
          <w:rStyle w:val="Hyperlink"/>
          <w:u w:val="none"/>
        </w:rPr>
        <w:t xml:space="preserve"> </w:t>
      </w:r>
      <w:r w:rsidRPr="00516DCA">
        <w:t>MBIE</w:t>
      </w:r>
      <w:r>
        <w:t xml:space="preserve"> (2020)</w:t>
      </w:r>
      <w:r w:rsidRPr="00516DCA">
        <w:t xml:space="preserve">, </w:t>
      </w:r>
      <w:r w:rsidRPr="00E9137A">
        <w:rPr>
          <w:i/>
          <w:iCs/>
        </w:rPr>
        <w:t>Briefing for the Incoming Minister of Research, Science and Innovation</w:t>
      </w:r>
      <w:r w:rsidRPr="00516DCA">
        <w:t xml:space="preserve">, p. 10. </w:t>
      </w:r>
    </w:p>
  </w:footnote>
  <w:footnote w:id="257">
    <w:p w14:paraId="5B0383D1" w14:textId="77777777" w:rsidR="00120717" w:rsidRPr="00516DCA" w:rsidRDefault="00120717" w:rsidP="00B220C9">
      <w:pPr>
        <w:pStyle w:val="FootnoteText"/>
      </w:pPr>
      <w:r w:rsidRPr="00516DCA">
        <w:rPr>
          <w:rStyle w:val="FootnoteReference"/>
          <w:szCs w:val="16"/>
        </w:rPr>
        <w:footnoteRef/>
      </w:r>
      <w:r w:rsidRPr="00516DCA">
        <w:t xml:space="preserve"> </w:t>
      </w:r>
      <w:r>
        <w:t xml:space="preserve">MBIE, </w:t>
      </w:r>
      <w:r w:rsidRPr="00E9137A">
        <w:rPr>
          <w:i/>
          <w:iCs/>
        </w:rPr>
        <w:t>National Statement of Science Investment, 2015-2025</w:t>
      </w:r>
      <w:r w:rsidRPr="00516DCA">
        <w:t xml:space="preserve">. </w:t>
      </w:r>
    </w:p>
  </w:footnote>
  <w:footnote w:id="258">
    <w:p w14:paraId="30E4D666" w14:textId="77777777" w:rsidR="00120717" w:rsidRPr="00516DCA" w:rsidRDefault="00120717" w:rsidP="00B220C9">
      <w:pPr>
        <w:pStyle w:val="FootnoteText"/>
      </w:pPr>
      <w:r w:rsidRPr="00516DCA">
        <w:rPr>
          <w:rStyle w:val="FootnoteReference"/>
          <w:szCs w:val="16"/>
        </w:rPr>
        <w:footnoteRef/>
      </w:r>
      <w:r w:rsidRPr="00516DCA">
        <w:t xml:space="preserve"> MBIE</w:t>
      </w:r>
      <w:r>
        <w:t xml:space="preserve">, </w:t>
      </w:r>
      <w:r w:rsidRPr="00E9137A">
        <w:rPr>
          <w:i/>
          <w:iCs/>
        </w:rPr>
        <w:t>Funding Agencies</w:t>
      </w:r>
      <w:r w:rsidRPr="00516DCA">
        <w:t xml:space="preserve">. Viewed at: </w:t>
      </w:r>
      <w:hyperlink r:id="rId106" w:history="1">
        <w:r w:rsidRPr="00516DCA">
          <w:rPr>
            <w:rStyle w:val="Hyperlink"/>
          </w:rPr>
          <w:t>https://www.mbie.govt.nz/science-and-technology/science-and-innovation/funding-information-and-opportunities/funding-agencies/</w:t>
        </w:r>
      </w:hyperlink>
      <w:r w:rsidRPr="00516DCA">
        <w:t xml:space="preserve">. </w:t>
      </w:r>
    </w:p>
  </w:footnote>
  <w:footnote w:id="259">
    <w:p w14:paraId="5601C8FE" w14:textId="77777777" w:rsidR="00120717" w:rsidRPr="00516DCA" w:rsidRDefault="00120717" w:rsidP="00B220C9">
      <w:pPr>
        <w:pStyle w:val="FootnoteText"/>
      </w:pPr>
      <w:r w:rsidRPr="00516DCA">
        <w:rPr>
          <w:rStyle w:val="FootnoteReference"/>
          <w:szCs w:val="16"/>
        </w:rPr>
        <w:footnoteRef/>
      </w:r>
      <w:r w:rsidRPr="00516DCA">
        <w:t xml:space="preserve"> CI</w:t>
      </w:r>
      <w:r>
        <w:t xml:space="preserve">, </w:t>
      </w:r>
      <w:r w:rsidRPr="00E9137A">
        <w:rPr>
          <w:i/>
          <w:iCs/>
        </w:rPr>
        <w:t>About: Our Role</w:t>
      </w:r>
      <w:r w:rsidRPr="00516DCA">
        <w:t xml:space="preserve">. Viewed at: </w:t>
      </w:r>
      <w:hyperlink r:id="rId107" w:history="1">
        <w:r w:rsidRPr="00516DCA">
          <w:rPr>
            <w:rStyle w:val="Hyperlink"/>
          </w:rPr>
          <w:t>https://www.callaghaninnovation.govt.nz/about-us/our-role</w:t>
        </w:r>
      </w:hyperlink>
      <w:r w:rsidRPr="00516DCA">
        <w:t>. See also TRIPS Council, Minutes of Meeting held 13</w:t>
      </w:r>
      <w:r>
        <w:t> </w:t>
      </w:r>
      <w:r w:rsidRPr="00516DCA">
        <w:t>February</w:t>
      </w:r>
      <w:r>
        <w:t> </w:t>
      </w:r>
      <w:r w:rsidRPr="00516DCA">
        <w:t xml:space="preserve">2019, </w:t>
      </w:r>
      <w:r>
        <w:t xml:space="preserve">WTO </w:t>
      </w:r>
      <w:r w:rsidRPr="00516DCA">
        <w:t xml:space="preserve">document </w:t>
      </w:r>
      <w:r w:rsidRPr="00E9137A">
        <w:t>IP/C/M/91/Add.1</w:t>
      </w:r>
      <w:r w:rsidRPr="00516DCA">
        <w:t>,</w:t>
      </w:r>
      <w:r>
        <w:t xml:space="preserve"> 2 April 2019,</w:t>
      </w:r>
      <w:r w:rsidRPr="00516DCA">
        <w:t xml:space="preserve"> paras.</w:t>
      </w:r>
      <w:r>
        <w:t> </w:t>
      </w:r>
      <w:r w:rsidRPr="00516DCA">
        <w:t>276-277.</w:t>
      </w:r>
    </w:p>
  </w:footnote>
  <w:footnote w:id="260">
    <w:p w14:paraId="1D888C1F" w14:textId="6B0E4E43" w:rsidR="00120717" w:rsidRPr="00516DCA" w:rsidRDefault="00120717" w:rsidP="00B220C9">
      <w:pPr>
        <w:pStyle w:val="FootnoteText"/>
      </w:pPr>
      <w:r w:rsidRPr="00516DCA">
        <w:rPr>
          <w:rStyle w:val="FootnoteReference"/>
          <w:szCs w:val="16"/>
        </w:rPr>
        <w:footnoteRef/>
      </w:r>
      <w:r w:rsidRPr="00516DCA">
        <w:t xml:space="preserve"> CI</w:t>
      </w:r>
      <w:r>
        <w:t xml:space="preserve">, </w:t>
      </w:r>
      <w:r w:rsidRPr="00E9137A">
        <w:rPr>
          <w:i/>
          <w:iCs/>
        </w:rPr>
        <w:t>Access to Experts: Technology Incubators</w:t>
      </w:r>
      <w:r w:rsidRPr="00516DCA">
        <w:t xml:space="preserve">. Viewed at: </w:t>
      </w:r>
      <w:hyperlink r:id="rId108" w:history="1">
        <w:r w:rsidRPr="00516DCA">
          <w:rPr>
            <w:rStyle w:val="Hyperlink"/>
          </w:rPr>
          <w:t>https://www.callaghaninnovation.govt.nz/access-experts/technology-incubators</w:t>
        </w:r>
      </w:hyperlink>
      <w:r>
        <w:t xml:space="preserve">; </w:t>
      </w:r>
      <w:r w:rsidRPr="00516DCA">
        <w:t xml:space="preserve">and </w:t>
      </w:r>
      <w:r>
        <w:t>CI (2019), "</w:t>
      </w:r>
      <w:r w:rsidRPr="001B4DEE">
        <w:t xml:space="preserve">Changes to </w:t>
      </w:r>
      <w:r>
        <w:t>B</w:t>
      </w:r>
      <w:r w:rsidRPr="001B4DEE">
        <w:t xml:space="preserve">oost </w:t>
      </w:r>
      <w:r>
        <w:t>S</w:t>
      </w:r>
      <w:r w:rsidRPr="001B4DEE">
        <w:t xml:space="preserve">tartup </w:t>
      </w:r>
      <w:r>
        <w:t>I</w:t>
      </w:r>
      <w:r w:rsidRPr="001B4DEE">
        <w:t xml:space="preserve">ncubation and </w:t>
      </w:r>
      <w:r>
        <w:t>N</w:t>
      </w:r>
      <w:r w:rsidRPr="001B4DEE">
        <w:t>etworks</w:t>
      </w:r>
      <w:r w:rsidR="00D846DD">
        <w:t>"</w:t>
      </w:r>
      <w:r>
        <w:t xml:space="preserve">, 8 April. Viewed at: </w:t>
      </w:r>
      <w:hyperlink r:id="rId109" w:history="1">
        <w:r w:rsidRPr="001B4DEE">
          <w:rPr>
            <w:rStyle w:val="Hyperlink"/>
          </w:rPr>
          <w:t>https://www.callaghaninnovation.govt.nz/news-and-events/changes-boost-startup-incubation-and-networks</w:t>
        </w:r>
      </w:hyperlink>
      <w:r w:rsidRPr="00516DCA">
        <w:t>. See also TRIPS Council, Minutes of Meeting held 11</w:t>
      </w:r>
      <w:r>
        <w:t> </w:t>
      </w:r>
      <w:r w:rsidRPr="00516DCA">
        <w:t>June</w:t>
      </w:r>
      <w:r>
        <w:t> </w:t>
      </w:r>
      <w:r w:rsidRPr="00516DCA">
        <w:t xml:space="preserve">2014, </w:t>
      </w:r>
      <w:r>
        <w:t xml:space="preserve">WTO </w:t>
      </w:r>
      <w:r w:rsidRPr="00516DCA">
        <w:t xml:space="preserve">document </w:t>
      </w:r>
      <w:r w:rsidRPr="00E9137A">
        <w:t>IP/C/M/76/Add.1</w:t>
      </w:r>
      <w:r w:rsidRPr="00516DCA">
        <w:t xml:space="preserve">, </w:t>
      </w:r>
      <w:r>
        <w:t xml:space="preserve">18 August 2014, </w:t>
      </w:r>
      <w:r w:rsidRPr="00516DCA">
        <w:t>paras.</w:t>
      </w:r>
      <w:r>
        <w:t> </w:t>
      </w:r>
      <w:r w:rsidRPr="00516DCA">
        <w:t>320-322.</w:t>
      </w:r>
    </w:p>
  </w:footnote>
  <w:footnote w:id="261">
    <w:p w14:paraId="1A743E8E" w14:textId="77777777" w:rsidR="00120717" w:rsidRPr="00516DCA" w:rsidRDefault="00120717" w:rsidP="00B220C9">
      <w:pPr>
        <w:pStyle w:val="FootnoteText"/>
      </w:pPr>
      <w:r w:rsidRPr="00516DCA">
        <w:rPr>
          <w:rStyle w:val="FootnoteReference"/>
          <w:szCs w:val="16"/>
        </w:rPr>
        <w:footnoteRef/>
      </w:r>
      <w:r w:rsidRPr="00516DCA">
        <w:t xml:space="preserve"> CI</w:t>
      </w:r>
      <w:r>
        <w:t xml:space="preserve">, </w:t>
      </w:r>
      <w:r w:rsidRPr="00E9137A">
        <w:rPr>
          <w:i/>
          <w:iCs/>
        </w:rPr>
        <w:t>Access to Experts: Accelerators</w:t>
      </w:r>
      <w:r>
        <w:t>.</w:t>
      </w:r>
      <w:r w:rsidRPr="00516DCA">
        <w:t xml:space="preserve"> Viewed at: </w:t>
      </w:r>
      <w:hyperlink r:id="rId110" w:history="1">
        <w:r w:rsidRPr="00516DCA">
          <w:rPr>
            <w:rStyle w:val="Hyperlink"/>
          </w:rPr>
          <w:t>https://www.callaghaninnovation.govt.nz/access-experts/accelerators</w:t>
        </w:r>
      </w:hyperlink>
      <w:r w:rsidRPr="00516DCA">
        <w:t xml:space="preserve">. </w:t>
      </w:r>
    </w:p>
  </w:footnote>
  <w:footnote w:id="262">
    <w:p w14:paraId="78909763" w14:textId="77777777" w:rsidR="00120717" w:rsidRPr="00516DCA" w:rsidRDefault="00120717" w:rsidP="00B220C9">
      <w:pPr>
        <w:pStyle w:val="FootnoteText"/>
      </w:pPr>
      <w:r w:rsidRPr="00516DCA">
        <w:rPr>
          <w:rStyle w:val="FootnoteReference"/>
          <w:szCs w:val="16"/>
        </w:rPr>
        <w:footnoteRef/>
      </w:r>
      <w:r w:rsidRPr="00516DCA">
        <w:t xml:space="preserve"> NZTE</w:t>
      </w:r>
      <w:r>
        <w:t xml:space="preserve">, </w:t>
      </w:r>
      <w:r w:rsidRPr="00E9137A">
        <w:rPr>
          <w:i/>
          <w:iCs/>
        </w:rPr>
        <w:t>About NZTE</w:t>
      </w:r>
      <w:r w:rsidRPr="00516DCA">
        <w:t xml:space="preserve">. Viewed at: </w:t>
      </w:r>
      <w:hyperlink r:id="rId111" w:history="1">
        <w:r w:rsidRPr="00516DCA">
          <w:rPr>
            <w:rStyle w:val="Hyperlink"/>
          </w:rPr>
          <w:t>https://www.nzte.govt.nz/page/about-nzte</w:t>
        </w:r>
      </w:hyperlink>
      <w:r w:rsidRPr="00516DCA">
        <w:t>. See also TRIPS Council, Minutes of Meeting held 13</w:t>
      </w:r>
      <w:r>
        <w:t> </w:t>
      </w:r>
      <w:r w:rsidRPr="00516DCA">
        <w:t>February</w:t>
      </w:r>
      <w:r>
        <w:t> </w:t>
      </w:r>
      <w:r w:rsidRPr="00516DCA">
        <w:t xml:space="preserve">2019, </w:t>
      </w:r>
      <w:r>
        <w:t xml:space="preserve">WTO </w:t>
      </w:r>
      <w:r w:rsidRPr="00516DCA">
        <w:t xml:space="preserve">document </w:t>
      </w:r>
      <w:r w:rsidRPr="00E9137A">
        <w:t>IP/C/M/91/Add.1</w:t>
      </w:r>
      <w:r w:rsidRPr="00516DCA">
        <w:t xml:space="preserve">, </w:t>
      </w:r>
      <w:r>
        <w:t xml:space="preserve">2 April 2019, </w:t>
      </w:r>
      <w:r w:rsidRPr="00516DCA">
        <w:t>para.</w:t>
      </w:r>
      <w:r>
        <w:t> </w:t>
      </w:r>
      <w:r w:rsidRPr="00516DCA">
        <w:t>278.</w:t>
      </w:r>
    </w:p>
  </w:footnote>
  <w:footnote w:id="263">
    <w:p w14:paraId="5E0CADF2" w14:textId="77777777" w:rsidR="00120717" w:rsidRPr="00516DCA" w:rsidRDefault="00120717" w:rsidP="00B220C9">
      <w:pPr>
        <w:pStyle w:val="FootnoteText"/>
      </w:pPr>
      <w:r w:rsidRPr="00516DCA">
        <w:rPr>
          <w:rStyle w:val="FootnoteReference"/>
          <w:szCs w:val="16"/>
        </w:rPr>
        <w:footnoteRef/>
      </w:r>
      <w:r w:rsidRPr="00516DCA">
        <w:t xml:space="preserve"> Information provided by the authorities. See MBIE</w:t>
      </w:r>
      <w:r>
        <w:t xml:space="preserve"> (2015)</w:t>
      </w:r>
      <w:r w:rsidRPr="00516DCA">
        <w:t xml:space="preserve">, </w:t>
      </w:r>
      <w:r w:rsidRPr="00E9137A">
        <w:rPr>
          <w:i/>
          <w:iCs/>
        </w:rPr>
        <w:t>Evaluation of the NZTE International Growth Fund</w:t>
      </w:r>
      <w:r>
        <w:t>,</w:t>
      </w:r>
      <w:r w:rsidRPr="00516DCA" w:rsidDel="00A74BF5">
        <w:t xml:space="preserve"> </w:t>
      </w:r>
      <w:r w:rsidRPr="00516DCA">
        <w:t xml:space="preserve">April. Viewed at: </w:t>
      </w:r>
      <w:hyperlink r:id="rId112" w:history="1">
        <w:r w:rsidRPr="00516DCA">
          <w:rPr>
            <w:rStyle w:val="Hyperlink"/>
          </w:rPr>
          <w:t>https://www.mbie.govt.nz/dmsdocument/2270-evaluation-nzte-international-growth-fund-pdf</w:t>
        </w:r>
      </w:hyperlink>
      <w:r w:rsidRPr="00516DCA">
        <w:t>.</w:t>
      </w:r>
    </w:p>
  </w:footnote>
  <w:footnote w:id="264">
    <w:p w14:paraId="2779F5DB" w14:textId="77777777" w:rsidR="00120717" w:rsidRPr="00516DCA" w:rsidRDefault="00120717" w:rsidP="00B220C9">
      <w:pPr>
        <w:pStyle w:val="FootnoteText"/>
      </w:pPr>
      <w:r w:rsidRPr="00516DCA">
        <w:rPr>
          <w:rStyle w:val="FootnoteReference"/>
          <w:szCs w:val="16"/>
        </w:rPr>
        <w:footnoteRef/>
      </w:r>
      <w:r w:rsidRPr="00516DCA">
        <w:t xml:space="preserve"> </w:t>
      </w:r>
      <w:r>
        <w:t xml:space="preserve">IPONZ (2021), </w:t>
      </w:r>
      <w:r w:rsidRPr="00E9137A">
        <w:rPr>
          <w:i/>
          <w:iCs/>
        </w:rPr>
        <w:t>IPONZ Year in Review 2019/20</w:t>
      </w:r>
      <w:r w:rsidRPr="00516DCA">
        <w:t xml:space="preserve">, pp. 9-10. Viewed at: </w:t>
      </w:r>
      <w:hyperlink r:id="rId113" w:history="1">
        <w:r w:rsidRPr="00516DCA">
          <w:rPr>
            <w:rStyle w:val="Hyperlink"/>
          </w:rPr>
          <w:t>https://www.iponz.govt.nz/assets/pdf/about-iponz/iponz-year-in-review-201920.pdf</w:t>
        </w:r>
      </w:hyperlink>
      <w:r w:rsidRPr="00516DCA">
        <w:t xml:space="preserve">. </w:t>
      </w:r>
    </w:p>
  </w:footnote>
  <w:footnote w:id="265">
    <w:p w14:paraId="0CD99D57" w14:textId="77777777" w:rsidR="00120717" w:rsidRPr="00516DCA" w:rsidRDefault="00120717" w:rsidP="00B220C9">
      <w:pPr>
        <w:pStyle w:val="FootnoteText"/>
      </w:pPr>
      <w:r w:rsidRPr="00516DCA">
        <w:rPr>
          <w:rStyle w:val="FootnoteReference"/>
          <w:szCs w:val="16"/>
        </w:rPr>
        <w:footnoteRef/>
      </w:r>
      <w:r w:rsidRPr="00516DCA">
        <w:t xml:space="preserve"> IPONZ</w:t>
      </w:r>
      <w:r>
        <w:t xml:space="preserve">, </w:t>
      </w:r>
      <w:r w:rsidRPr="00E9137A">
        <w:rPr>
          <w:i/>
          <w:iCs/>
        </w:rPr>
        <w:t>IP Business Management</w:t>
      </w:r>
      <w:r w:rsidRPr="00516DCA">
        <w:t xml:space="preserve">. Viewed at: </w:t>
      </w:r>
      <w:hyperlink r:id="rId114" w:history="1">
        <w:r w:rsidRPr="00516DCA">
          <w:rPr>
            <w:rStyle w:val="Hyperlink"/>
          </w:rPr>
          <w:t>https://www.iponz.govt.nz/about-ip/overview/ip-business-management/</w:t>
        </w:r>
      </w:hyperlink>
      <w:r w:rsidRPr="00516DCA">
        <w:t xml:space="preserve">. </w:t>
      </w:r>
    </w:p>
  </w:footnote>
  <w:footnote w:id="266">
    <w:p w14:paraId="1375D0B9" w14:textId="77777777" w:rsidR="00120717" w:rsidRPr="00516DCA" w:rsidRDefault="00120717" w:rsidP="00B220C9">
      <w:pPr>
        <w:pStyle w:val="FootnoteText"/>
      </w:pPr>
      <w:r w:rsidRPr="00516DCA">
        <w:rPr>
          <w:rStyle w:val="FootnoteReference"/>
          <w:szCs w:val="16"/>
        </w:rPr>
        <w:footnoteRef/>
      </w:r>
      <w:r w:rsidRPr="00516DCA">
        <w:t xml:space="preserve"> WIPO</w:t>
      </w:r>
      <w:r>
        <w:t xml:space="preserve">, </w:t>
      </w:r>
      <w:r w:rsidRPr="00E9137A">
        <w:rPr>
          <w:i/>
          <w:iCs/>
        </w:rPr>
        <w:t>WIPO-Administered Treaties</w:t>
      </w:r>
      <w:r w:rsidRPr="00516DCA">
        <w:t xml:space="preserve">. Viewed at: </w:t>
      </w:r>
      <w:hyperlink r:id="rId115" w:history="1">
        <w:r w:rsidRPr="00516DCA">
          <w:rPr>
            <w:rStyle w:val="Hyperlink"/>
          </w:rPr>
          <w:t>https://wipolex.wipo.int/en/treaties/ShowResults?country_id=134C</w:t>
        </w:r>
      </w:hyperlink>
      <w:r w:rsidRPr="00516DCA">
        <w:t>.</w:t>
      </w:r>
    </w:p>
  </w:footnote>
  <w:footnote w:id="267">
    <w:p w14:paraId="29D512F0" w14:textId="77777777" w:rsidR="00120717" w:rsidRPr="00516DCA" w:rsidRDefault="00120717" w:rsidP="00B220C9">
      <w:pPr>
        <w:pStyle w:val="FootnoteText"/>
      </w:pPr>
      <w:r w:rsidRPr="00516DCA">
        <w:rPr>
          <w:rStyle w:val="FootnoteReference"/>
          <w:szCs w:val="16"/>
        </w:rPr>
        <w:footnoteRef/>
      </w:r>
      <w:r w:rsidRPr="00516DCA">
        <w:t xml:space="preserve"> MFAT</w:t>
      </w:r>
      <w:r>
        <w:t xml:space="preserve">, </w:t>
      </w:r>
      <w:r w:rsidRPr="00E9137A">
        <w:rPr>
          <w:i/>
          <w:iCs/>
        </w:rPr>
        <w:t>Free Trade Agreements</w:t>
      </w:r>
      <w:r w:rsidRPr="00516DCA">
        <w:t xml:space="preserve">. Viewed at: </w:t>
      </w:r>
      <w:hyperlink r:id="rId116" w:history="1">
        <w:r w:rsidRPr="00516DCA">
          <w:rPr>
            <w:rStyle w:val="Hyperlink"/>
          </w:rPr>
          <w:t>https://www.mfat.govt.nz/en/trade/free-trade-agreements/</w:t>
        </w:r>
      </w:hyperlink>
      <w:r w:rsidRPr="00516DCA">
        <w:t>.</w:t>
      </w:r>
    </w:p>
  </w:footnote>
  <w:footnote w:id="268">
    <w:p w14:paraId="6E4450D5" w14:textId="41585A05" w:rsidR="00120717" w:rsidRPr="00516DCA" w:rsidRDefault="00120717" w:rsidP="00B220C9">
      <w:pPr>
        <w:pStyle w:val="FootnoteText"/>
      </w:pPr>
      <w:r w:rsidRPr="00516DCA">
        <w:rPr>
          <w:rStyle w:val="FootnoteReference"/>
          <w:szCs w:val="16"/>
        </w:rPr>
        <w:footnoteRef/>
      </w:r>
      <w:r w:rsidRPr="00516DCA">
        <w:t xml:space="preserve"> MFAT</w:t>
      </w:r>
      <w:r>
        <w:t xml:space="preserve">, </w:t>
      </w:r>
      <w:r w:rsidRPr="00E9137A">
        <w:rPr>
          <w:i/>
          <w:iCs/>
        </w:rPr>
        <w:t>New Zealand-United Kingdom Free Trade Agreement</w:t>
      </w:r>
      <w:r w:rsidRPr="00516DCA">
        <w:t xml:space="preserve">. Viewed at: </w:t>
      </w:r>
      <w:hyperlink r:id="rId117" w:history="1">
        <w:r w:rsidRPr="00516DCA">
          <w:rPr>
            <w:rStyle w:val="Hyperlink"/>
          </w:rPr>
          <w:t>https://www.mfat.govt.nz/en/trade/free-trade-agreements/free-trade-agreements-under-negotiation/new-zealand-united-kingdom-free-trade-agreement/</w:t>
        </w:r>
      </w:hyperlink>
      <w:hyperlink w:history="1"/>
      <w:r w:rsidR="00264C7C">
        <w:t>;</w:t>
      </w:r>
      <w:r w:rsidRPr="00516DCA">
        <w:t xml:space="preserve"> </w:t>
      </w:r>
      <w:r w:rsidR="00264C7C">
        <w:t xml:space="preserve">and </w:t>
      </w:r>
      <w:r w:rsidRPr="00516DCA">
        <w:t>United Kingdom Department for International Trade</w:t>
      </w:r>
      <w:r>
        <w:t xml:space="preserve">, </w:t>
      </w:r>
      <w:r w:rsidRPr="00E9137A">
        <w:rPr>
          <w:i/>
          <w:iCs/>
        </w:rPr>
        <w:t>UK</w:t>
      </w:r>
      <w:r w:rsidR="00264C7C">
        <w:rPr>
          <w:i/>
          <w:iCs/>
        </w:rPr>
        <w:noBreakHyphen/>
      </w:r>
      <w:r w:rsidRPr="00E9137A">
        <w:rPr>
          <w:i/>
          <w:iCs/>
        </w:rPr>
        <w:t>New Zealand Free Trade Agreement</w:t>
      </w:r>
      <w:r w:rsidRPr="00516DCA">
        <w:t xml:space="preserve">. Viewed at: </w:t>
      </w:r>
      <w:hyperlink r:id="rId118" w:history="1">
        <w:r w:rsidRPr="00516DCA">
          <w:rPr>
            <w:rStyle w:val="Hyperlink"/>
          </w:rPr>
          <w:t>https://www.gov.uk/government/collections/uk-new-zealand-free-trade-agreement</w:t>
        </w:r>
      </w:hyperlink>
      <w:r w:rsidRPr="00516DCA">
        <w:t>.</w:t>
      </w:r>
    </w:p>
  </w:footnote>
  <w:footnote w:id="269">
    <w:p w14:paraId="4DDDFECD" w14:textId="77777777" w:rsidR="00120717" w:rsidRPr="00516DCA" w:rsidRDefault="00120717" w:rsidP="00B220C9">
      <w:pPr>
        <w:pStyle w:val="FootnoteText"/>
      </w:pPr>
      <w:r w:rsidRPr="00516DCA">
        <w:rPr>
          <w:rStyle w:val="FootnoteReference"/>
          <w:szCs w:val="16"/>
        </w:rPr>
        <w:footnoteRef/>
      </w:r>
      <w:r w:rsidRPr="00516DCA">
        <w:t xml:space="preserve"> IPONZ</w:t>
      </w:r>
      <w:r>
        <w:t xml:space="preserve">, </w:t>
      </w:r>
      <w:r w:rsidRPr="00E9137A">
        <w:rPr>
          <w:i/>
          <w:iCs/>
        </w:rPr>
        <w:t>Global Patent Prosecution Highway</w:t>
      </w:r>
      <w:r w:rsidRPr="00516DCA">
        <w:t xml:space="preserve">. Viewed at: </w:t>
      </w:r>
      <w:hyperlink r:id="rId119" w:history="1">
        <w:r w:rsidRPr="00516DCA">
          <w:rPr>
            <w:rStyle w:val="Hyperlink"/>
          </w:rPr>
          <w:t>https://www.iponz.govt.nz/about-ip/patents/gpph/</w:t>
        </w:r>
      </w:hyperlink>
      <w:r w:rsidRPr="00516DCA">
        <w:t>.</w:t>
      </w:r>
    </w:p>
  </w:footnote>
  <w:footnote w:id="270">
    <w:p w14:paraId="5884EF63" w14:textId="77777777" w:rsidR="00120717" w:rsidRPr="00516DCA" w:rsidRDefault="00120717">
      <w:pPr>
        <w:pStyle w:val="FootnoteText"/>
      </w:pPr>
      <w:r w:rsidRPr="00516DCA">
        <w:rPr>
          <w:rStyle w:val="FootnoteReference"/>
        </w:rPr>
        <w:footnoteRef/>
      </w:r>
      <w:r w:rsidRPr="00516DCA">
        <w:t xml:space="preserve"> APEC</w:t>
      </w:r>
      <w:r>
        <w:t xml:space="preserve">, </w:t>
      </w:r>
      <w:r w:rsidRPr="00E9137A">
        <w:rPr>
          <w:i/>
          <w:iCs/>
        </w:rPr>
        <w:t>Intellectual Property Rights Experts Group</w:t>
      </w:r>
      <w:r w:rsidRPr="00516DCA">
        <w:t xml:space="preserve">. Viewed at: </w:t>
      </w:r>
      <w:hyperlink r:id="rId120" w:history="1">
        <w:r w:rsidRPr="00516DCA">
          <w:rPr>
            <w:rStyle w:val="Hyperlink"/>
          </w:rPr>
          <w:t>https://www.apec.org/groups/committee-on-trade-and-investment/intellectual-property-rights-experts-group</w:t>
        </w:r>
      </w:hyperlink>
      <w:r w:rsidRPr="00516DCA">
        <w:t>.</w:t>
      </w:r>
    </w:p>
  </w:footnote>
  <w:footnote w:id="271">
    <w:p w14:paraId="7EE09EE6" w14:textId="77777777" w:rsidR="00120717" w:rsidRPr="00516DCA" w:rsidRDefault="00120717" w:rsidP="00B220C9">
      <w:pPr>
        <w:pStyle w:val="FootnoteText"/>
      </w:pPr>
      <w:r w:rsidRPr="00516DCA">
        <w:rPr>
          <w:rStyle w:val="FootnoteReference"/>
          <w:szCs w:val="16"/>
        </w:rPr>
        <w:footnoteRef/>
      </w:r>
      <w:r w:rsidRPr="00516DCA">
        <w:t xml:space="preserve"> Haka Ka Mate Attribution Act 2014. Viewed at: </w:t>
      </w:r>
      <w:hyperlink r:id="rId121" w:history="1">
        <w:r w:rsidRPr="00516DCA">
          <w:rPr>
            <w:rStyle w:val="Hyperlink"/>
          </w:rPr>
          <w:t>https://www.legislation.govt.nz/act/public/2014/0018/latest/DLM5954403.html</w:t>
        </w:r>
      </w:hyperlink>
      <w:r w:rsidRPr="00516DCA">
        <w:t xml:space="preserve">. </w:t>
      </w:r>
    </w:p>
  </w:footnote>
  <w:footnote w:id="272">
    <w:p w14:paraId="0A3CDA04" w14:textId="77777777" w:rsidR="00120717" w:rsidRPr="00516DCA" w:rsidRDefault="00120717" w:rsidP="00B220C9">
      <w:pPr>
        <w:pStyle w:val="FootnoteText"/>
      </w:pPr>
      <w:r w:rsidRPr="00516DCA">
        <w:rPr>
          <w:rStyle w:val="FootnoteReference"/>
          <w:szCs w:val="16"/>
        </w:rPr>
        <w:footnoteRef/>
      </w:r>
      <w:r w:rsidRPr="00516DCA">
        <w:t xml:space="preserve"> The Waitangi Tribunal is a permanent commission of inquiry that makes recommendations on claims brought by Māori relating to Crown actions allegedly in breach the Treaty of Waitangi, an 1840 agreement between the British Crown and Māori rangatira (chiefs).</w:t>
      </w:r>
    </w:p>
  </w:footnote>
  <w:footnote w:id="273">
    <w:p w14:paraId="5B8473B0" w14:textId="77777777" w:rsidR="00120717" w:rsidRPr="00516DCA" w:rsidRDefault="00120717" w:rsidP="00B220C9">
      <w:pPr>
        <w:pStyle w:val="FootnoteText"/>
      </w:pPr>
      <w:r w:rsidRPr="00516DCA">
        <w:rPr>
          <w:rStyle w:val="FootnoteReference"/>
        </w:rPr>
        <w:footnoteRef/>
      </w:r>
      <w:r w:rsidRPr="00516DCA">
        <w:t xml:space="preserve"> Waitangi Tribunal</w:t>
      </w:r>
      <w:r>
        <w:t xml:space="preserve"> (2011), "</w:t>
      </w:r>
      <w:r w:rsidRPr="00C37BB5">
        <w:t>Ko Aotearoa Tēnei: Report on the Wai 262 Claim Released</w:t>
      </w:r>
      <w:r>
        <w:t>", 2 July</w:t>
      </w:r>
      <w:r w:rsidRPr="00516DCA">
        <w:t xml:space="preserve">. Viewed at: </w:t>
      </w:r>
      <w:hyperlink r:id="rId122" w:history="1">
        <w:r w:rsidRPr="00516DCA">
          <w:rPr>
            <w:rStyle w:val="Hyperlink"/>
          </w:rPr>
          <w:t>https://www.waitangitribunal.govt.nz/news/ko-aotearoa-tenei-report-on-the-wai-262-claim-released/</w:t>
        </w:r>
      </w:hyperlink>
      <w:r w:rsidRPr="00516DCA">
        <w:t>.</w:t>
      </w:r>
    </w:p>
  </w:footnote>
  <w:footnote w:id="274">
    <w:p w14:paraId="03571589" w14:textId="77777777" w:rsidR="00120717" w:rsidRPr="00516DCA" w:rsidRDefault="00120717" w:rsidP="00B220C9">
      <w:pPr>
        <w:pStyle w:val="FootnoteText"/>
      </w:pPr>
      <w:r w:rsidRPr="00516DCA">
        <w:rPr>
          <w:rStyle w:val="FootnoteReference"/>
          <w:szCs w:val="16"/>
        </w:rPr>
        <w:footnoteRef/>
      </w:r>
      <w:r w:rsidRPr="00516DCA">
        <w:t xml:space="preserve"> Te Puni Kōkiri, Ministry of Māori Development</w:t>
      </w:r>
      <w:r>
        <w:t>,</w:t>
      </w:r>
      <w:r w:rsidRPr="00516DCA">
        <w:t xml:space="preserve"> </w:t>
      </w:r>
      <w:r w:rsidRPr="00E9137A">
        <w:rPr>
          <w:i/>
          <w:iCs/>
        </w:rPr>
        <w:t>Te Pae Tawhiti: Wai 262</w:t>
      </w:r>
      <w:r w:rsidRPr="00516DCA">
        <w:t xml:space="preserve">. Viewed at: </w:t>
      </w:r>
      <w:hyperlink r:id="rId123" w:history="1">
        <w:r w:rsidRPr="00516DCA">
          <w:rPr>
            <w:rStyle w:val="Hyperlink"/>
          </w:rPr>
          <w:t>https://www.tpk.govt.nz/en/a-matou-kaupapa/te-ao-maori/wai-262-te-pae-tawhiti</w:t>
        </w:r>
      </w:hyperlink>
      <w:r w:rsidRPr="00516DCA">
        <w:rPr>
          <w:rStyle w:val="Hyperlink"/>
        </w:rPr>
        <w:t>.</w:t>
      </w:r>
    </w:p>
  </w:footnote>
  <w:footnote w:id="275">
    <w:p w14:paraId="3EE1E024" w14:textId="77777777" w:rsidR="00120717" w:rsidRPr="00516DCA" w:rsidRDefault="00120717" w:rsidP="00B220C9">
      <w:pPr>
        <w:pStyle w:val="FootnoteText"/>
      </w:pPr>
      <w:r w:rsidRPr="00516DCA">
        <w:rPr>
          <w:rStyle w:val="FootnoteReference"/>
          <w:szCs w:val="16"/>
        </w:rPr>
        <w:footnoteRef/>
      </w:r>
      <w:r w:rsidRPr="00516DCA">
        <w:t xml:space="preserve"> New</w:t>
      </w:r>
      <w:r>
        <w:t> Zealand</w:t>
      </w:r>
      <w:r w:rsidRPr="00516DCA">
        <w:t xml:space="preserve"> Parliament</w:t>
      </w:r>
      <w:r>
        <w:t xml:space="preserve">, </w:t>
      </w:r>
      <w:r w:rsidRPr="00E9137A">
        <w:rPr>
          <w:i/>
          <w:iCs/>
        </w:rPr>
        <w:t>Plant Variety Rights Bill</w:t>
      </w:r>
      <w:r w:rsidRPr="00516DCA">
        <w:t xml:space="preserve">. Viewed at: </w:t>
      </w:r>
      <w:hyperlink r:id="rId124" w:history="1">
        <w:r w:rsidRPr="00516DCA">
          <w:rPr>
            <w:rStyle w:val="Hyperlink"/>
          </w:rPr>
          <w:t>https://www.parliament.nz/en/pb/bills-and-laws/bills-proposed-laws/document/BILL_111271/plant-variety-rights-bill</w:t>
        </w:r>
      </w:hyperlink>
      <w:r w:rsidRPr="00516DCA">
        <w:t>.</w:t>
      </w:r>
    </w:p>
  </w:footnote>
  <w:footnote w:id="276">
    <w:p w14:paraId="7A60A7D5" w14:textId="77777777" w:rsidR="00120717" w:rsidRPr="00516DCA" w:rsidRDefault="00120717" w:rsidP="00B220C9">
      <w:pPr>
        <w:pStyle w:val="FootnoteText"/>
      </w:pPr>
      <w:r w:rsidRPr="00516DCA">
        <w:rPr>
          <w:rStyle w:val="FootnoteReference"/>
        </w:rPr>
        <w:footnoteRef/>
      </w:r>
      <w:r w:rsidRPr="00516DCA">
        <w:t xml:space="preserve"> Waitangi Tribunal, Wai 262 report </w:t>
      </w:r>
      <w:r w:rsidRPr="00516DCA">
        <w:rPr>
          <w:i/>
        </w:rPr>
        <w:t>Ko Aotearoa Tenei</w:t>
      </w:r>
      <w:r w:rsidRPr="00516DCA">
        <w:rPr>
          <w:iCs/>
        </w:rPr>
        <w:t>, pp.</w:t>
      </w:r>
      <w:r>
        <w:rPr>
          <w:iCs/>
        </w:rPr>
        <w:t> </w:t>
      </w:r>
      <w:r w:rsidRPr="00516DCA">
        <w:rPr>
          <w:iCs/>
        </w:rPr>
        <w:t>96-97.</w:t>
      </w:r>
      <w:r w:rsidRPr="00516DCA">
        <w:t xml:space="preserve"> Viewed at: </w:t>
      </w:r>
      <w:hyperlink r:id="rId125" w:history="1">
        <w:r w:rsidRPr="00516DCA">
          <w:rPr>
            <w:rStyle w:val="Hyperlink"/>
          </w:rPr>
          <w:t>https://forms.justice.govt.nz/search/Documents/WT/wt_DOC_68356054/KoAotearoaTeneiTT1W.pdf</w:t>
        </w:r>
      </w:hyperlink>
      <w:r w:rsidRPr="00516DCA">
        <w:t xml:space="preserve">. </w:t>
      </w:r>
    </w:p>
  </w:footnote>
  <w:footnote w:id="277">
    <w:p w14:paraId="69137FA7" w14:textId="77777777" w:rsidR="00120717" w:rsidRPr="00516DCA" w:rsidRDefault="00120717" w:rsidP="00B220C9">
      <w:pPr>
        <w:pStyle w:val="FootnoteText"/>
      </w:pPr>
      <w:r w:rsidRPr="00516DCA">
        <w:rPr>
          <w:rStyle w:val="FootnoteReference"/>
          <w:szCs w:val="16"/>
        </w:rPr>
        <w:footnoteRef/>
      </w:r>
      <w:r w:rsidRPr="00516DCA">
        <w:t xml:space="preserve"> MBIE</w:t>
      </w:r>
      <w:r>
        <w:t>,</w:t>
      </w:r>
      <w:r w:rsidRPr="00516DCA">
        <w:t xml:space="preserve"> </w:t>
      </w:r>
      <w:r w:rsidRPr="00E9137A">
        <w:rPr>
          <w:i/>
          <w:iCs/>
        </w:rPr>
        <w:t>Mātauranga and Taonga Māori and the Intellectual Property System</w:t>
      </w:r>
      <w:r w:rsidRPr="00516DCA">
        <w:t xml:space="preserve">. Viewed at: </w:t>
      </w:r>
      <w:hyperlink r:id="rId126" w:history="1">
        <w:r w:rsidRPr="00516DCA">
          <w:rPr>
            <w:rStyle w:val="Hyperlink"/>
          </w:rPr>
          <w:t>https://www.mbie.govt.nz/business-and-employment/business/intellectual-property/matauranga-and-taonga-maori-and-the-intellectual-property-system/</w:t>
        </w:r>
      </w:hyperlink>
      <w:r w:rsidRPr="00516DCA">
        <w:t xml:space="preserve">. </w:t>
      </w:r>
    </w:p>
  </w:footnote>
  <w:footnote w:id="278">
    <w:p w14:paraId="2C150B73" w14:textId="77777777" w:rsidR="00120717" w:rsidRPr="00516DCA" w:rsidRDefault="00120717" w:rsidP="00B220C9">
      <w:pPr>
        <w:pStyle w:val="FootnoteText"/>
      </w:pPr>
      <w:r w:rsidRPr="00516DCA">
        <w:rPr>
          <w:rStyle w:val="FootnoteReference"/>
          <w:szCs w:val="16"/>
        </w:rPr>
        <w:footnoteRef/>
      </w:r>
      <w:r w:rsidRPr="00516DCA">
        <w:t xml:space="preserve"> Patents (Trans-Tasman Patent Attorneys and Other Matters) Amendment Act 2016, </w:t>
      </w:r>
      <w:r>
        <w:t xml:space="preserve">WTO </w:t>
      </w:r>
      <w:r w:rsidRPr="00516DCA">
        <w:t xml:space="preserve">document </w:t>
      </w:r>
      <w:r w:rsidRPr="00E9137A">
        <w:t>IP/N/1/NZL/11</w:t>
      </w:r>
      <w:r w:rsidRPr="00F441D3">
        <w:rPr>
          <w:rStyle w:val="Hyperlink"/>
          <w:color w:val="auto"/>
          <w:u w:val="none"/>
        </w:rPr>
        <w:t>, IP/N/1/NZL/P/8, 8 April 2021</w:t>
      </w:r>
      <w:r w:rsidRPr="00F441D3">
        <w:t>.</w:t>
      </w:r>
    </w:p>
  </w:footnote>
  <w:footnote w:id="279">
    <w:p w14:paraId="3E651631" w14:textId="49F718E8" w:rsidR="00120717" w:rsidRPr="00516DCA" w:rsidRDefault="00120717" w:rsidP="00426702">
      <w:pPr>
        <w:pStyle w:val="FootnoteText"/>
      </w:pPr>
      <w:r w:rsidRPr="00516DCA">
        <w:rPr>
          <w:rStyle w:val="FootnoteReference"/>
          <w:szCs w:val="16"/>
        </w:rPr>
        <w:footnoteRef/>
      </w:r>
      <w:r w:rsidRPr="00516DCA">
        <w:t xml:space="preserve"> CPTPP Amendment Act 2018, </w:t>
      </w:r>
      <w:r>
        <w:t>S</w:t>
      </w:r>
      <w:r w:rsidRPr="00516DCA">
        <w:t xml:space="preserve">ection 72, </w:t>
      </w:r>
      <w:r>
        <w:t xml:space="preserve">WTO </w:t>
      </w:r>
      <w:r w:rsidRPr="00516DCA">
        <w:t xml:space="preserve">document </w:t>
      </w:r>
      <w:r>
        <w:t>IP/N/1/NZL/15, IP/N/1/NZL/C/8, IP/N/1/NZL/P/10, IP/N/1/NZL/T/7, IP/N/1/NZL/O/1, 8 April 2021.</w:t>
      </w:r>
      <w:r w:rsidRPr="00516DCA">
        <w:t xml:space="preserve"> See also IPONZ</w:t>
      </w:r>
      <w:r>
        <w:t xml:space="preserve"> (2018), "</w:t>
      </w:r>
      <w:r w:rsidRPr="00426702">
        <w:t xml:space="preserve">Amendment to the Patents Act 2013 in </w:t>
      </w:r>
      <w:r w:rsidR="00264C7C">
        <w:t>E</w:t>
      </w:r>
      <w:r w:rsidRPr="00426702">
        <w:t>ffect from 30</w:t>
      </w:r>
      <w:r w:rsidR="00A56655">
        <w:t> </w:t>
      </w:r>
      <w:r w:rsidRPr="00426702">
        <w:t>December</w:t>
      </w:r>
      <w:r w:rsidR="00A56655">
        <w:t> </w:t>
      </w:r>
      <w:r w:rsidRPr="00426702">
        <w:t>2018</w:t>
      </w:r>
      <w:r>
        <w:t>", 6 December</w:t>
      </w:r>
      <w:r w:rsidRPr="00516DCA">
        <w:t xml:space="preserve">. Viewed at: </w:t>
      </w:r>
      <w:hyperlink r:id="rId127" w:history="1">
        <w:r w:rsidRPr="00516DCA">
          <w:rPr>
            <w:rStyle w:val="Hyperlink"/>
          </w:rPr>
          <w:t>https://www.iponz.govt.nz/news/amendment-to-the-patents-act-2013/</w:t>
        </w:r>
      </w:hyperlink>
      <w:r w:rsidRPr="00516DCA">
        <w:t>.</w:t>
      </w:r>
    </w:p>
  </w:footnote>
  <w:footnote w:id="280">
    <w:p w14:paraId="4711205B" w14:textId="77777777" w:rsidR="00120717" w:rsidRPr="00780059" w:rsidRDefault="00120717" w:rsidP="00B220C9">
      <w:pPr>
        <w:pStyle w:val="FootnoteText"/>
      </w:pPr>
      <w:r w:rsidRPr="00516DCA">
        <w:rPr>
          <w:rStyle w:val="FootnoteReference"/>
          <w:szCs w:val="16"/>
        </w:rPr>
        <w:footnoteRef/>
      </w:r>
      <w:r w:rsidRPr="00516DCA">
        <w:t xml:space="preserve"> Patents Amendment Regulations 2019, </w:t>
      </w:r>
      <w:r>
        <w:t xml:space="preserve">WTO </w:t>
      </w:r>
      <w:r w:rsidRPr="00516DCA">
        <w:t xml:space="preserve">document </w:t>
      </w:r>
      <w:r w:rsidRPr="00E9137A">
        <w:t>IP/N/1/NZL/18</w:t>
      </w:r>
      <w:r w:rsidRPr="00F441D3">
        <w:rPr>
          <w:rStyle w:val="Hyperlink"/>
          <w:color w:val="auto"/>
          <w:u w:val="none"/>
        </w:rPr>
        <w:t xml:space="preserve">, </w:t>
      </w:r>
      <w:r w:rsidRPr="00780059">
        <w:t>IP/N/1/NZL/P/11</w:t>
      </w:r>
      <w:r>
        <w:t>, 8 April 2021.</w:t>
      </w:r>
    </w:p>
  </w:footnote>
  <w:footnote w:id="281">
    <w:p w14:paraId="771312A1" w14:textId="77777777" w:rsidR="00120717" w:rsidRPr="00516DCA" w:rsidRDefault="00120717" w:rsidP="00B220C9">
      <w:pPr>
        <w:pStyle w:val="FootnoteText"/>
      </w:pPr>
      <w:r w:rsidRPr="00516DCA">
        <w:rPr>
          <w:rStyle w:val="FootnoteReference"/>
          <w:szCs w:val="16"/>
        </w:rPr>
        <w:footnoteRef/>
      </w:r>
      <w:r w:rsidRPr="00516DCA">
        <w:t xml:space="preserve"> IPONZ</w:t>
      </w:r>
      <w:r>
        <w:t xml:space="preserve">, </w:t>
      </w:r>
      <w:r w:rsidRPr="00E9137A">
        <w:rPr>
          <w:i/>
          <w:iCs/>
        </w:rPr>
        <w:t>IPONZ Fees Review and Consultation</w:t>
      </w:r>
      <w:r w:rsidRPr="00516DCA">
        <w:t xml:space="preserve">. Viewed at: </w:t>
      </w:r>
      <w:hyperlink r:id="rId128" w:history="1">
        <w:r w:rsidRPr="00516DCA">
          <w:rPr>
            <w:rStyle w:val="Hyperlink"/>
          </w:rPr>
          <w:t>https://www.iponz.govt.nz/about-iponz/iponz-fees-review-and-consultation/</w:t>
        </w:r>
      </w:hyperlink>
      <w:r w:rsidRPr="00516DCA">
        <w:t>.</w:t>
      </w:r>
    </w:p>
  </w:footnote>
  <w:footnote w:id="282">
    <w:p w14:paraId="31BEA6F2" w14:textId="77777777" w:rsidR="00120717" w:rsidRPr="00F441D3" w:rsidRDefault="00120717">
      <w:pPr>
        <w:pStyle w:val="FootnoteText"/>
      </w:pPr>
      <w:r w:rsidRPr="00516DCA">
        <w:rPr>
          <w:rStyle w:val="FootnoteReference"/>
        </w:rPr>
        <w:footnoteRef/>
      </w:r>
      <w:r w:rsidRPr="00516DCA">
        <w:t xml:space="preserve"> The Patent Act 2013 adopted of the international standard of absolute novelty, rather than local novelty, and requires examiners to examine an invention's inventive step. </w:t>
      </w:r>
      <w:r>
        <w:t>WTO d</w:t>
      </w:r>
      <w:r w:rsidRPr="00516DCA">
        <w:t xml:space="preserve">ocument </w:t>
      </w:r>
      <w:r w:rsidRPr="00E9137A">
        <w:t>IP/N/1/NZL/5</w:t>
      </w:r>
      <w:r w:rsidRPr="00F441D3">
        <w:rPr>
          <w:rStyle w:val="Hyperlink"/>
          <w:color w:val="auto"/>
          <w:u w:val="none"/>
        </w:rPr>
        <w:t>, IP/N/1/NZL/P/5, 23 February 2015</w:t>
      </w:r>
      <w:r w:rsidRPr="00F441D3">
        <w:t>.</w:t>
      </w:r>
    </w:p>
  </w:footnote>
  <w:footnote w:id="283">
    <w:p w14:paraId="7A176083" w14:textId="77777777" w:rsidR="00120717" w:rsidRPr="00516DCA" w:rsidRDefault="00120717" w:rsidP="00F62FAC">
      <w:pPr>
        <w:pStyle w:val="FootnoteText"/>
      </w:pPr>
      <w:r w:rsidRPr="00516DCA">
        <w:rPr>
          <w:rStyle w:val="FootnoteReference"/>
          <w:szCs w:val="16"/>
        </w:rPr>
        <w:footnoteRef/>
      </w:r>
      <w:r w:rsidRPr="00516DCA">
        <w:t xml:space="preserve"> Several USTR Special 301 reports issued during the review period have noted concerns expressed by US pharmaceutical and medical device industries regarding the operation of New</w:t>
      </w:r>
      <w:r>
        <w:t> Zealand</w:t>
      </w:r>
      <w:r w:rsidRPr="00516DCA">
        <w:t>'s Pharmaceutical Management Agency and negative aspects of the overall climate for innovative medicines in New</w:t>
      </w:r>
      <w:r>
        <w:t> Zealand</w:t>
      </w:r>
      <w:r w:rsidRPr="00516DCA">
        <w:t>. See,</w:t>
      </w:r>
      <w:r>
        <w:t> </w:t>
      </w:r>
      <w:r w:rsidRPr="00516DCA">
        <w:t xml:space="preserve">e.g. USTR, 2021 Special 301 Report, p. 29. Viewed at: </w:t>
      </w:r>
      <w:hyperlink r:id="rId129" w:history="1">
        <w:r w:rsidRPr="00516DCA">
          <w:rPr>
            <w:rStyle w:val="Hyperlink"/>
          </w:rPr>
          <w:t>https://ustr.gov/sites/default/files/files/reports/2021/2021%20Special%20301%20Report%20(final).pdf</w:t>
        </w:r>
      </w:hyperlink>
      <w:r w:rsidRPr="00516DCA">
        <w:t xml:space="preserve">. </w:t>
      </w:r>
    </w:p>
  </w:footnote>
  <w:footnote w:id="284">
    <w:p w14:paraId="6DDE702E" w14:textId="77777777" w:rsidR="00120717" w:rsidRPr="00516DCA" w:rsidRDefault="00120717" w:rsidP="00B220C9">
      <w:pPr>
        <w:pStyle w:val="FootnoteText"/>
      </w:pPr>
      <w:r w:rsidRPr="00516DCA">
        <w:rPr>
          <w:rStyle w:val="FootnoteReference"/>
          <w:szCs w:val="16"/>
        </w:rPr>
        <w:footnoteRef/>
      </w:r>
      <w:r w:rsidRPr="00516DCA">
        <w:t xml:space="preserve"> Derwent</w:t>
      </w:r>
      <w:r>
        <w:t xml:space="preserve"> (2020)</w:t>
      </w:r>
      <w:r w:rsidRPr="00516DCA">
        <w:t xml:space="preserve">, </w:t>
      </w:r>
      <w:r w:rsidRPr="00E9137A">
        <w:rPr>
          <w:i/>
          <w:iCs/>
        </w:rPr>
        <w:t>Survey of New Zealand Patent Activity</w:t>
      </w:r>
      <w:r w:rsidRPr="00516DCA">
        <w:t xml:space="preserve">. </w:t>
      </w:r>
    </w:p>
  </w:footnote>
  <w:footnote w:id="285">
    <w:p w14:paraId="098298D0" w14:textId="77777777" w:rsidR="00120717" w:rsidRPr="00516DCA" w:rsidRDefault="00120717" w:rsidP="00B220C9">
      <w:pPr>
        <w:pStyle w:val="FootnoteText"/>
      </w:pPr>
      <w:r w:rsidRPr="00516DCA">
        <w:rPr>
          <w:rStyle w:val="FootnoteReference"/>
          <w:szCs w:val="16"/>
        </w:rPr>
        <w:footnoteRef/>
      </w:r>
      <w:r w:rsidRPr="00516DCA">
        <w:t xml:space="preserve"> IPONZ</w:t>
      </w:r>
      <w:r>
        <w:t xml:space="preserve"> (2020),</w:t>
      </w:r>
      <w:r w:rsidRPr="00516DCA">
        <w:t xml:space="preserve"> </w:t>
      </w:r>
      <w:r w:rsidRPr="00E9137A">
        <w:rPr>
          <w:i/>
          <w:iCs/>
        </w:rPr>
        <w:t>Year in Review 2018/19</w:t>
      </w:r>
      <w:r w:rsidRPr="00516DCA">
        <w:t xml:space="preserve">, p. 6. Viewed at: </w:t>
      </w:r>
      <w:hyperlink r:id="rId130" w:history="1">
        <w:r w:rsidRPr="00516DCA">
          <w:rPr>
            <w:rStyle w:val="Hyperlink"/>
          </w:rPr>
          <w:t>https://www.iponz.govt.nz/assets/pdf/about-iponz/5307-iponz-year-in-review-201819.pdf</w:t>
        </w:r>
      </w:hyperlink>
      <w:r w:rsidRPr="00516DCA">
        <w:t xml:space="preserve">. </w:t>
      </w:r>
    </w:p>
  </w:footnote>
  <w:footnote w:id="286">
    <w:p w14:paraId="722D2007" w14:textId="77777777" w:rsidR="00120717" w:rsidRPr="00516DCA" w:rsidRDefault="00120717">
      <w:pPr>
        <w:pStyle w:val="FootnoteText"/>
      </w:pPr>
      <w:r w:rsidRPr="00516DCA">
        <w:rPr>
          <w:rStyle w:val="FootnoteReference"/>
        </w:rPr>
        <w:footnoteRef/>
      </w:r>
      <w:r w:rsidRPr="00516DCA">
        <w:t xml:space="preserve"> Derwent</w:t>
      </w:r>
      <w:r>
        <w:t xml:space="preserve"> (2020)</w:t>
      </w:r>
      <w:r w:rsidRPr="00516DCA">
        <w:t xml:space="preserve">, </w:t>
      </w:r>
      <w:r w:rsidRPr="00E9137A">
        <w:rPr>
          <w:i/>
          <w:iCs/>
        </w:rPr>
        <w:t>Survey of New Zealand Patent Activity</w:t>
      </w:r>
      <w:r w:rsidRPr="00516DCA">
        <w:t xml:space="preserve">, p. 27. </w:t>
      </w:r>
    </w:p>
  </w:footnote>
  <w:footnote w:id="287">
    <w:p w14:paraId="48329CC9" w14:textId="77777777" w:rsidR="00120717" w:rsidRPr="00516DCA" w:rsidRDefault="00120717" w:rsidP="00B220C9">
      <w:pPr>
        <w:pStyle w:val="FootnoteText"/>
      </w:pPr>
      <w:r w:rsidRPr="00516DCA">
        <w:rPr>
          <w:rStyle w:val="FootnoteReference"/>
          <w:szCs w:val="16"/>
        </w:rPr>
        <w:footnoteRef/>
      </w:r>
      <w:r w:rsidRPr="00516DCA">
        <w:t xml:space="preserve"> Crimes Act 1961, </w:t>
      </w:r>
      <w:r>
        <w:t>S</w:t>
      </w:r>
      <w:r w:rsidRPr="00516DCA">
        <w:t xml:space="preserve">ection 230. Viewed at: </w:t>
      </w:r>
      <w:hyperlink r:id="rId131" w:history="1">
        <w:r w:rsidRPr="00516DCA">
          <w:rPr>
            <w:rStyle w:val="Hyperlink"/>
          </w:rPr>
          <w:t>https://www.legislation.govt.nz/act/public/1961/0043/latest/DLM327382.html</w:t>
        </w:r>
      </w:hyperlink>
      <w:r w:rsidRPr="00516DCA">
        <w:t xml:space="preserve">. </w:t>
      </w:r>
    </w:p>
  </w:footnote>
  <w:footnote w:id="288">
    <w:p w14:paraId="58B5A8C1" w14:textId="77777777" w:rsidR="00120717" w:rsidRPr="00516DCA" w:rsidRDefault="00120717" w:rsidP="00B220C9">
      <w:pPr>
        <w:pStyle w:val="FootnoteText"/>
      </w:pPr>
      <w:r w:rsidRPr="00516DCA">
        <w:rPr>
          <w:rStyle w:val="FootnoteReference"/>
        </w:rPr>
        <w:footnoteRef/>
      </w:r>
      <w:r w:rsidRPr="00516DCA">
        <w:t xml:space="preserve"> </w:t>
      </w:r>
      <w:r>
        <w:t>Crimes Act 1961, S</w:t>
      </w:r>
      <w:r w:rsidRPr="00516DCA">
        <w:t>ection 249.</w:t>
      </w:r>
    </w:p>
  </w:footnote>
  <w:footnote w:id="289">
    <w:p w14:paraId="4C17D6DE" w14:textId="77777777" w:rsidR="00120717" w:rsidRPr="00516DCA" w:rsidRDefault="00120717" w:rsidP="00B220C9">
      <w:pPr>
        <w:pStyle w:val="FootnoteText"/>
      </w:pPr>
      <w:r w:rsidRPr="00516DCA">
        <w:rPr>
          <w:rStyle w:val="FootnoteReference"/>
          <w:szCs w:val="16"/>
        </w:rPr>
        <w:footnoteRef/>
      </w:r>
      <w:r w:rsidRPr="00516DCA">
        <w:t xml:space="preserve"> Agricultural Compounds and Veterinary Medicines Act 1997. Viewed at: </w:t>
      </w:r>
      <w:hyperlink r:id="rId132" w:history="1">
        <w:r w:rsidRPr="00516DCA">
          <w:rPr>
            <w:rStyle w:val="Hyperlink"/>
          </w:rPr>
          <w:t>https://www.legislation.govt.nz/act/public/1997/0087/latest/DLM414577.html</w:t>
        </w:r>
      </w:hyperlink>
      <w:r w:rsidRPr="00516DCA">
        <w:t xml:space="preserve">. </w:t>
      </w:r>
    </w:p>
  </w:footnote>
  <w:footnote w:id="290">
    <w:p w14:paraId="499AEBEC" w14:textId="77777777" w:rsidR="00120717" w:rsidRPr="00516DCA" w:rsidRDefault="00120717" w:rsidP="00857A4D">
      <w:pPr>
        <w:pStyle w:val="FootnoteText"/>
      </w:pPr>
      <w:r w:rsidRPr="00516DCA">
        <w:rPr>
          <w:rStyle w:val="FootnoteReference"/>
          <w:szCs w:val="16"/>
        </w:rPr>
        <w:footnoteRef/>
      </w:r>
      <w:r w:rsidRPr="00516DCA">
        <w:t xml:space="preserve"> Agricultural Compounds and Veterinary Medicines Amendment Act 2016. Viewed at: </w:t>
      </w:r>
      <w:hyperlink r:id="rId133" w:history="1">
        <w:r w:rsidRPr="00516DCA">
          <w:rPr>
            <w:rStyle w:val="Hyperlink"/>
          </w:rPr>
          <w:t>https://www.legislation.govt.nz/act/public/2016/0082/latest/DLM6554412.html</w:t>
        </w:r>
      </w:hyperlink>
      <w:r w:rsidRPr="00516DCA">
        <w:t>.</w:t>
      </w:r>
    </w:p>
  </w:footnote>
  <w:footnote w:id="291">
    <w:p w14:paraId="57599E71" w14:textId="77777777" w:rsidR="00120717" w:rsidRPr="00516DCA" w:rsidRDefault="00120717" w:rsidP="00B220C9">
      <w:pPr>
        <w:pStyle w:val="FootnoteText"/>
      </w:pPr>
      <w:r w:rsidRPr="00516DCA">
        <w:rPr>
          <w:rStyle w:val="FootnoteReference"/>
          <w:szCs w:val="16"/>
        </w:rPr>
        <w:footnoteRef/>
      </w:r>
      <w:r w:rsidRPr="00516DCA">
        <w:t xml:space="preserve"> IPONZ</w:t>
      </w:r>
      <w:r>
        <w:t xml:space="preserve"> (2021),</w:t>
      </w:r>
      <w:r w:rsidRPr="00516DCA">
        <w:t xml:space="preserve"> </w:t>
      </w:r>
      <w:r w:rsidRPr="00E9137A">
        <w:rPr>
          <w:i/>
          <w:iCs/>
        </w:rPr>
        <w:t>Year in Review 2019/20</w:t>
      </w:r>
      <w:r w:rsidRPr="00516DCA">
        <w:t xml:space="preserve">, p. 7. </w:t>
      </w:r>
    </w:p>
  </w:footnote>
  <w:footnote w:id="292">
    <w:p w14:paraId="2420297F" w14:textId="77777777" w:rsidR="00120717" w:rsidRPr="00516DCA" w:rsidRDefault="00120717" w:rsidP="00B220C9">
      <w:pPr>
        <w:pStyle w:val="FootnoteText"/>
      </w:pPr>
      <w:r w:rsidRPr="00516DCA">
        <w:rPr>
          <w:rStyle w:val="FootnoteReference"/>
          <w:szCs w:val="16"/>
        </w:rPr>
        <w:footnoteRef/>
      </w:r>
      <w:r w:rsidRPr="00516DCA">
        <w:t xml:space="preserve"> IPONZ </w:t>
      </w:r>
      <w:r>
        <w:t xml:space="preserve">(2020), </w:t>
      </w:r>
      <w:r w:rsidRPr="00E9137A">
        <w:rPr>
          <w:i/>
          <w:iCs/>
        </w:rPr>
        <w:t>Year in Review 2018/19</w:t>
      </w:r>
      <w:r w:rsidRPr="00516DCA">
        <w:t>, p. 8.</w:t>
      </w:r>
    </w:p>
  </w:footnote>
  <w:footnote w:id="293">
    <w:p w14:paraId="00E4BBD1" w14:textId="77777777" w:rsidR="00120717" w:rsidRPr="00516DCA" w:rsidRDefault="00120717" w:rsidP="00B220C9">
      <w:pPr>
        <w:pStyle w:val="FootnoteText"/>
      </w:pPr>
      <w:r w:rsidRPr="00516DCA">
        <w:rPr>
          <w:rStyle w:val="FootnoteReference"/>
          <w:szCs w:val="16"/>
        </w:rPr>
        <w:footnoteRef/>
      </w:r>
      <w:r w:rsidRPr="00516DCA">
        <w:t xml:space="preserve"> New</w:t>
      </w:r>
      <w:r>
        <w:t> Zealand</w:t>
      </w:r>
      <w:r w:rsidRPr="00516DCA">
        <w:t xml:space="preserve"> Parliament</w:t>
      </w:r>
      <w:r>
        <w:t xml:space="preserve">, </w:t>
      </w:r>
      <w:r w:rsidRPr="00E9137A">
        <w:rPr>
          <w:i/>
          <w:iCs/>
        </w:rPr>
        <w:t>Plant Variety Rights Bill</w:t>
      </w:r>
      <w:r w:rsidRPr="00516DCA">
        <w:t xml:space="preserve">. Viewed at: </w:t>
      </w:r>
      <w:hyperlink r:id="rId134" w:history="1">
        <w:r w:rsidRPr="00516DCA">
          <w:rPr>
            <w:rStyle w:val="Hyperlink"/>
          </w:rPr>
          <w:t>https://www.parliament.nz/en/pb/bills-and-laws/bills-proposed-laws/document/BILL_111271/plant-variety-rights-bill</w:t>
        </w:r>
      </w:hyperlink>
      <w:r w:rsidRPr="00516DCA">
        <w:t>.</w:t>
      </w:r>
    </w:p>
  </w:footnote>
  <w:footnote w:id="294">
    <w:p w14:paraId="6205E9C3" w14:textId="77777777" w:rsidR="00120717" w:rsidRPr="00516DCA" w:rsidRDefault="00120717" w:rsidP="00B220C9">
      <w:pPr>
        <w:pStyle w:val="FootnoteText"/>
      </w:pPr>
      <w:r w:rsidRPr="00516DCA">
        <w:rPr>
          <w:rStyle w:val="FootnoteReference"/>
          <w:szCs w:val="16"/>
        </w:rPr>
        <w:footnoteRef/>
      </w:r>
      <w:r w:rsidRPr="00516DCA">
        <w:t xml:space="preserve"> MBIE</w:t>
      </w:r>
      <w:r>
        <w:t xml:space="preserve">, </w:t>
      </w:r>
      <w:r w:rsidRPr="00E9137A">
        <w:rPr>
          <w:i/>
          <w:iCs/>
        </w:rPr>
        <w:t>Background to the Plant Variety Rights Act Review</w:t>
      </w:r>
      <w:r>
        <w:t xml:space="preserve">. </w:t>
      </w:r>
      <w:r w:rsidRPr="00516DCA">
        <w:t xml:space="preserve">Viewed at: </w:t>
      </w:r>
      <w:hyperlink r:id="rId135" w:history="1">
        <w:r w:rsidRPr="00516DCA">
          <w:rPr>
            <w:rStyle w:val="Hyperlink"/>
          </w:rPr>
          <w:t>https://www.mbie.govt.nz/business-and-employment/business/intellectual-property/plant-variety-rights/plant-variety-rights-act-review/background-to-the-plant-variety-rights-act-review/</w:t>
        </w:r>
      </w:hyperlink>
      <w:r w:rsidRPr="00516DCA">
        <w:t>.</w:t>
      </w:r>
    </w:p>
  </w:footnote>
  <w:footnote w:id="295">
    <w:p w14:paraId="17E5B775" w14:textId="77777777" w:rsidR="00120717" w:rsidRPr="00516DCA" w:rsidRDefault="00120717" w:rsidP="00B220C9">
      <w:pPr>
        <w:pStyle w:val="FootnoteText"/>
      </w:pPr>
      <w:r w:rsidRPr="00516DCA">
        <w:rPr>
          <w:rStyle w:val="FootnoteReference"/>
          <w:szCs w:val="16"/>
        </w:rPr>
        <w:footnoteRef/>
      </w:r>
      <w:r w:rsidRPr="00516DCA">
        <w:t xml:space="preserve"> Although the PVR Act 1987 does not specify an export right, the Court of Appeals has held that conduct taken in New</w:t>
      </w:r>
      <w:r>
        <w:t> Zealand</w:t>
      </w:r>
      <w:r w:rsidRPr="00516DCA">
        <w:t xml:space="preserve"> to facilitate the export of protected varieties could diminish a right holder's</w:t>
      </w:r>
      <w:r>
        <w:t> </w:t>
      </w:r>
      <w:r w:rsidRPr="00516DCA">
        <w:t xml:space="preserve">enjoyment of its exclusive rights, and in this manner constitute infringement. </w:t>
      </w:r>
      <w:r w:rsidRPr="00516DCA">
        <w:rPr>
          <w:i/>
        </w:rPr>
        <w:t>Haoyu Gao v Zespri Group Ltd</w:t>
      </w:r>
      <w:r w:rsidRPr="00516DCA">
        <w:t xml:space="preserve"> 2021 NZCA 442; </w:t>
      </w:r>
      <w:r w:rsidRPr="00516DCA">
        <w:rPr>
          <w:i/>
        </w:rPr>
        <w:t>Winchester International (NZ) Limited v Cropmark Seeds Limited CA</w:t>
      </w:r>
      <w:r w:rsidRPr="00516DCA">
        <w:t xml:space="preserve"> 226/04, 5</w:t>
      </w:r>
      <w:r>
        <w:t> </w:t>
      </w:r>
      <w:r w:rsidRPr="00516DCA">
        <w:t>December</w:t>
      </w:r>
      <w:r>
        <w:t> </w:t>
      </w:r>
      <w:r w:rsidRPr="00516DCA">
        <w:t>2005.</w:t>
      </w:r>
    </w:p>
  </w:footnote>
  <w:footnote w:id="296">
    <w:p w14:paraId="62BBCBBC" w14:textId="77777777" w:rsidR="00120717" w:rsidRPr="00516DCA" w:rsidRDefault="00120717" w:rsidP="006D3B9A">
      <w:pPr>
        <w:pStyle w:val="FootnoteText"/>
      </w:pPr>
      <w:r w:rsidRPr="00516DCA">
        <w:rPr>
          <w:rStyle w:val="FootnoteReference"/>
          <w:szCs w:val="16"/>
        </w:rPr>
        <w:footnoteRef/>
      </w:r>
      <w:r w:rsidRPr="00516DCA">
        <w:t xml:space="preserve"> New</w:t>
      </w:r>
      <w:r>
        <w:t> Zealand</w:t>
      </w:r>
      <w:r w:rsidRPr="00516DCA">
        <w:t xml:space="preserve"> Parliament</w:t>
      </w:r>
      <w:r>
        <w:t xml:space="preserve">, </w:t>
      </w:r>
      <w:r w:rsidRPr="00E9137A">
        <w:rPr>
          <w:i/>
          <w:iCs/>
        </w:rPr>
        <w:t>Plant Variety Rights Bill</w:t>
      </w:r>
      <w:r w:rsidRPr="00516DCA">
        <w:t xml:space="preserve">. Viewed at: </w:t>
      </w:r>
      <w:hyperlink r:id="rId136" w:history="1">
        <w:r w:rsidRPr="00516DCA">
          <w:rPr>
            <w:rStyle w:val="Hyperlink"/>
          </w:rPr>
          <w:t>https://www.parliament.nz/en/pb/bills-and-laws/bills-proposed-laws/document/BILL_111271/plant-variety-rights-bill</w:t>
        </w:r>
      </w:hyperlink>
      <w:r w:rsidRPr="00516DCA">
        <w:t>.</w:t>
      </w:r>
    </w:p>
  </w:footnote>
  <w:footnote w:id="297">
    <w:p w14:paraId="5983C908" w14:textId="77777777" w:rsidR="00120717" w:rsidRPr="00516DCA" w:rsidRDefault="00120717" w:rsidP="00B220C9">
      <w:pPr>
        <w:pStyle w:val="FootnoteText"/>
      </w:pPr>
      <w:r w:rsidRPr="00516DCA">
        <w:rPr>
          <w:rStyle w:val="FootnoteReference"/>
          <w:szCs w:val="16"/>
        </w:rPr>
        <w:footnoteRef/>
      </w:r>
      <w:r w:rsidRPr="00516DCA">
        <w:t xml:space="preserve"> MBIE</w:t>
      </w:r>
      <w:r>
        <w:t xml:space="preserve"> (2016)</w:t>
      </w:r>
      <w:r w:rsidRPr="00516DCA">
        <w:t xml:space="preserve">, </w:t>
      </w:r>
      <w:r w:rsidRPr="00E9137A">
        <w:rPr>
          <w:i/>
          <w:iCs/>
        </w:rPr>
        <w:t>Copyright and the Creative Sector</w:t>
      </w:r>
      <w:r w:rsidRPr="00516DCA">
        <w:t xml:space="preserve">. Viewed at: </w:t>
      </w:r>
      <w:hyperlink r:id="rId137" w:history="1">
        <w:r w:rsidRPr="00516DCA">
          <w:rPr>
            <w:rStyle w:val="Hyperlink"/>
          </w:rPr>
          <w:t>https://www.mbie.govt.nz/assets/527e65d882/copyright-and-the-creative-sector-december-2016.pdf</w:t>
        </w:r>
      </w:hyperlink>
      <w:r w:rsidRPr="00516DCA">
        <w:t>.</w:t>
      </w:r>
    </w:p>
  </w:footnote>
  <w:footnote w:id="298">
    <w:p w14:paraId="2FC41AAA" w14:textId="77777777" w:rsidR="00120717" w:rsidRPr="00516DCA" w:rsidRDefault="00120717" w:rsidP="00C000D8">
      <w:pPr>
        <w:pStyle w:val="FootnoteText"/>
      </w:pPr>
      <w:r w:rsidRPr="00516DCA">
        <w:rPr>
          <w:rStyle w:val="FootnoteReference"/>
          <w:szCs w:val="16"/>
        </w:rPr>
        <w:footnoteRef/>
      </w:r>
      <w:r w:rsidRPr="00516DCA">
        <w:t xml:space="preserve"> </w:t>
      </w:r>
      <w:r>
        <w:t>WTO d</w:t>
      </w:r>
      <w:r w:rsidRPr="00516DCA">
        <w:t xml:space="preserve">ocument </w:t>
      </w:r>
      <w:r w:rsidRPr="00E9137A">
        <w:t>IP/N/1/NZL/20</w:t>
      </w:r>
      <w:r>
        <w:t>,</w:t>
      </w:r>
      <w:r w:rsidRPr="00C000D8">
        <w:t xml:space="preserve"> </w:t>
      </w:r>
      <w:r w:rsidRPr="00F441D3">
        <w:rPr>
          <w:rStyle w:val="Hyperlink"/>
          <w:color w:val="auto"/>
          <w:u w:val="none"/>
        </w:rPr>
        <w:t>IP/N/1/NZL/G/6, IP/N/1/NZL/T/10, IP/N/1/NZL/P/13, 9 April 2021</w:t>
      </w:r>
      <w:r w:rsidRPr="00F441D3">
        <w:t>.</w:t>
      </w:r>
    </w:p>
  </w:footnote>
  <w:footnote w:id="299">
    <w:p w14:paraId="113FAEAC" w14:textId="77777777" w:rsidR="00120717" w:rsidRPr="00516DCA" w:rsidRDefault="00120717" w:rsidP="00B220C9">
      <w:pPr>
        <w:pStyle w:val="FootnoteText"/>
      </w:pPr>
      <w:r w:rsidRPr="00516DCA">
        <w:rPr>
          <w:rStyle w:val="FootnoteReference"/>
          <w:szCs w:val="16"/>
        </w:rPr>
        <w:footnoteRef/>
      </w:r>
      <w:r w:rsidRPr="00E9137A">
        <w:rPr>
          <w:lang w:val="fr-CH"/>
        </w:rPr>
        <w:t xml:space="preserve"> </w:t>
      </w:r>
      <w:r w:rsidRPr="00E9137A">
        <w:rPr>
          <w:i/>
          <w:iCs/>
          <w:lang w:val="fr-CH"/>
        </w:rPr>
        <w:t>Crocodile International P</w:t>
      </w:r>
      <w:r w:rsidRPr="00E9137A">
        <w:rPr>
          <w:i/>
          <w:lang w:val="fr-CH"/>
        </w:rPr>
        <w:t>TE</w:t>
      </w:r>
      <w:r w:rsidRPr="00E9137A">
        <w:rPr>
          <w:i/>
          <w:iCs/>
          <w:lang w:val="fr-CH"/>
        </w:rPr>
        <w:t xml:space="preserve"> Ltd v Lacoste</w:t>
      </w:r>
      <w:r w:rsidRPr="00E9137A">
        <w:rPr>
          <w:lang w:val="fr-CH"/>
        </w:rPr>
        <w:t xml:space="preserve"> [2017] NZSC 14. </w:t>
      </w:r>
      <w:r w:rsidRPr="00516DCA">
        <w:t xml:space="preserve">Viewed at: </w:t>
      </w:r>
      <w:hyperlink r:id="rId138" w:history="1">
        <w:r w:rsidRPr="00516DCA">
          <w:rPr>
            <w:rStyle w:val="Hyperlink"/>
          </w:rPr>
          <w:t>https://www.courtsofnz.govt.nz/assets/cases/2017/sccil.pdf</w:t>
        </w:r>
      </w:hyperlink>
      <w:r w:rsidRPr="00516DCA">
        <w:t xml:space="preserve">. </w:t>
      </w:r>
    </w:p>
  </w:footnote>
  <w:footnote w:id="300">
    <w:p w14:paraId="531CB7D4" w14:textId="77777777" w:rsidR="00120717" w:rsidRPr="00516DCA" w:rsidRDefault="00120717" w:rsidP="00B220C9">
      <w:pPr>
        <w:pStyle w:val="FootnoteText"/>
      </w:pPr>
      <w:r w:rsidRPr="00516DCA">
        <w:rPr>
          <w:rStyle w:val="FootnoteReference"/>
          <w:szCs w:val="16"/>
        </w:rPr>
        <w:footnoteRef/>
      </w:r>
      <w:r w:rsidRPr="00516DCA">
        <w:t xml:space="preserve"> Trade Marks Amendment Regulations 2019, </w:t>
      </w:r>
      <w:r>
        <w:t xml:space="preserve">WTO </w:t>
      </w:r>
      <w:r w:rsidRPr="00516DCA">
        <w:t xml:space="preserve">document </w:t>
      </w:r>
      <w:r w:rsidRPr="00E9137A">
        <w:t>IP/N/1/NZL/17</w:t>
      </w:r>
      <w:r w:rsidRPr="00F441D3">
        <w:rPr>
          <w:rStyle w:val="Hyperlink"/>
          <w:color w:val="auto"/>
          <w:u w:val="none"/>
        </w:rPr>
        <w:t>,</w:t>
      </w:r>
      <w:r w:rsidRPr="00F441D3">
        <w:t xml:space="preserve"> </w:t>
      </w:r>
      <w:r w:rsidRPr="00F441D3">
        <w:rPr>
          <w:rStyle w:val="Hyperlink"/>
          <w:color w:val="auto"/>
          <w:u w:val="none"/>
        </w:rPr>
        <w:t>IP/N/1/NZL/T/8,</w:t>
      </w:r>
      <w:r w:rsidRPr="00F441D3">
        <w:rPr>
          <w:rStyle w:val="Hyperlink"/>
          <w:color w:val="auto"/>
        </w:rPr>
        <w:t xml:space="preserve"> </w:t>
      </w:r>
      <w:r w:rsidRPr="00F441D3">
        <w:rPr>
          <w:rStyle w:val="Hyperlink"/>
          <w:color w:val="auto"/>
          <w:u w:val="none"/>
        </w:rPr>
        <w:t>8 April 2021</w:t>
      </w:r>
      <w:r w:rsidRPr="00F441D3">
        <w:t>.</w:t>
      </w:r>
    </w:p>
  </w:footnote>
  <w:footnote w:id="301">
    <w:p w14:paraId="0FC51477" w14:textId="77777777" w:rsidR="00120717" w:rsidRPr="00516DCA" w:rsidRDefault="00120717" w:rsidP="00B220C9">
      <w:pPr>
        <w:pStyle w:val="FootnoteText"/>
      </w:pPr>
      <w:r w:rsidRPr="00516DCA">
        <w:rPr>
          <w:rStyle w:val="FootnoteReference"/>
          <w:szCs w:val="16"/>
        </w:rPr>
        <w:footnoteRef/>
      </w:r>
      <w:r w:rsidRPr="00516DCA">
        <w:t xml:space="preserve"> IPONZ </w:t>
      </w:r>
      <w:r>
        <w:t xml:space="preserve">(2021), </w:t>
      </w:r>
      <w:r w:rsidRPr="00E9137A">
        <w:rPr>
          <w:i/>
          <w:iCs/>
        </w:rPr>
        <w:t>Year in Review 2019/20</w:t>
      </w:r>
      <w:r w:rsidRPr="00516DCA">
        <w:t>, p.</w:t>
      </w:r>
      <w:r>
        <w:t> </w:t>
      </w:r>
      <w:r w:rsidRPr="00516DCA">
        <w:t xml:space="preserve">6. </w:t>
      </w:r>
    </w:p>
  </w:footnote>
  <w:footnote w:id="302">
    <w:p w14:paraId="16AEC18B" w14:textId="77777777" w:rsidR="00120717" w:rsidRPr="00516DCA" w:rsidRDefault="00120717" w:rsidP="00B220C9">
      <w:pPr>
        <w:pStyle w:val="FootnoteText"/>
      </w:pPr>
      <w:r w:rsidRPr="00516DCA">
        <w:rPr>
          <w:rStyle w:val="FootnoteReference"/>
          <w:szCs w:val="16"/>
        </w:rPr>
        <w:footnoteRef/>
      </w:r>
      <w:r w:rsidRPr="00516DCA">
        <w:t xml:space="preserve"> </w:t>
      </w:r>
      <w:r>
        <w:t>WTO d</w:t>
      </w:r>
      <w:r w:rsidRPr="00516DCA">
        <w:t xml:space="preserve">ocument </w:t>
      </w:r>
      <w:r w:rsidRPr="00E9137A">
        <w:t>IP/N/1/NZL/9</w:t>
      </w:r>
      <w:r w:rsidRPr="00F441D3">
        <w:rPr>
          <w:rStyle w:val="Hyperlink"/>
          <w:color w:val="auto"/>
          <w:u w:val="none"/>
        </w:rPr>
        <w:t xml:space="preserve">, </w:t>
      </w:r>
      <w:r>
        <w:t>IP/N/1/NZL/G/3, 25 March 2021</w:t>
      </w:r>
      <w:r w:rsidRPr="00516DCA">
        <w:t>.</w:t>
      </w:r>
    </w:p>
  </w:footnote>
  <w:footnote w:id="303">
    <w:p w14:paraId="4943C0B2" w14:textId="77777777" w:rsidR="00120717" w:rsidRPr="00516DCA" w:rsidRDefault="00120717" w:rsidP="00B220C9">
      <w:pPr>
        <w:pStyle w:val="FootnoteText"/>
      </w:pPr>
      <w:r w:rsidRPr="00516DCA">
        <w:rPr>
          <w:rStyle w:val="FootnoteReference"/>
          <w:szCs w:val="16"/>
        </w:rPr>
        <w:footnoteRef/>
      </w:r>
      <w:r w:rsidRPr="00516DCA">
        <w:t xml:space="preserve"> </w:t>
      </w:r>
      <w:r>
        <w:t>WTO d</w:t>
      </w:r>
      <w:r w:rsidRPr="00516DCA">
        <w:t xml:space="preserve">ocument </w:t>
      </w:r>
      <w:r w:rsidRPr="00E9137A">
        <w:t>IP/N/1/NZL/12</w:t>
      </w:r>
      <w:r w:rsidRPr="00F441D3">
        <w:rPr>
          <w:rStyle w:val="Hyperlink"/>
          <w:color w:val="auto"/>
          <w:u w:val="none"/>
        </w:rPr>
        <w:t>,</w:t>
      </w:r>
      <w:r w:rsidRPr="00F441D3">
        <w:t xml:space="preserve"> </w:t>
      </w:r>
      <w:r w:rsidRPr="00F441D3">
        <w:rPr>
          <w:rStyle w:val="Hyperlink"/>
          <w:color w:val="auto"/>
          <w:u w:val="none"/>
        </w:rPr>
        <w:t>IP/N/1/NZL/G/4, 8 April 2021</w:t>
      </w:r>
      <w:r w:rsidRPr="00F441D3">
        <w:t>.</w:t>
      </w:r>
    </w:p>
  </w:footnote>
  <w:footnote w:id="304">
    <w:p w14:paraId="47444647" w14:textId="77777777" w:rsidR="00120717" w:rsidRPr="00516DCA" w:rsidRDefault="00120717" w:rsidP="00B220C9">
      <w:pPr>
        <w:pStyle w:val="FootnoteText"/>
      </w:pPr>
      <w:r w:rsidRPr="00516DCA">
        <w:rPr>
          <w:rStyle w:val="FootnoteReference"/>
          <w:szCs w:val="16"/>
        </w:rPr>
        <w:footnoteRef/>
      </w:r>
      <w:r w:rsidRPr="00516DCA">
        <w:t xml:space="preserve"> GI Act 2006, </w:t>
      </w:r>
      <w:r>
        <w:t>S</w:t>
      </w:r>
      <w:r w:rsidRPr="00516DCA">
        <w:t>ections 6(1), 12, 25</w:t>
      </w:r>
      <w:r>
        <w:t>,</w:t>
      </w:r>
      <w:r w:rsidRPr="00516DCA">
        <w:t xml:space="preserve"> and 29</w:t>
      </w:r>
      <w:r>
        <w:t xml:space="preserve">; and WTO </w:t>
      </w:r>
      <w:r w:rsidRPr="00516DCA">
        <w:t xml:space="preserve">document </w:t>
      </w:r>
      <w:r w:rsidRPr="001D6E2E">
        <w:t>IP/N/1/NZL/9</w:t>
      </w:r>
      <w:r w:rsidRPr="00F441D3">
        <w:rPr>
          <w:rStyle w:val="Hyperlink"/>
          <w:color w:val="auto"/>
          <w:u w:val="none"/>
        </w:rPr>
        <w:t xml:space="preserve">, </w:t>
      </w:r>
      <w:r>
        <w:t>IP/N/1/NZL/G/3, 25 March 2021</w:t>
      </w:r>
      <w:r w:rsidRPr="00516DCA">
        <w:t>.</w:t>
      </w:r>
    </w:p>
  </w:footnote>
  <w:footnote w:id="305">
    <w:p w14:paraId="2148F4ED" w14:textId="77777777" w:rsidR="00120717" w:rsidRPr="00E9137A" w:rsidRDefault="00120717">
      <w:pPr>
        <w:pStyle w:val="FootnoteText"/>
        <w:rPr>
          <w:lang w:val="en-US"/>
        </w:rPr>
      </w:pPr>
      <w:r>
        <w:rPr>
          <w:rStyle w:val="FootnoteReference"/>
        </w:rPr>
        <w:footnoteRef/>
      </w:r>
      <w:r>
        <w:t xml:space="preserve"> </w:t>
      </w:r>
      <w:r w:rsidRPr="006C5007">
        <w:t xml:space="preserve">GI Act 2006, </w:t>
      </w:r>
      <w:r>
        <w:t>S</w:t>
      </w:r>
      <w:r w:rsidRPr="006C5007">
        <w:t xml:space="preserve">ections 14-18 and 30, </w:t>
      </w:r>
      <w:r>
        <w:t xml:space="preserve">WTO </w:t>
      </w:r>
      <w:r w:rsidRPr="006C5007">
        <w:t xml:space="preserve">document </w:t>
      </w:r>
      <w:r w:rsidRPr="001D6E2E">
        <w:t>IP/N/1/NZL/9</w:t>
      </w:r>
      <w:r w:rsidRPr="00F441D3">
        <w:rPr>
          <w:rStyle w:val="Hyperlink"/>
          <w:color w:val="auto"/>
          <w:u w:val="none"/>
        </w:rPr>
        <w:t xml:space="preserve">, </w:t>
      </w:r>
      <w:r>
        <w:t>IP/N/1/NZL/G/3, 25 March 2021.</w:t>
      </w:r>
    </w:p>
  </w:footnote>
  <w:footnote w:id="306">
    <w:p w14:paraId="06E8E77E" w14:textId="77777777" w:rsidR="00120717" w:rsidRPr="00516DCA" w:rsidRDefault="00120717" w:rsidP="00B220C9">
      <w:pPr>
        <w:pStyle w:val="FootnoteText"/>
      </w:pPr>
      <w:r w:rsidRPr="00516DCA">
        <w:rPr>
          <w:rStyle w:val="FootnoteReference"/>
          <w:szCs w:val="16"/>
        </w:rPr>
        <w:footnoteRef/>
      </w:r>
      <w:r w:rsidRPr="00516DCA">
        <w:t xml:space="preserve"> </w:t>
      </w:r>
      <w:r>
        <w:t>WTO d</w:t>
      </w:r>
      <w:r w:rsidRPr="00516DCA">
        <w:t xml:space="preserve">ocument </w:t>
      </w:r>
      <w:r w:rsidRPr="00E9137A">
        <w:t>IP/N/1/NZL/14</w:t>
      </w:r>
      <w:r w:rsidRPr="00F441D3">
        <w:rPr>
          <w:rStyle w:val="Hyperlink"/>
          <w:color w:val="auto"/>
          <w:u w:val="none"/>
        </w:rPr>
        <w:t>, IP/N/1/NZL/G/5, 8 April 2021</w:t>
      </w:r>
      <w:r w:rsidRPr="005055C8">
        <w:t>.</w:t>
      </w:r>
    </w:p>
  </w:footnote>
  <w:footnote w:id="307">
    <w:p w14:paraId="30057383" w14:textId="77777777" w:rsidR="00120717" w:rsidRPr="00516DCA" w:rsidRDefault="00120717" w:rsidP="008705C1">
      <w:pPr>
        <w:pStyle w:val="FootnoteText"/>
      </w:pPr>
      <w:r w:rsidRPr="00516DCA">
        <w:rPr>
          <w:rStyle w:val="FootnoteReference"/>
          <w:szCs w:val="16"/>
        </w:rPr>
        <w:footnoteRef/>
      </w:r>
      <w:r w:rsidRPr="00516DCA">
        <w:t xml:space="preserve"> Regulatory Systems (Economic Development) Amendment Act 2019, Part VII, </w:t>
      </w:r>
      <w:r>
        <w:t xml:space="preserve">WTO </w:t>
      </w:r>
      <w:r w:rsidRPr="00516DCA">
        <w:t xml:space="preserve">document </w:t>
      </w:r>
      <w:r w:rsidRPr="00E9137A">
        <w:t>IP/N/1/NZL/20</w:t>
      </w:r>
      <w:r w:rsidRPr="00F441D3">
        <w:rPr>
          <w:rStyle w:val="Hyperlink"/>
          <w:color w:val="auto"/>
          <w:u w:val="none"/>
        </w:rPr>
        <w:t>, IP/N/1/NZL/G/6, IP/N/1/NZL/T/10, IP/N/1/NZL/P/13, 9 April 2021</w:t>
      </w:r>
      <w:r w:rsidRPr="00F441D3">
        <w:t>.</w:t>
      </w:r>
    </w:p>
  </w:footnote>
  <w:footnote w:id="308">
    <w:p w14:paraId="5C2D3EE8" w14:textId="77777777" w:rsidR="00120717" w:rsidRPr="00516DCA" w:rsidRDefault="00120717" w:rsidP="00B220C9">
      <w:pPr>
        <w:pStyle w:val="FootnoteText"/>
      </w:pPr>
      <w:r w:rsidRPr="00516DCA">
        <w:rPr>
          <w:rStyle w:val="FootnoteReference"/>
          <w:szCs w:val="16"/>
        </w:rPr>
        <w:footnoteRef/>
      </w:r>
      <w:r w:rsidRPr="00516DCA">
        <w:t xml:space="preserve"> IPONZ</w:t>
      </w:r>
      <w:r>
        <w:t xml:space="preserve">, </w:t>
      </w:r>
      <w:r w:rsidRPr="00E9137A">
        <w:rPr>
          <w:i/>
          <w:iCs/>
        </w:rPr>
        <w:t>Geographical Indications Register</w:t>
      </w:r>
      <w:r w:rsidRPr="00516DCA">
        <w:t xml:space="preserve">. Viewed at: </w:t>
      </w:r>
      <w:hyperlink r:id="rId139" w:history="1">
        <w:r w:rsidRPr="00516DCA">
          <w:rPr>
            <w:rStyle w:val="Hyperlink"/>
          </w:rPr>
          <w:t>https://www.iponz.govt.nz/about-ip/geographical-indications/register/?sort=alphabet</w:t>
        </w:r>
      </w:hyperlink>
      <w:r w:rsidRPr="00516DCA">
        <w:rPr>
          <w:rStyle w:val="Hyperlink"/>
          <w:color w:val="0000FF"/>
        </w:rPr>
        <w:t>.</w:t>
      </w:r>
    </w:p>
  </w:footnote>
  <w:footnote w:id="309">
    <w:p w14:paraId="4ED32DB6" w14:textId="77777777" w:rsidR="00120717" w:rsidRPr="00516DCA" w:rsidRDefault="00120717" w:rsidP="00B220C9">
      <w:pPr>
        <w:pStyle w:val="FootnoteText"/>
      </w:pPr>
      <w:r w:rsidRPr="00516DCA">
        <w:rPr>
          <w:rStyle w:val="FootnoteReference"/>
          <w:szCs w:val="16"/>
        </w:rPr>
        <w:footnoteRef/>
      </w:r>
      <w:r w:rsidRPr="00516DCA">
        <w:t xml:space="preserve"> GI Act 2006, </w:t>
      </w:r>
      <w:r>
        <w:t>S</w:t>
      </w:r>
      <w:r w:rsidRPr="00516DCA">
        <w:t xml:space="preserve">ection 6A, </w:t>
      </w:r>
      <w:r>
        <w:t xml:space="preserve">WTO </w:t>
      </w:r>
      <w:r w:rsidRPr="00516DCA">
        <w:t>document</w:t>
      </w:r>
      <w:r w:rsidRPr="008705C1">
        <w:t xml:space="preserve"> </w:t>
      </w:r>
      <w:r w:rsidRPr="001D6E2E">
        <w:t>IP/N/1/NZL/9</w:t>
      </w:r>
      <w:r w:rsidRPr="00F441D3">
        <w:rPr>
          <w:rStyle w:val="Hyperlink"/>
          <w:color w:val="auto"/>
          <w:u w:val="none"/>
        </w:rPr>
        <w:t xml:space="preserve">, </w:t>
      </w:r>
      <w:r>
        <w:t>IP/N/1/NZL/G/3, 25 March 2021</w:t>
      </w:r>
      <w:r w:rsidRPr="00516DCA">
        <w:t>.</w:t>
      </w:r>
    </w:p>
  </w:footnote>
  <w:footnote w:id="310">
    <w:p w14:paraId="168D7A62" w14:textId="77777777" w:rsidR="00120717" w:rsidRPr="00F441D3" w:rsidRDefault="00120717" w:rsidP="008705C1">
      <w:pPr>
        <w:pStyle w:val="FootnoteText"/>
      </w:pPr>
      <w:r w:rsidRPr="00516DCA">
        <w:rPr>
          <w:rStyle w:val="FootnoteReference"/>
          <w:szCs w:val="16"/>
        </w:rPr>
        <w:footnoteRef/>
      </w:r>
      <w:r w:rsidRPr="00516DCA">
        <w:t xml:space="preserve"> CPTPP Amendment Act 2018, </w:t>
      </w:r>
      <w:r>
        <w:t>S</w:t>
      </w:r>
      <w:r w:rsidRPr="00516DCA">
        <w:t xml:space="preserve">ections 18-24, </w:t>
      </w:r>
      <w:r>
        <w:t xml:space="preserve">WTO </w:t>
      </w:r>
      <w:r w:rsidRPr="00516DCA">
        <w:t xml:space="preserve">document </w:t>
      </w:r>
      <w:r w:rsidRPr="00E9137A">
        <w:t>IP/N/1/NZL/15</w:t>
      </w:r>
      <w:r w:rsidRPr="00F441D3">
        <w:rPr>
          <w:rStyle w:val="Hyperlink"/>
          <w:color w:val="auto"/>
          <w:u w:val="none"/>
        </w:rPr>
        <w:t>,</w:t>
      </w:r>
      <w:r w:rsidRPr="00F441D3">
        <w:t xml:space="preserve"> </w:t>
      </w:r>
      <w:r w:rsidRPr="00F441D3">
        <w:rPr>
          <w:rStyle w:val="Hyperlink"/>
          <w:color w:val="auto"/>
          <w:u w:val="none"/>
        </w:rPr>
        <w:t>IP/N/1/NZL/C/8, IP/N/1/NZL/P/10, IP/N/1/NZL/T/7, IP/N/1/NZL/O/1, 8 April 2021</w:t>
      </w:r>
      <w:r w:rsidRPr="00F441D3">
        <w:t>.</w:t>
      </w:r>
    </w:p>
  </w:footnote>
  <w:footnote w:id="311">
    <w:p w14:paraId="4C9CBE38" w14:textId="77777777" w:rsidR="00120717" w:rsidRPr="00F441D3" w:rsidRDefault="00120717" w:rsidP="003D7B6F">
      <w:pPr>
        <w:pStyle w:val="FootnoteText"/>
      </w:pPr>
      <w:r w:rsidRPr="00516DCA">
        <w:rPr>
          <w:rStyle w:val="FootnoteReference"/>
          <w:szCs w:val="16"/>
        </w:rPr>
        <w:footnoteRef/>
      </w:r>
      <w:r w:rsidRPr="00516DCA">
        <w:t xml:space="preserve"> Comprehensive and Progressive Agreement for Trans Pacific Partnership Amendment Act 2018 Commencement Order 2018, </w:t>
      </w:r>
      <w:r>
        <w:t xml:space="preserve">WTO </w:t>
      </w:r>
      <w:r w:rsidRPr="00516DCA">
        <w:t xml:space="preserve">document </w:t>
      </w:r>
      <w:r w:rsidRPr="00E9137A">
        <w:t>IP/N/1/NZL/19</w:t>
      </w:r>
      <w:r w:rsidRPr="00F441D3">
        <w:rPr>
          <w:rStyle w:val="Hyperlink"/>
          <w:color w:val="auto"/>
          <w:u w:val="none"/>
        </w:rPr>
        <w:t>, IP/N/1/NZL/C/10, IP/N/1/NZL/P/12, IP/N/1/NZL/T/9, 9 April 2021</w:t>
      </w:r>
      <w:r w:rsidRPr="00F441D3">
        <w:t>.</w:t>
      </w:r>
    </w:p>
  </w:footnote>
  <w:footnote w:id="312">
    <w:p w14:paraId="343A4229" w14:textId="77777777" w:rsidR="00120717" w:rsidRPr="00F441D3" w:rsidRDefault="00120717">
      <w:pPr>
        <w:pStyle w:val="FootnoteText"/>
      </w:pPr>
      <w:r w:rsidRPr="00516DCA">
        <w:rPr>
          <w:rStyle w:val="FootnoteReference"/>
        </w:rPr>
        <w:footnoteRef/>
      </w:r>
      <w:r w:rsidRPr="00516DCA">
        <w:t xml:space="preserve"> Copyright (Marrakesh Treaty Implementation) Amendment Act 2019, </w:t>
      </w:r>
      <w:r>
        <w:t xml:space="preserve">WTO </w:t>
      </w:r>
      <w:r w:rsidRPr="00516DCA">
        <w:t xml:space="preserve">document </w:t>
      </w:r>
      <w:r w:rsidRPr="00E9137A">
        <w:t>IP/N/1/NZL/21</w:t>
      </w:r>
      <w:r w:rsidRPr="00F441D3">
        <w:rPr>
          <w:rStyle w:val="Hyperlink"/>
          <w:color w:val="auto"/>
          <w:u w:val="none"/>
        </w:rPr>
        <w:t>, IP/N/1/NZL/C/11, 9 April 2021</w:t>
      </w:r>
      <w:r w:rsidRPr="00F441D3">
        <w:t>.</w:t>
      </w:r>
    </w:p>
  </w:footnote>
  <w:footnote w:id="313">
    <w:p w14:paraId="3A08F43D" w14:textId="77777777" w:rsidR="00120717" w:rsidRPr="00516DCA" w:rsidRDefault="00120717" w:rsidP="00B220C9">
      <w:pPr>
        <w:pStyle w:val="FootnoteText"/>
      </w:pPr>
      <w:r w:rsidRPr="00516DCA">
        <w:rPr>
          <w:rStyle w:val="FootnoteReference"/>
          <w:szCs w:val="16"/>
        </w:rPr>
        <w:footnoteRef/>
      </w:r>
      <w:r w:rsidRPr="00516DCA">
        <w:t xml:space="preserve"> MBIE</w:t>
      </w:r>
      <w:r>
        <w:t xml:space="preserve"> (2016)</w:t>
      </w:r>
      <w:r w:rsidRPr="00516DCA">
        <w:t>, Copyright and the Creative Sector.</w:t>
      </w:r>
    </w:p>
  </w:footnote>
  <w:footnote w:id="314">
    <w:p w14:paraId="048E9DBB" w14:textId="77777777" w:rsidR="00120717" w:rsidRPr="00516DCA" w:rsidRDefault="00120717" w:rsidP="00B220C9">
      <w:pPr>
        <w:pStyle w:val="FootnoteText"/>
      </w:pPr>
      <w:r w:rsidRPr="00516DCA">
        <w:rPr>
          <w:rStyle w:val="FootnoteReference"/>
          <w:szCs w:val="16"/>
        </w:rPr>
        <w:footnoteRef/>
      </w:r>
      <w:r w:rsidRPr="00516DCA">
        <w:t xml:space="preserve"> The issues paper, submissions received, and a summary of submissions are available online. MBIE</w:t>
      </w:r>
      <w:r>
        <w:t xml:space="preserve">, </w:t>
      </w:r>
      <w:r w:rsidRPr="00E9137A">
        <w:rPr>
          <w:i/>
          <w:iCs/>
        </w:rPr>
        <w:t>Review of the Copyright Act 1994: Issues Paper</w:t>
      </w:r>
      <w:r w:rsidRPr="00516DCA">
        <w:t xml:space="preserve">. Viewed at: </w:t>
      </w:r>
      <w:hyperlink r:id="rId140" w:history="1">
        <w:r w:rsidRPr="00516DCA">
          <w:rPr>
            <w:rStyle w:val="Hyperlink"/>
          </w:rPr>
          <w:t>https://www.mbie.govt.nz/have-your-say/review-of-the-copyright-act-1994-issues-paper/</w:t>
        </w:r>
      </w:hyperlink>
      <w:r w:rsidRPr="00516DCA">
        <w:t>.</w:t>
      </w:r>
    </w:p>
  </w:footnote>
  <w:footnote w:id="315">
    <w:p w14:paraId="6E45D30A" w14:textId="238A4311" w:rsidR="00120717" w:rsidRPr="00516DCA" w:rsidRDefault="00120717" w:rsidP="00B220C9">
      <w:pPr>
        <w:pStyle w:val="FootnoteText"/>
      </w:pPr>
      <w:r w:rsidRPr="00516DCA">
        <w:rPr>
          <w:rStyle w:val="FootnoteReference"/>
        </w:rPr>
        <w:footnoteRef/>
      </w:r>
      <w:r w:rsidRPr="00516DCA">
        <w:t xml:space="preserve"> MFAT</w:t>
      </w:r>
      <w:r>
        <w:t xml:space="preserve">, </w:t>
      </w:r>
      <w:r w:rsidRPr="00E9137A">
        <w:rPr>
          <w:i/>
          <w:iCs/>
        </w:rPr>
        <w:t>New Zealand-United Kingdom Free Trade Agreement</w:t>
      </w:r>
      <w:r w:rsidRPr="00516DCA">
        <w:t xml:space="preserve">. Viewed at: </w:t>
      </w:r>
      <w:hyperlink r:id="rId141" w:history="1">
        <w:r w:rsidRPr="00516DCA">
          <w:rPr>
            <w:rStyle w:val="Hyperlink"/>
          </w:rPr>
          <w:t>https://www.mfat.govt.nz/en/trade/free-trade-agreements/free-trade-agreements-under-negotiation/new-zealand-united-kingdom-free-trade-agreement/</w:t>
        </w:r>
      </w:hyperlink>
      <w:r w:rsidRPr="00516DCA">
        <w:t>. See also IPONZ</w:t>
      </w:r>
      <w:r>
        <w:t xml:space="preserve"> (2021), "</w:t>
      </w:r>
      <w:r w:rsidRPr="003D7B6F">
        <w:t xml:space="preserve">New Zealand and United Kingdom </w:t>
      </w:r>
      <w:r>
        <w:t>R</w:t>
      </w:r>
      <w:r w:rsidRPr="003D7B6F">
        <w:t xml:space="preserve">each Agreement in Principle on </w:t>
      </w:r>
      <w:r>
        <w:t>C</w:t>
      </w:r>
      <w:r w:rsidRPr="003D7B6F">
        <w:t xml:space="preserve">omprehensive </w:t>
      </w:r>
      <w:r>
        <w:t>F</w:t>
      </w:r>
      <w:r w:rsidRPr="003D7B6F">
        <w:t xml:space="preserve">ree </w:t>
      </w:r>
      <w:r>
        <w:t>T</w:t>
      </w:r>
      <w:r w:rsidRPr="003D7B6F">
        <w:t xml:space="preserve">rade </w:t>
      </w:r>
      <w:r>
        <w:t>A</w:t>
      </w:r>
      <w:r w:rsidRPr="003D7B6F">
        <w:t>greement</w:t>
      </w:r>
      <w:r>
        <w:t>", 1 November</w:t>
      </w:r>
      <w:r w:rsidRPr="00516DCA">
        <w:t xml:space="preserve">. Viewed at: </w:t>
      </w:r>
      <w:hyperlink r:id="rId142" w:history="1">
        <w:r w:rsidRPr="00516DCA">
          <w:rPr>
            <w:rStyle w:val="Hyperlink"/>
          </w:rPr>
          <w:t>https://www.iponz.govt.nz/news/new-zealand-and-united-kingdom-reach-agreement-in-principle-on-comprehensive-free-trade-agreement/</w:t>
        </w:r>
      </w:hyperlink>
      <w:r w:rsidRPr="00516DCA">
        <w:fldChar w:fldCharType="begin"/>
      </w:r>
      <w:r w:rsidRPr="00516DCA">
        <w:instrText>https://www.iponz.govt.nz/news/new-zealand-and-united-kingdom-reach-agreement-in-principle-on-comprehensive-free-trade-agreement/</w:instrText>
      </w:r>
      <w:r w:rsidRPr="00516DCA">
        <w:fldChar w:fldCharType="separate"/>
      </w:r>
      <w:r w:rsidRPr="00516DCA">
        <w:rPr>
          <w:rStyle w:val="Hyperlink"/>
        </w:rPr>
        <w:t>https://www.iponz.govt.nz/news/new-zealand-and-united-kingdom-reach-agreement-in-principle-on-comprehensive-free-trade-agreement/</w:t>
      </w:r>
      <w:r w:rsidRPr="00516DCA">
        <w:fldChar w:fldCharType="end"/>
      </w:r>
      <w:r w:rsidRPr="00516DCA">
        <w:t xml:space="preserve">. </w:t>
      </w:r>
    </w:p>
  </w:footnote>
  <w:footnote w:id="316">
    <w:p w14:paraId="07BE2B1C" w14:textId="2FACC130" w:rsidR="00120717" w:rsidRPr="00516DCA" w:rsidRDefault="00120717">
      <w:pPr>
        <w:pStyle w:val="FootnoteText"/>
      </w:pPr>
      <w:r w:rsidRPr="00516DCA">
        <w:rPr>
          <w:rStyle w:val="FootnoteReference"/>
        </w:rPr>
        <w:footnoteRef/>
      </w:r>
      <w:r w:rsidRPr="00516DCA">
        <w:t xml:space="preserve"> </w:t>
      </w:r>
      <w:r>
        <w:t>WTO d</w:t>
      </w:r>
      <w:r w:rsidRPr="00516DCA">
        <w:t xml:space="preserve">ocument </w:t>
      </w:r>
      <w:r w:rsidRPr="00E9137A">
        <w:t>IP/N/6/NZL/1</w:t>
      </w:r>
      <w:r>
        <w:t>, 24</w:t>
      </w:r>
      <w:r w:rsidR="00A56655">
        <w:t> </w:t>
      </w:r>
      <w:r>
        <w:t>February</w:t>
      </w:r>
      <w:r w:rsidR="00A56655">
        <w:t> </w:t>
      </w:r>
      <w:r>
        <w:t>1997</w:t>
      </w:r>
      <w:r w:rsidRPr="00516DCA">
        <w:t>.</w:t>
      </w:r>
    </w:p>
  </w:footnote>
  <w:footnote w:id="317">
    <w:p w14:paraId="25888A0B" w14:textId="77777777" w:rsidR="00120717" w:rsidRPr="00516DCA" w:rsidRDefault="00120717" w:rsidP="00B220C9">
      <w:pPr>
        <w:pStyle w:val="FootnoteText"/>
      </w:pPr>
      <w:r w:rsidRPr="00516DCA">
        <w:rPr>
          <w:rStyle w:val="FootnoteReference"/>
          <w:szCs w:val="16"/>
        </w:rPr>
        <w:footnoteRef/>
      </w:r>
      <w:r w:rsidRPr="00516DCA">
        <w:t xml:space="preserve"> </w:t>
      </w:r>
      <w:bookmarkStart w:id="206" w:name="_Hlk85990567"/>
      <w:r w:rsidRPr="00516DCA">
        <w:t>Misuse of a registered GI that is not true to origin is a breach of the misleading conduct provisions of the Fair Trading Act 1986</w:t>
      </w:r>
      <w:bookmarkEnd w:id="206"/>
      <w:r w:rsidRPr="00516DCA">
        <w:t xml:space="preserve">, and the provisions of that Act on enforcement and remedies apply. GI Act 2006, </w:t>
      </w:r>
      <w:r>
        <w:t>S</w:t>
      </w:r>
      <w:r w:rsidRPr="00516DCA">
        <w:t xml:space="preserve">ection 33, </w:t>
      </w:r>
      <w:r>
        <w:t xml:space="preserve">WTO </w:t>
      </w:r>
      <w:r w:rsidRPr="00516DCA">
        <w:t xml:space="preserve">document </w:t>
      </w:r>
      <w:r w:rsidRPr="00E9137A">
        <w:t>IP/N/1/NZL/9</w:t>
      </w:r>
      <w:r>
        <w:t xml:space="preserve">, </w:t>
      </w:r>
      <w:r w:rsidRPr="00F441D3">
        <w:rPr>
          <w:rStyle w:val="Hyperlink"/>
          <w:color w:val="auto"/>
          <w:u w:val="none"/>
        </w:rPr>
        <w:t>IP/N/1/NZL/G/3, 25 March 2021</w:t>
      </w:r>
      <w:r w:rsidRPr="005055C8">
        <w:t xml:space="preserve">. </w:t>
      </w:r>
      <w:r w:rsidRPr="00516DCA">
        <w:t>See Fair Trading Act 1986, Part</w:t>
      </w:r>
      <w:r>
        <w:t> </w:t>
      </w:r>
      <w:r w:rsidRPr="00516DCA">
        <w:t xml:space="preserve">5. Viewed at: </w:t>
      </w:r>
      <w:hyperlink r:id="rId143" w:history="1">
        <w:r w:rsidRPr="00516DCA">
          <w:rPr>
            <w:rStyle w:val="Hyperlink"/>
          </w:rPr>
          <w:t>https://www.legislation.govt.nz/act/public/1986/0121/latest/DLM96439.html</w:t>
        </w:r>
      </w:hyperlink>
      <w:r w:rsidRPr="00516DCA">
        <w:t xml:space="preserve">. </w:t>
      </w:r>
    </w:p>
  </w:footnote>
  <w:footnote w:id="318">
    <w:p w14:paraId="02249CAB" w14:textId="77777777" w:rsidR="00120717" w:rsidRPr="00516DCA" w:rsidRDefault="00120717" w:rsidP="00B220C9">
      <w:pPr>
        <w:pStyle w:val="FootnoteText"/>
      </w:pPr>
      <w:r w:rsidRPr="00516DCA">
        <w:rPr>
          <w:rStyle w:val="FootnoteReference"/>
          <w:szCs w:val="16"/>
        </w:rPr>
        <w:footnoteRef/>
      </w:r>
      <w:r w:rsidRPr="00516DCA">
        <w:t xml:space="preserve"> Ministry of Justice</w:t>
      </w:r>
      <w:r>
        <w:t xml:space="preserve">, </w:t>
      </w:r>
      <w:r w:rsidRPr="00E9137A">
        <w:rPr>
          <w:i/>
          <w:iCs/>
        </w:rPr>
        <w:t>Copyright</w:t>
      </w:r>
      <w:r w:rsidRPr="00516DCA">
        <w:t xml:space="preserve">. Viewed at: </w:t>
      </w:r>
      <w:hyperlink r:id="rId144" w:history="1">
        <w:r w:rsidRPr="00516DCA">
          <w:rPr>
            <w:rStyle w:val="Hyperlink"/>
          </w:rPr>
          <w:t>https://www.justice.govt.nz/tribunals/copyright/</w:t>
        </w:r>
      </w:hyperlink>
      <w:r w:rsidRPr="00516DCA">
        <w:t>.</w:t>
      </w:r>
    </w:p>
  </w:footnote>
  <w:footnote w:id="319">
    <w:p w14:paraId="519B0956" w14:textId="77777777" w:rsidR="00120717" w:rsidRPr="00F441D3" w:rsidRDefault="00120717" w:rsidP="00B220C9">
      <w:pPr>
        <w:pStyle w:val="FootnoteText"/>
      </w:pPr>
      <w:r w:rsidRPr="00516DCA">
        <w:rPr>
          <w:rStyle w:val="FootnoteReference"/>
          <w:szCs w:val="16"/>
        </w:rPr>
        <w:footnoteRef/>
      </w:r>
      <w:r w:rsidRPr="00516DCA">
        <w:t xml:space="preserve"> Tribunals Powers and Procedures Legislation Act 2018, </w:t>
      </w:r>
      <w:r>
        <w:t xml:space="preserve">WTO </w:t>
      </w:r>
      <w:r w:rsidRPr="00516DCA">
        <w:t xml:space="preserve">document </w:t>
      </w:r>
      <w:r w:rsidRPr="00E9137A">
        <w:t>IP/N/1/NZL/16</w:t>
      </w:r>
      <w:r w:rsidRPr="00F441D3">
        <w:rPr>
          <w:rStyle w:val="Hyperlink"/>
          <w:color w:val="auto"/>
          <w:u w:val="none"/>
        </w:rPr>
        <w:t>, IP/N/1/NZL/C/9, 8 April 2021</w:t>
      </w:r>
      <w:r w:rsidRPr="00F441D3">
        <w:t>.</w:t>
      </w:r>
    </w:p>
  </w:footnote>
  <w:footnote w:id="320">
    <w:p w14:paraId="43C21172" w14:textId="77777777" w:rsidR="00120717" w:rsidRPr="00F441D3" w:rsidRDefault="00120717" w:rsidP="00C02016">
      <w:pPr>
        <w:pStyle w:val="FootnoteText"/>
      </w:pPr>
      <w:r w:rsidRPr="00516DCA">
        <w:rPr>
          <w:rStyle w:val="FootnoteReference"/>
          <w:szCs w:val="16"/>
        </w:rPr>
        <w:footnoteRef/>
      </w:r>
      <w:r w:rsidRPr="00516DCA">
        <w:t xml:space="preserve"> Electronic Interactions Reform Act 2017, </w:t>
      </w:r>
      <w:r>
        <w:t xml:space="preserve">WTO </w:t>
      </w:r>
      <w:r w:rsidRPr="00516DCA">
        <w:t xml:space="preserve">document </w:t>
      </w:r>
      <w:r w:rsidRPr="00E9137A">
        <w:t>IP/N/1/NZL/13</w:t>
      </w:r>
      <w:r w:rsidRPr="00F441D3">
        <w:rPr>
          <w:rStyle w:val="Hyperlink"/>
          <w:color w:val="auto"/>
          <w:u w:val="none"/>
        </w:rPr>
        <w:t>, IP/N/1/NZL/C/7, IP/N/1/NZL/D/4, IP/N/1/NZL/P/9, IP/N/1/NZL/T/6, 8 April 2021</w:t>
      </w:r>
      <w:r w:rsidRPr="00F441D3">
        <w:t>.</w:t>
      </w:r>
    </w:p>
  </w:footnote>
  <w:footnote w:id="321">
    <w:p w14:paraId="07240DCC" w14:textId="77777777" w:rsidR="00120717" w:rsidRPr="00516DCA" w:rsidRDefault="00120717" w:rsidP="00B220C9">
      <w:pPr>
        <w:pStyle w:val="FootnoteText"/>
      </w:pPr>
      <w:r w:rsidRPr="00516DCA">
        <w:rPr>
          <w:rStyle w:val="FootnoteReference"/>
        </w:rPr>
        <w:footnoteRef/>
      </w:r>
      <w:r w:rsidRPr="00516DCA">
        <w:t xml:space="preserve"> Patents Amendment Regulations 2018. Viewed at: </w:t>
      </w:r>
      <w:hyperlink r:id="rId145" w:history="1">
        <w:r w:rsidRPr="00516DCA">
          <w:rPr>
            <w:rStyle w:val="Hyperlink"/>
          </w:rPr>
          <w:t>https://www.legislation.govt.nz/regulation/public/2018/0034/latest/whole.html</w:t>
        </w:r>
      </w:hyperlink>
      <w:r>
        <w:t xml:space="preserve">; </w:t>
      </w:r>
      <w:r w:rsidRPr="00516DCA">
        <w:t xml:space="preserve">Trade Marks (Addresses in Australia) Amendment Regulations 2018. Viewed at: </w:t>
      </w:r>
      <w:hyperlink r:id="rId146" w:anchor="d56e36" w:history="1">
        <w:r w:rsidRPr="00516DCA">
          <w:rPr>
            <w:rStyle w:val="Hyperlink"/>
          </w:rPr>
          <w:t>https://www.legislation.govt.nz/regulation/public/2018/0035/latest/whole.html#d56e36</w:t>
        </w:r>
      </w:hyperlink>
      <w:r>
        <w:t xml:space="preserve">; and </w:t>
      </w:r>
      <w:r w:rsidRPr="00516DCA">
        <w:t xml:space="preserve">Designs Amendment Regulations 2018. Viewed at: </w:t>
      </w:r>
      <w:hyperlink r:id="rId147" w:history="1">
        <w:r w:rsidRPr="00516DCA">
          <w:rPr>
            <w:rStyle w:val="Hyperlink"/>
          </w:rPr>
          <w:t>https://www.legislation.govt.nz/regulation/public/2018/0036/latest/LMS11771.html</w:t>
        </w:r>
      </w:hyperlink>
      <w:r w:rsidRPr="00516DCA">
        <w:t xml:space="preserve">. </w:t>
      </w:r>
    </w:p>
  </w:footnote>
  <w:footnote w:id="322">
    <w:p w14:paraId="0D31F440" w14:textId="77777777" w:rsidR="00120717" w:rsidRPr="00516DCA" w:rsidRDefault="00120717" w:rsidP="00B220C9">
      <w:pPr>
        <w:pStyle w:val="FootnoteText"/>
      </w:pPr>
      <w:r w:rsidRPr="00516DCA">
        <w:rPr>
          <w:rStyle w:val="FootnoteReference"/>
        </w:rPr>
        <w:footnoteRef/>
      </w:r>
      <w:r w:rsidRPr="00516DCA">
        <w:t xml:space="preserve"> Regulatory Systems (Economic Development) Amendment Act 2019, Part 11, </w:t>
      </w:r>
      <w:r>
        <w:t xml:space="preserve">WTO </w:t>
      </w:r>
      <w:r w:rsidRPr="00516DCA">
        <w:t xml:space="preserve">document </w:t>
      </w:r>
      <w:r w:rsidRPr="00E9137A">
        <w:t>IP/N/1/NZL/20</w:t>
      </w:r>
      <w:r w:rsidRPr="00F441D3">
        <w:rPr>
          <w:rStyle w:val="Hyperlink"/>
          <w:color w:val="auto"/>
          <w:u w:val="none"/>
        </w:rPr>
        <w:t xml:space="preserve">, </w:t>
      </w:r>
      <w:r>
        <w:t>IP/N/1/NZL/G/6 IP/N/1/NZL/T/10, IP/N/1/NZL/P/13, 9 April 2021</w:t>
      </w:r>
      <w:r w:rsidRPr="00516DCA">
        <w:t>.</w:t>
      </w:r>
    </w:p>
  </w:footnote>
  <w:footnote w:id="323">
    <w:p w14:paraId="5073E403" w14:textId="77777777" w:rsidR="00120717" w:rsidRPr="00516DCA" w:rsidRDefault="00120717" w:rsidP="00B220C9">
      <w:pPr>
        <w:pStyle w:val="FootnoteText"/>
      </w:pPr>
      <w:r w:rsidRPr="00516DCA">
        <w:rPr>
          <w:rStyle w:val="FootnoteReference"/>
          <w:szCs w:val="16"/>
        </w:rPr>
        <w:footnoteRef/>
      </w:r>
      <w:r w:rsidRPr="00516DCA">
        <w:t xml:space="preserve"> </w:t>
      </w:r>
      <w:bookmarkStart w:id="207" w:name="_Hlk58509341"/>
      <w:r w:rsidRPr="00516DCA">
        <w:t>OECD/EUIPO</w:t>
      </w:r>
      <w:r>
        <w:t xml:space="preserve"> (2019)</w:t>
      </w:r>
      <w:r w:rsidRPr="00516DCA">
        <w:t xml:space="preserve">, </w:t>
      </w:r>
      <w:r w:rsidRPr="00E9137A">
        <w:rPr>
          <w:i/>
          <w:iCs/>
        </w:rPr>
        <w:t>Trends in Trade in Counterfeit and Pirated Goods</w:t>
      </w:r>
      <w:r w:rsidRPr="00516DCA">
        <w:t xml:space="preserve">, p. 74. </w:t>
      </w:r>
      <w:bookmarkEnd w:id="207"/>
      <w:r w:rsidRPr="00516DCA">
        <w:t>Viewed at:</w:t>
      </w:r>
      <w:r w:rsidRPr="00516DCA">
        <w:rPr>
          <w:i/>
          <w:iCs/>
        </w:rPr>
        <w:t xml:space="preserve"> </w:t>
      </w:r>
      <w:hyperlink r:id="rId148" w:history="1">
        <w:r w:rsidRPr="00516DCA">
          <w:rPr>
            <w:rStyle w:val="Hyperlink"/>
          </w:rPr>
          <w:t>https://www.oecd-ilibrary.org/docserver/g2g9f533-en.pdf?expires=1605787902&amp;id=id&amp;accname=ocid195767&amp;checksum=3A346901A2AC2570117C0E3D2921899A</w:t>
        </w:r>
      </w:hyperlink>
      <w:r w:rsidRPr="00516DCA">
        <w:rPr>
          <w:rStyle w:val="Hyperlink"/>
          <w:color w:val="0000FF"/>
        </w:rPr>
        <w:t>.</w:t>
      </w:r>
    </w:p>
  </w:footnote>
  <w:footnote w:id="324">
    <w:p w14:paraId="08FF19BD" w14:textId="77777777" w:rsidR="00120717" w:rsidRPr="00516DCA" w:rsidRDefault="00120717" w:rsidP="00510466">
      <w:pPr>
        <w:pStyle w:val="FootnoteText"/>
      </w:pPr>
      <w:r w:rsidRPr="00516DCA">
        <w:rPr>
          <w:rStyle w:val="FootnoteReference"/>
          <w:szCs w:val="16"/>
        </w:rPr>
        <w:footnoteRef/>
      </w:r>
      <w:r w:rsidRPr="00516DCA">
        <w:t xml:space="preserve"> The Economist</w:t>
      </w:r>
      <w:r>
        <w:t xml:space="preserve"> (2018)</w:t>
      </w:r>
      <w:r w:rsidRPr="00516DCA">
        <w:t xml:space="preserve">, </w:t>
      </w:r>
      <w:r w:rsidRPr="00E9137A">
        <w:rPr>
          <w:i/>
          <w:iCs/>
        </w:rPr>
        <w:t>The</w:t>
      </w:r>
      <w:r>
        <w:t xml:space="preserve"> </w:t>
      </w:r>
      <w:r w:rsidRPr="00E9137A">
        <w:rPr>
          <w:i/>
          <w:iCs/>
        </w:rPr>
        <w:t>Global Illicit Trade Environment Index</w:t>
      </w:r>
      <w:r w:rsidRPr="00516DCA">
        <w:t xml:space="preserve">. Viewed at: </w:t>
      </w:r>
      <w:hyperlink r:id="rId149" w:history="1">
        <w:r w:rsidRPr="00516DCA">
          <w:rPr>
            <w:rStyle w:val="Hyperlink"/>
          </w:rPr>
          <w:t>http://illicittradeindex.eiu.com/</w:t>
        </w:r>
      </w:hyperlink>
      <w:r w:rsidRPr="00516DCA">
        <w:t>.</w:t>
      </w:r>
    </w:p>
  </w:footnote>
  <w:footnote w:id="325">
    <w:p w14:paraId="3D8B288C" w14:textId="77777777" w:rsidR="00120717" w:rsidRPr="00516DCA" w:rsidRDefault="00120717" w:rsidP="00B220C9">
      <w:pPr>
        <w:pStyle w:val="FootnoteText"/>
      </w:pPr>
      <w:r w:rsidRPr="00516DCA">
        <w:rPr>
          <w:rStyle w:val="FootnoteReference"/>
          <w:szCs w:val="16"/>
        </w:rPr>
        <w:footnoteRef/>
      </w:r>
      <w:r w:rsidRPr="00516DCA">
        <w:t xml:space="preserve"> CPTPP Amendment Act 2018, </w:t>
      </w:r>
      <w:r>
        <w:t>S</w:t>
      </w:r>
      <w:r w:rsidRPr="00516DCA">
        <w:t xml:space="preserve">ections 10 and 96, </w:t>
      </w:r>
      <w:r>
        <w:t xml:space="preserve">WTO </w:t>
      </w:r>
      <w:r w:rsidRPr="00516DCA">
        <w:t xml:space="preserve">document </w:t>
      </w:r>
      <w:r w:rsidRPr="00E9137A">
        <w:t>IP/N/1/NZL/15</w:t>
      </w:r>
      <w:r w:rsidRPr="00F441D3">
        <w:rPr>
          <w:rStyle w:val="Hyperlink"/>
          <w:color w:val="auto"/>
          <w:u w:val="none"/>
        </w:rPr>
        <w:t xml:space="preserve">, </w:t>
      </w:r>
      <w:r w:rsidRPr="005055C8">
        <w:t>I</w:t>
      </w:r>
      <w:r>
        <w:t>P/N/1/NZL/C/8 IP/N/1/NZL/P/10, IP/N/1/NZL/T/7 IP/N/1/NZL/O/1, 8 April 2021</w:t>
      </w:r>
      <w:r w:rsidRPr="00516DCA">
        <w:t>.</w:t>
      </w:r>
    </w:p>
  </w:footnote>
  <w:footnote w:id="326">
    <w:p w14:paraId="1E9F683D" w14:textId="77777777" w:rsidR="00120717" w:rsidRPr="00516DCA" w:rsidRDefault="00120717" w:rsidP="00B220C9">
      <w:pPr>
        <w:pStyle w:val="FootnoteText"/>
      </w:pPr>
      <w:r w:rsidRPr="00516DCA">
        <w:rPr>
          <w:rStyle w:val="FootnoteReference"/>
          <w:szCs w:val="16"/>
        </w:rPr>
        <w:footnoteRef/>
      </w:r>
      <w:r w:rsidRPr="00516DCA">
        <w:t xml:space="preserve"> MBIE</w:t>
      </w:r>
      <w:r>
        <w:t xml:space="preserve">, </w:t>
      </w:r>
      <w:r w:rsidRPr="00E9137A">
        <w:rPr>
          <w:i/>
          <w:iCs/>
        </w:rPr>
        <w:t>Review of the Copyright Act 1994: Issues Paper</w:t>
      </w:r>
      <w:r w:rsidRPr="00516DCA">
        <w:t xml:space="preserve">. </w:t>
      </w:r>
    </w:p>
  </w:footnote>
  <w:footnote w:id="327">
    <w:p w14:paraId="646EBCC8" w14:textId="77777777" w:rsidR="00120717" w:rsidRPr="00516DCA" w:rsidRDefault="00120717" w:rsidP="00B220C9">
      <w:pPr>
        <w:pStyle w:val="FootnoteText"/>
      </w:pPr>
      <w:r w:rsidRPr="00516DCA">
        <w:rPr>
          <w:rStyle w:val="FootnoteReference"/>
          <w:szCs w:val="16"/>
        </w:rPr>
        <w:footnoteRef/>
      </w:r>
      <w:r w:rsidRPr="00516DCA">
        <w:t xml:space="preserve"> CPTPP Amendment Act 2018, </w:t>
      </w:r>
      <w:r>
        <w:t>S</w:t>
      </w:r>
      <w:r w:rsidRPr="00516DCA">
        <w:t xml:space="preserve">ection 93, </w:t>
      </w:r>
      <w:r>
        <w:t xml:space="preserve">WTO </w:t>
      </w:r>
      <w:r w:rsidRPr="00516DCA">
        <w:t xml:space="preserve">document </w:t>
      </w:r>
      <w:r>
        <w:t>IP/N/1/NZL/15, IP/N/1/NZL/C/8, IP/N/1/NZL/P/10, IP/N/1/NZL/T/7, IP/N/1/NZL/O/1, 8 April 2021</w:t>
      </w:r>
      <w:r w:rsidRPr="00516DCA">
        <w:t>.</w:t>
      </w:r>
    </w:p>
  </w:footnote>
  <w:footnote w:id="328">
    <w:p w14:paraId="074D2F95" w14:textId="77777777" w:rsidR="00120717" w:rsidRPr="00516DCA" w:rsidRDefault="00120717" w:rsidP="00B220C9">
      <w:pPr>
        <w:pStyle w:val="FootnoteText"/>
      </w:pPr>
      <w:r w:rsidRPr="00516DCA">
        <w:rPr>
          <w:rStyle w:val="FootnoteReference"/>
          <w:szCs w:val="16"/>
        </w:rPr>
        <w:footnoteRef/>
      </w:r>
      <w:r w:rsidRPr="00516DCA">
        <w:t xml:space="preserve"> The CPTPP Amendment Act defines counterfeit goods, in relation to a registered trademark, as infringing goods in respect of which a trademark is registered bearing </w:t>
      </w:r>
      <w:r w:rsidRPr="00516DCA">
        <w:rPr>
          <w:i/>
        </w:rPr>
        <w:t xml:space="preserve">either </w:t>
      </w:r>
      <w:r w:rsidRPr="00516DCA">
        <w:t xml:space="preserve">an identical sign to the registered trademark or a similar sign whose use would be likely to deceive. CPTPP Amendment Act 2018, </w:t>
      </w:r>
      <w:r>
        <w:t>S</w:t>
      </w:r>
      <w:r w:rsidRPr="00516DCA">
        <w:t>ection 95. Compare TRIPS</w:t>
      </w:r>
      <w:r>
        <w:t> Agreement</w:t>
      </w:r>
      <w:r w:rsidRPr="00516DCA">
        <w:t>, Article</w:t>
      </w:r>
      <w:r>
        <w:t> </w:t>
      </w:r>
      <w:r w:rsidRPr="00516DCA">
        <w:t>51, fn</w:t>
      </w:r>
      <w:r>
        <w:t> </w:t>
      </w:r>
      <w:r w:rsidRPr="00516DCA">
        <w:t>14.</w:t>
      </w:r>
    </w:p>
  </w:footnote>
  <w:footnote w:id="329">
    <w:p w14:paraId="37272253" w14:textId="77777777" w:rsidR="00120717" w:rsidRPr="00516DCA" w:rsidRDefault="00120717" w:rsidP="00B220C9">
      <w:pPr>
        <w:pStyle w:val="FootnoteText"/>
      </w:pPr>
      <w:r w:rsidRPr="00516DCA">
        <w:rPr>
          <w:rStyle w:val="FootnoteReference"/>
          <w:szCs w:val="16"/>
        </w:rPr>
        <w:footnoteRef/>
      </w:r>
      <w:r w:rsidRPr="00516DCA">
        <w:t xml:space="preserve"> CPTPP Amendment Act 2018, </w:t>
      </w:r>
      <w:r>
        <w:t>S</w:t>
      </w:r>
      <w:r w:rsidRPr="00516DCA">
        <w:t xml:space="preserve">ection 103(3A), </w:t>
      </w:r>
      <w:r>
        <w:t xml:space="preserve">WTO </w:t>
      </w:r>
      <w:r w:rsidRPr="00516DCA">
        <w:t xml:space="preserve">document </w:t>
      </w:r>
      <w:r>
        <w:t>IP/N/1/NZL/15, IP/N/1/NZL/C/8, IP/N/1/NZL/P/10, IP/N/1/NZL/T/7, IP/N/1/NZL/O/1, 8 April 2021</w:t>
      </w:r>
      <w:r w:rsidRPr="00516DCA">
        <w:t>.</w:t>
      </w:r>
    </w:p>
  </w:footnote>
  <w:footnote w:id="330">
    <w:p w14:paraId="735C90A8" w14:textId="77777777" w:rsidR="00120717" w:rsidRPr="00516DCA" w:rsidRDefault="00120717" w:rsidP="00B220C9">
      <w:pPr>
        <w:pStyle w:val="FootnoteText"/>
      </w:pPr>
      <w:r w:rsidRPr="00516DCA">
        <w:rPr>
          <w:rStyle w:val="FootnoteReference"/>
          <w:szCs w:val="16"/>
        </w:rPr>
        <w:footnoteRef/>
      </w:r>
      <w:r w:rsidRPr="00516DCA">
        <w:t xml:space="preserve"> Copyright Amendment Act 2016, </w:t>
      </w:r>
      <w:r>
        <w:t>S</w:t>
      </w:r>
      <w:r w:rsidRPr="00516DCA">
        <w:t xml:space="preserve">ection 4, </w:t>
      </w:r>
      <w:r>
        <w:t xml:space="preserve">WTO </w:t>
      </w:r>
      <w:r w:rsidRPr="00516DCA">
        <w:t xml:space="preserve">document </w:t>
      </w:r>
      <w:r w:rsidRPr="00E9137A">
        <w:t>IP/N/1/NZL/8</w:t>
      </w:r>
      <w:r>
        <w:t>, IP/N/1/NZL/C/6, 25 March 2021</w:t>
      </w:r>
      <w:r w:rsidRPr="00516DCA">
        <w:t>.</w:t>
      </w:r>
    </w:p>
  </w:footnote>
  <w:footnote w:id="331">
    <w:p w14:paraId="41267A50" w14:textId="77777777" w:rsidR="00120717" w:rsidRPr="00516DCA" w:rsidRDefault="00120717" w:rsidP="00B220C9">
      <w:pPr>
        <w:pStyle w:val="FootnoteText"/>
      </w:pPr>
      <w:r w:rsidRPr="00516DCA">
        <w:rPr>
          <w:rStyle w:val="FootnoteReference"/>
          <w:szCs w:val="16"/>
        </w:rPr>
        <w:footnoteRef/>
      </w:r>
      <w:r w:rsidRPr="00516DCA">
        <w:t xml:space="preserve"> CPTPP Amendment Act 2018, </w:t>
      </w:r>
      <w:r>
        <w:t>S</w:t>
      </w:r>
      <w:r w:rsidRPr="00516DCA">
        <w:t xml:space="preserve">ection 35, </w:t>
      </w:r>
      <w:r>
        <w:t xml:space="preserve">WTO </w:t>
      </w:r>
      <w:r w:rsidRPr="00516DCA">
        <w:t xml:space="preserve">document </w:t>
      </w:r>
      <w:r>
        <w:t>IP/N/1/NZL/15, IP/N/1/NZL/C/8, IP/N/1/NZL/P/10, IP/N/1/NZL/T/7, IP/N/1/NZL/O/1, 8 April 2021</w:t>
      </w:r>
      <w:r w:rsidRPr="00516DCA">
        <w:t>.</w:t>
      </w:r>
    </w:p>
  </w:footnote>
  <w:footnote w:id="332">
    <w:p w14:paraId="7C2F1D82" w14:textId="77777777" w:rsidR="00120717" w:rsidRPr="00516DCA" w:rsidRDefault="00120717" w:rsidP="00B220C9">
      <w:pPr>
        <w:pStyle w:val="FootnoteText"/>
      </w:pPr>
      <w:r w:rsidRPr="00516DCA">
        <w:rPr>
          <w:rStyle w:val="FootnoteReference"/>
          <w:szCs w:val="16"/>
        </w:rPr>
        <w:footnoteRef/>
      </w:r>
      <w:r w:rsidRPr="00516DCA">
        <w:t xml:space="preserve"> </w:t>
      </w:r>
      <w:r w:rsidRPr="00516DCA">
        <w:rPr>
          <w:i/>
          <w:iCs/>
        </w:rPr>
        <w:t>Kim Dotcom v The United</w:t>
      </w:r>
      <w:r>
        <w:rPr>
          <w:i/>
          <w:iCs/>
        </w:rPr>
        <w:t> States</w:t>
      </w:r>
      <w:r w:rsidRPr="00516DCA">
        <w:rPr>
          <w:i/>
          <w:iCs/>
        </w:rPr>
        <w:t xml:space="preserve"> of America</w:t>
      </w:r>
      <w:r w:rsidRPr="00516DCA">
        <w:t xml:space="preserve"> [2020] NZSC 120. Viewed at: </w:t>
      </w:r>
      <w:hyperlink r:id="rId150" w:history="1">
        <w:r w:rsidRPr="00516DCA">
          <w:rPr>
            <w:rStyle w:val="Hyperlink"/>
          </w:rPr>
          <w:t>https://www.courtsofnz.govt.nz/assets/cases/2020/2020-NZSC-120.pdf</w:t>
        </w:r>
      </w:hyperlink>
      <w:r w:rsidRPr="00516DCA">
        <w:t xml:space="preserve">. </w:t>
      </w:r>
    </w:p>
  </w:footnote>
  <w:footnote w:id="333">
    <w:p w14:paraId="368C0B40" w14:textId="77777777" w:rsidR="00120717" w:rsidRPr="00516DCA" w:rsidRDefault="00120717" w:rsidP="00107BAC">
      <w:pPr>
        <w:pStyle w:val="FootnoteText"/>
      </w:pPr>
      <w:r w:rsidRPr="00516DCA">
        <w:rPr>
          <w:rStyle w:val="FootnoteReference"/>
          <w:szCs w:val="16"/>
        </w:rPr>
        <w:footnoteRef/>
      </w:r>
      <w:r w:rsidRPr="00516DCA">
        <w:t xml:space="preserve"> Patents Act 2013, </w:t>
      </w:r>
      <w:r>
        <w:t>S</w:t>
      </w:r>
      <w:r w:rsidRPr="00516DCA">
        <w:t xml:space="preserve">ections 169-174, </w:t>
      </w:r>
      <w:r>
        <w:t xml:space="preserve">WTO </w:t>
      </w:r>
      <w:r w:rsidRPr="00516DCA">
        <w:t xml:space="preserve">document </w:t>
      </w:r>
      <w:bookmarkStart w:id="211" w:name="_Hlk97118478"/>
      <w:r w:rsidRPr="00E9137A">
        <w:t>IP/N/1/NZL/5</w:t>
      </w:r>
      <w:r>
        <w:t>, IP/N/1/NZL/P/5, 23 February 2015</w:t>
      </w:r>
      <w:r w:rsidRPr="00516DCA">
        <w:t>.</w:t>
      </w:r>
    </w:p>
    <w:bookmarkEnd w:id="211"/>
  </w:footnote>
  <w:footnote w:id="334">
    <w:p w14:paraId="35985604" w14:textId="77777777" w:rsidR="00120717" w:rsidRPr="00516DCA" w:rsidRDefault="00120717" w:rsidP="00B220C9">
      <w:pPr>
        <w:pStyle w:val="FootnoteText"/>
      </w:pPr>
      <w:r w:rsidRPr="00516DCA">
        <w:rPr>
          <w:rStyle w:val="FootnoteReference"/>
          <w:szCs w:val="16"/>
        </w:rPr>
        <w:footnoteRef/>
      </w:r>
      <w:r w:rsidRPr="00516DCA">
        <w:t xml:space="preserve"> TRIPS</w:t>
      </w:r>
      <w:r>
        <w:t> Agreement</w:t>
      </w:r>
      <w:r w:rsidRPr="00516DCA">
        <w:t xml:space="preserve"> (as amended on 23</w:t>
      </w:r>
      <w:r>
        <w:t> </w:t>
      </w:r>
      <w:r w:rsidRPr="00516DCA">
        <w:t>January</w:t>
      </w:r>
      <w:r>
        <w:t> </w:t>
      </w:r>
      <w:r w:rsidRPr="00516DCA">
        <w:t>2017), Annex</w:t>
      </w:r>
      <w:r>
        <w:t>,</w:t>
      </w:r>
      <w:r w:rsidRPr="00516DCA">
        <w:t xml:space="preserve"> para.</w:t>
      </w:r>
      <w:r>
        <w:t> </w:t>
      </w:r>
      <w:r w:rsidRPr="00516DCA">
        <w:t>1(b)</w:t>
      </w:r>
      <w:r>
        <w:t xml:space="preserve">, </w:t>
      </w:r>
      <w:r w:rsidRPr="00516DCA">
        <w:t>fn</w:t>
      </w:r>
      <w:r>
        <w:t> </w:t>
      </w:r>
      <w:r w:rsidRPr="00516DCA">
        <w:t>3.</w:t>
      </w:r>
    </w:p>
  </w:footnote>
  <w:footnote w:id="335">
    <w:p w14:paraId="3028A109" w14:textId="77777777" w:rsidR="00120717" w:rsidRPr="00516DCA" w:rsidRDefault="00120717" w:rsidP="00B220C9">
      <w:pPr>
        <w:pStyle w:val="FootnoteText"/>
      </w:pPr>
      <w:r w:rsidRPr="00516DCA">
        <w:rPr>
          <w:rStyle w:val="FootnoteReference"/>
          <w:szCs w:val="16"/>
        </w:rPr>
        <w:footnoteRef/>
      </w:r>
      <w:r w:rsidRPr="00516DCA">
        <w:t xml:space="preserve"> Patents Act 2013, </w:t>
      </w:r>
      <w:r>
        <w:t>S</w:t>
      </w:r>
      <w:r w:rsidRPr="00516DCA">
        <w:t xml:space="preserve">ections 175-176, </w:t>
      </w:r>
      <w:r>
        <w:t xml:space="preserve">WTO </w:t>
      </w:r>
      <w:r w:rsidRPr="00516DCA">
        <w:t xml:space="preserve">document </w:t>
      </w:r>
      <w:r w:rsidRPr="008D1CE0">
        <w:t>IP/N/1/NZL/5, IP/N/1/NZL/P/5, 23</w:t>
      </w:r>
      <w:r>
        <w:t> </w:t>
      </w:r>
      <w:r w:rsidRPr="008D1CE0">
        <w:t>February2015.</w:t>
      </w:r>
    </w:p>
  </w:footnote>
  <w:footnote w:id="336">
    <w:p w14:paraId="21B697FC" w14:textId="77777777" w:rsidR="00120717" w:rsidRPr="00516DCA" w:rsidRDefault="00120717" w:rsidP="00B220C9">
      <w:pPr>
        <w:pStyle w:val="FootnoteText"/>
      </w:pPr>
      <w:r w:rsidRPr="00516DCA">
        <w:rPr>
          <w:rStyle w:val="FootnoteReference"/>
          <w:szCs w:val="16"/>
        </w:rPr>
        <w:footnoteRef/>
      </w:r>
      <w:r w:rsidRPr="00516DCA">
        <w:t xml:space="preserve"> Patents Act 2013, </w:t>
      </w:r>
      <w:r>
        <w:t>S</w:t>
      </w:r>
      <w:r w:rsidRPr="00516DCA">
        <w:t xml:space="preserve">ections 179-188, </w:t>
      </w:r>
      <w:r>
        <w:t xml:space="preserve">WTO </w:t>
      </w:r>
      <w:r w:rsidRPr="00516DCA">
        <w:t xml:space="preserve">document </w:t>
      </w:r>
      <w:r w:rsidRPr="001D6E2E">
        <w:t>IP/N/1/NZL/5</w:t>
      </w:r>
      <w:r>
        <w:t>, IP/N/1/NZL/P/5, 23 February 2015</w:t>
      </w:r>
      <w:r w:rsidRPr="00516DCA">
        <w:t>.</w:t>
      </w:r>
    </w:p>
  </w:footnote>
  <w:footnote w:id="337">
    <w:p w14:paraId="74F15D7C" w14:textId="77777777" w:rsidR="00120717" w:rsidRPr="00516DCA" w:rsidRDefault="00120717">
      <w:pPr>
        <w:pStyle w:val="FootnoteText"/>
      </w:pPr>
      <w:r w:rsidRPr="00516DCA">
        <w:rPr>
          <w:rStyle w:val="FootnoteReference"/>
        </w:rPr>
        <w:footnoteRef/>
      </w:r>
      <w:r w:rsidRPr="00516DCA">
        <w:t xml:space="preserve"> Medicines Act 1981, </w:t>
      </w:r>
      <w:r>
        <w:t>S</w:t>
      </w:r>
      <w:r w:rsidRPr="00516DCA">
        <w:t xml:space="preserve">ections 20 and 23A-23C. Viewed at: </w:t>
      </w:r>
      <w:hyperlink r:id="rId151" w:anchor="DLM55085" w:history="1">
        <w:r w:rsidRPr="00516DCA">
          <w:rPr>
            <w:rStyle w:val="Hyperlink"/>
          </w:rPr>
          <w:t>https://www.legislation.govt.nz/act/public/1981/0118/latest/whole.html#DLM55085</w:t>
        </w:r>
      </w:hyperlink>
      <w:r w:rsidRPr="00516DCA">
        <w:t xml:space="preserve">. </w:t>
      </w:r>
    </w:p>
  </w:footnote>
  <w:footnote w:id="338">
    <w:p w14:paraId="6A9C4E10" w14:textId="77777777" w:rsidR="00120717" w:rsidRPr="00516DCA" w:rsidRDefault="00120717" w:rsidP="00B220C9">
      <w:pPr>
        <w:pStyle w:val="FootnoteText"/>
      </w:pPr>
      <w:r w:rsidRPr="00516DCA">
        <w:rPr>
          <w:rStyle w:val="FootnoteReference"/>
          <w:szCs w:val="16"/>
        </w:rPr>
        <w:footnoteRef/>
      </w:r>
      <w:r w:rsidRPr="00516DCA">
        <w:t xml:space="preserve"> NZCS</w:t>
      </w:r>
      <w:r>
        <w:t xml:space="preserve">, </w:t>
      </w:r>
      <w:r w:rsidRPr="00E9137A">
        <w:rPr>
          <w:i/>
          <w:iCs/>
        </w:rPr>
        <w:t>Copyright and Trade Marks</w:t>
      </w:r>
      <w:r w:rsidRPr="00516DCA">
        <w:t xml:space="preserve">. Viewed at: </w:t>
      </w:r>
      <w:hyperlink r:id="rId152" w:history="1">
        <w:r w:rsidRPr="00516DCA">
          <w:rPr>
            <w:rStyle w:val="Hyperlink"/>
          </w:rPr>
          <w:t>https://www.customs.govt.nz/business/import/import-prohibited-and-restricted-imports/copyright-and-trade-marks/</w:t>
        </w:r>
      </w:hyperlink>
      <w:r w:rsidRPr="00516DCA">
        <w:t xml:space="preserve">. </w:t>
      </w:r>
    </w:p>
  </w:footnote>
  <w:footnote w:id="339">
    <w:p w14:paraId="096BAAEF" w14:textId="77777777" w:rsidR="00120717" w:rsidRPr="00516DCA" w:rsidRDefault="00120717" w:rsidP="00B220C9">
      <w:pPr>
        <w:pStyle w:val="FootnoteText"/>
      </w:pPr>
      <w:r w:rsidRPr="00516DCA">
        <w:rPr>
          <w:rStyle w:val="FootnoteReference"/>
        </w:rPr>
        <w:footnoteRef/>
      </w:r>
      <w:r w:rsidRPr="00516DCA">
        <w:t xml:space="preserve"> Medicines Act 1981. Viewed at: </w:t>
      </w:r>
      <w:hyperlink r:id="rId153" w:history="1">
        <w:r w:rsidRPr="00516DCA">
          <w:rPr>
            <w:rStyle w:val="Hyperlink"/>
          </w:rPr>
          <w:t>https://www.legislation.govt.nz/act/public/1981/0118/latest/DLM53790.html</w:t>
        </w:r>
      </w:hyperlink>
      <w:r>
        <w:t>; and</w:t>
      </w:r>
      <w:r w:rsidRPr="00516DCA">
        <w:t xml:space="preserve"> Misuse of Drugs Act 1975. Viewed at: </w:t>
      </w:r>
      <w:hyperlink r:id="rId154" w:history="1">
        <w:r w:rsidRPr="00516DCA">
          <w:rPr>
            <w:rStyle w:val="Hyperlink"/>
          </w:rPr>
          <w:t>https://www.legislation.govt.nz/act/public/1975/0116/latest/DLM436101.html</w:t>
        </w:r>
      </w:hyperlink>
      <w:r w:rsidRPr="00516DCA">
        <w:t xml:space="preserve">. </w:t>
      </w:r>
    </w:p>
  </w:footnote>
  <w:footnote w:id="340">
    <w:p w14:paraId="0289549E" w14:textId="77777777" w:rsidR="00120717" w:rsidRPr="00516DCA" w:rsidRDefault="00120717" w:rsidP="00B220C9">
      <w:pPr>
        <w:pStyle w:val="FootnoteText"/>
      </w:pPr>
      <w:r w:rsidRPr="00516DCA">
        <w:rPr>
          <w:rStyle w:val="FootnoteReference"/>
          <w:szCs w:val="16"/>
        </w:rPr>
        <w:footnoteRef/>
      </w:r>
      <w:r w:rsidRPr="00516DCA">
        <w:t xml:space="preserve"> </w:t>
      </w:r>
      <w:r>
        <w:t>COVID</w:t>
      </w:r>
      <w:r>
        <w:noBreakHyphen/>
        <w:t>19</w:t>
      </w:r>
      <w:r w:rsidRPr="00516DCA">
        <w:t xml:space="preserve"> Response (Taxation and Social Assistance Urgent Measures) Act 2020. Viewed at: </w:t>
      </w:r>
      <w:hyperlink r:id="rId155" w:history="1">
        <w:r w:rsidRPr="00516DCA">
          <w:rPr>
            <w:rStyle w:val="Hyperlink"/>
          </w:rPr>
          <w:t>https://www.legislation.govt.nz/act/public/2020/0008/latest/whole.html</w:t>
        </w:r>
      </w:hyperlink>
      <w:r w:rsidRPr="00516DCA">
        <w:t xml:space="preserve">. </w:t>
      </w:r>
    </w:p>
  </w:footnote>
  <w:footnote w:id="341">
    <w:p w14:paraId="697FD0F1" w14:textId="77777777" w:rsidR="00120717" w:rsidRPr="00516DCA" w:rsidRDefault="00120717" w:rsidP="00B220C9">
      <w:pPr>
        <w:pStyle w:val="FootnoteText"/>
      </w:pPr>
      <w:r w:rsidRPr="00516DCA">
        <w:rPr>
          <w:rStyle w:val="FootnoteReference"/>
          <w:szCs w:val="16"/>
        </w:rPr>
        <w:footnoteRef/>
      </w:r>
      <w:r w:rsidRPr="00516DCA">
        <w:t xml:space="preserve"> IPONZ</w:t>
      </w:r>
      <w:r>
        <w:t xml:space="preserve"> (2020), "</w:t>
      </w:r>
      <w:r w:rsidRPr="00411122">
        <w:t xml:space="preserve">Hearings </w:t>
      </w:r>
      <w:r>
        <w:t>E</w:t>
      </w:r>
      <w:r w:rsidRPr="00411122">
        <w:t xml:space="preserve">vidence </w:t>
      </w:r>
      <w:r>
        <w:t>G</w:t>
      </w:r>
      <w:r w:rsidRPr="00411122">
        <w:t xml:space="preserve">uidelines and </w:t>
      </w:r>
      <w:r>
        <w:t>S</w:t>
      </w:r>
      <w:r w:rsidRPr="00411122">
        <w:t xml:space="preserve">tatus of </w:t>
      </w:r>
      <w:r>
        <w:t>H</w:t>
      </w:r>
      <w:r w:rsidRPr="00411122">
        <w:t xml:space="preserve">earings by </w:t>
      </w:r>
      <w:r>
        <w:t>A</w:t>
      </w:r>
      <w:r w:rsidRPr="00411122">
        <w:t>ttendance under COVID</w:t>
      </w:r>
      <w:r>
        <w:noBreakHyphen/>
      </w:r>
      <w:r w:rsidRPr="00411122">
        <w:t>19</w:t>
      </w:r>
      <w:r>
        <w:t>", 16 July</w:t>
      </w:r>
      <w:r w:rsidRPr="00516DCA">
        <w:t xml:space="preserve">. Viewed at: </w:t>
      </w:r>
      <w:hyperlink r:id="rId156" w:history="1">
        <w:r w:rsidRPr="00516DCA">
          <w:rPr>
            <w:rStyle w:val="Hyperlink"/>
          </w:rPr>
          <w:t>https://www.iponz.govt.nz/news/hearings-evidence-guidelines-and-status-of-hearings-by-attendance-under-covid-19/</w:t>
        </w:r>
      </w:hyperlink>
      <w:r w:rsidRPr="00516DCA">
        <w:t xml:space="preserve">. </w:t>
      </w:r>
    </w:p>
  </w:footnote>
  <w:footnote w:id="342">
    <w:p w14:paraId="677F9973" w14:textId="77777777" w:rsidR="00120717" w:rsidRPr="00516DCA" w:rsidRDefault="00120717" w:rsidP="00B220C9">
      <w:pPr>
        <w:pStyle w:val="FootnoteText"/>
      </w:pPr>
      <w:r w:rsidRPr="00516DCA">
        <w:rPr>
          <w:rStyle w:val="FootnoteReference"/>
          <w:szCs w:val="16"/>
        </w:rPr>
        <w:footnoteRef/>
      </w:r>
      <w:r w:rsidRPr="00516DCA">
        <w:t xml:space="preserve"> IPONZ </w:t>
      </w:r>
      <w:r>
        <w:t xml:space="preserve">(2021), </w:t>
      </w:r>
      <w:r w:rsidRPr="00E9137A">
        <w:rPr>
          <w:i/>
          <w:iCs/>
        </w:rPr>
        <w:t>Year in Review 2019/20</w:t>
      </w:r>
      <w:r w:rsidRPr="00516DCA">
        <w:t>, p.</w:t>
      </w:r>
      <w:r>
        <w:t> </w:t>
      </w:r>
      <w:r w:rsidRPr="00516DCA">
        <w:t>8</w:t>
      </w:r>
      <w:r>
        <w:t>;</w:t>
      </w:r>
      <w:r w:rsidRPr="00516DCA">
        <w:t xml:space="preserve"> </w:t>
      </w:r>
      <w:r>
        <w:t xml:space="preserve">and </w:t>
      </w:r>
      <w:r w:rsidRPr="00516DCA">
        <w:t xml:space="preserve">IPONZ </w:t>
      </w:r>
      <w:r>
        <w:t>(2021), "Trial Period for New Scheduling Initiative for Hearings", 7 April</w:t>
      </w:r>
      <w:r w:rsidRPr="00516DCA">
        <w:t xml:space="preserve">. Viewed at: </w:t>
      </w:r>
      <w:hyperlink r:id="rId157" w:history="1">
        <w:r w:rsidRPr="00516DCA">
          <w:rPr>
            <w:rStyle w:val="Hyperlink"/>
          </w:rPr>
          <w:t>https://www.iponz.govt.nz/news/trial-period-for-new-scheduling-initiative-for-hearings/</w:t>
        </w:r>
      </w:hyperlink>
      <w:r w:rsidRPr="00516DCA">
        <w:t xml:space="preserve">. </w:t>
      </w:r>
    </w:p>
  </w:footnote>
  <w:footnote w:id="343">
    <w:p w14:paraId="252EB0D6" w14:textId="77777777" w:rsidR="00120717" w:rsidRPr="00516DCA" w:rsidRDefault="00120717" w:rsidP="00B220C9">
      <w:pPr>
        <w:pStyle w:val="FootnoteText"/>
      </w:pPr>
      <w:r w:rsidRPr="00516DCA">
        <w:rPr>
          <w:rStyle w:val="FootnoteReference"/>
          <w:szCs w:val="16"/>
        </w:rPr>
        <w:footnoteRef/>
      </w:r>
      <w:r w:rsidRPr="00516DCA">
        <w:t xml:space="preserve"> IPONZ</w:t>
      </w:r>
      <w:r>
        <w:t xml:space="preserve"> (2020), "</w:t>
      </w:r>
      <w:r w:rsidRPr="00411122">
        <w:t xml:space="preserve">Hearings </w:t>
      </w:r>
      <w:r>
        <w:t>E</w:t>
      </w:r>
      <w:r w:rsidRPr="00411122">
        <w:t xml:space="preserve">vidence </w:t>
      </w:r>
      <w:r>
        <w:t>G</w:t>
      </w:r>
      <w:r w:rsidRPr="00411122">
        <w:t xml:space="preserve">uidelines and </w:t>
      </w:r>
      <w:r>
        <w:t>S</w:t>
      </w:r>
      <w:r w:rsidRPr="00411122">
        <w:t xml:space="preserve">tatus of </w:t>
      </w:r>
      <w:r>
        <w:t>H</w:t>
      </w:r>
      <w:r w:rsidRPr="00411122">
        <w:t xml:space="preserve">earings by </w:t>
      </w:r>
      <w:r>
        <w:t>A</w:t>
      </w:r>
      <w:r w:rsidRPr="00411122">
        <w:t>ttendance under</w:t>
      </w:r>
      <w:r>
        <w:t> </w:t>
      </w:r>
      <w:r w:rsidRPr="00411122">
        <w:t>COVID</w:t>
      </w:r>
      <w:r>
        <w:noBreakHyphen/>
      </w:r>
      <w:r w:rsidRPr="00411122">
        <w:t>19</w:t>
      </w:r>
      <w:r>
        <w:t>", 16 July</w:t>
      </w:r>
      <w:r w:rsidRPr="00516DCA">
        <w:t xml:space="preserve">. </w:t>
      </w:r>
    </w:p>
  </w:footnote>
  <w:footnote w:id="344">
    <w:p w14:paraId="40ED7C2D" w14:textId="77777777" w:rsidR="00F3533F" w:rsidRPr="000B5627" w:rsidRDefault="00F3533F" w:rsidP="00F3533F">
      <w:pPr>
        <w:pStyle w:val="FootnoteText"/>
      </w:pPr>
      <w:r w:rsidRPr="000B5627">
        <w:rPr>
          <w:rStyle w:val="FootnoteReference"/>
        </w:rPr>
        <w:footnoteRef/>
      </w:r>
      <w:r w:rsidRPr="000B5627">
        <w:t xml:space="preserve"> World Bank, </w:t>
      </w:r>
      <w:r w:rsidRPr="00220A2F">
        <w:rPr>
          <w:i/>
          <w:iCs/>
        </w:rPr>
        <w:t>Employment in Agriculture</w:t>
      </w:r>
      <w:r w:rsidRPr="000B5627">
        <w:t xml:space="preserve">. Viewed at: </w:t>
      </w:r>
      <w:hyperlink r:id="rId158" w:history="1">
        <w:r w:rsidRPr="000B5627">
          <w:rPr>
            <w:rStyle w:val="Hyperlink"/>
          </w:rPr>
          <w:t>https://data.worldbank.org/indicator/SL.AGR.EMPL.ZS?locations=NZ</w:t>
        </w:r>
      </w:hyperlink>
      <w:r w:rsidRPr="000B5627">
        <w:t xml:space="preserve">. </w:t>
      </w:r>
    </w:p>
  </w:footnote>
  <w:footnote w:id="345">
    <w:p w14:paraId="1E257DDB" w14:textId="77777777" w:rsidR="00120717" w:rsidRPr="000B5627" w:rsidRDefault="00120717" w:rsidP="005841A2">
      <w:pPr>
        <w:pStyle w:val="FootnoteText"/>
      </w:pPr>
      <w:r w:rsidRPr="000B5627">
        <w:rPr>
          <w:rStyle w:val="FootnoteReference"/>
        </w:rPr>
        <w:footnoteRef/>
      </w:r>
      <w:r w:rsidRPr="000B5627">
        <w:t xml:space="preserve"> </w:t>
      </w:r>
      <w:bookmarkStart w:id="217" w:name="_Hlk83827578"/>
      <w:r w:rsidRPr="000B5627">
        <w:t xml:space="preserve">OECD (2021), </w:t>
      </w:r>
      <w:r w:rsidRPr="00220A2F">
        <w:rPr>
          <w:i/>
          <w:iCs/>
        </w:rPr>
        <w:t xml:space="preserve">Agricultural Policy Monitoring and Evaluation </w:t>
      </w:r>
      <w:r w:rsidRPr="00220A2F">
        <w:rPr>
          <w:rFonts w:cs="ArialMT"/>
          <w:i/>
          <w:iCs/>
          <w:szCs w:val="16"/>
        </w:rPr>
        <w:t>2021</w:t>
      </w:r>
      <w:r w:rsidRPr="000B5627">
        <w:t xml:space="preserve">. Viewed at: </w:t>
      </w:r>
      <w:hyperlink r:id="rId159" w:history="1">
        <w:r w:rsidRPr="000B5627">
          <w:rPr>
            <w:rStyle w:val="Hyperlink"/>
          </w:rPr>
          <w:t>https://www.oecd.org/publications/agricultural-policy-monitoring-and-evaluation-22217371.htm</w:t>
        </w:r>
      </w:hyperlink>
      <w:bookmarkEnd w:id="217"/>
      <w:r w:rsidRPr="000B5627">
        <w:rPr>
          <w:rFonts w:cs="ArialMT"/>
          <w:szCs w:val="16"/>
        </w:rPr>
        <w:t>.</w:t>
      </w:r>
    </w:p>
  </w:footnote>
  <w:footnote w:id="346">
    <w:p w14:paraId="1F5A0185" w14:textId="77777777" w:rsidR="00120717" w:rsidRPr="000B5627" w:rsidRDefault="00120717">
      <w:pPr>
        <w:pStyle w:val="FootnoteText"/>
      </w:pPr>
      <w:r w:rsidRPr="000B5627">
        <w:rPr>
          <w:rStyle w:val="FootnoteReference"/>
        </w:rPr>
        <w:footnoteRef/>
      </w:r>
      <w:r w:rsidRPr="000B5627">
        <w:t xml:space="preserve"> MPI, </w:t>
      </w:r>
      <w:r w:rsidRPr="00220A2F">
        <w:rPr>
          <w:i/>
          <w:iCs/>
        </w:rPr>
        <w:t>Fit for a Better World</w:t>
      </w:r>
      <w:r w:rsidRPr="000B5627">
        <w:t xml:space="preserve">. Viewed at: </w:t>
      </w:r>
      <w:hyperlink r:id="rId160" w:history="1">
        <w:r w:rsidRPr="000B5627">
          <w:rPr>
            <w:rStyle w:val="Hyperlink"/>
          </w:rPr>
          <w:t>https://www.mpi.govt.nz/dmsdocument/41031-Fit-for-a-Better-World-Accelerating-our-economic-potential</w:t>
        </w:r>
      </w:hyperlink>
      <w:r w:rsidRPr="000B5627">
        <w:t>.</w:t>
      </w:r>
    </w:p>
  </w:footnote>
  <w:footnote w:id="347">
    <w:p w14:paraId="5AF8FF51" w14:textId="77777777" w:rsidR="00120717" w:rsidRPr="000B5627" w:rsidRDefault="00120717">
      <w:pPr>
        <w:pStyle w:val="FootnoteText"/>
      </w:pPr>
      <w:r w:rsidRPr="000B5627">
        <w:rPr>
          <w:rStyle w:val="FootnoteReference"/>
        </w:rPr>
        <w:footnoteRef/>
      </w:r>
      <w:r w:rsidRPr="000B5627">
        <w:t xml:space="preserve"> The MPI brings together six regulatory systems that underpin the food and fibre industries, i.e.</w:t>
      </w:r>
      <w:r>
        <w:t> </w:t>
      </w:r>
      <w:r w:rsidRPr="000B5627">
        <w:t>agriculture, forestry, fisheries, food safety, biosecurity, and animal welfare.</w:t>
      </w:r>
    </w:p>
  </w:footnote>
  <w:footnote w:id="348">
    <w:p w14:paraId="1D67A284" w14:textId="77777777" w:rsidR="00120717" w:rsidRPr="000B5627" w:rsidRDefault="00120717" w:rsidP="000F3286">
      <w:pPr>
        <w:pStyle w:val="FootnoteText"/>
      </w:pPr>
      <w:r w:rsidRPr="000B5627">
        <w:rPr>
          <w:rStyle w:val="FootnoteReference"/>
        </w:rPr>
        <w:footnoteRef/>
      </w:r>
      <w:r w:rsidRPr="000B5627">
        <w:t xml:space="preserve"> WTO document G/AG/N/NZL/90, 1 April 2015.</w:t>
      </w:r>
    </w:p>
  </w:footnote>
  <w:footnote w:id="349">
    <w:p w14:paraId="2BD25E7F" w14:textId="77777777" w:rsidR="00120717" w:rsidRPr="000B5627" w:rsidRDefault="00120717" w:rsidP="00364F03">
      <w:pPr>
        <w:pStyle w:val="FootnoteText"/>
      </w:pPr>
      <w:r w:rsidRPr="000B5627">
        <w:rPr>
          <w:rStyle w:val="FootnoteReference"/>
        </w:rPr>
        <w:footnoteRef/>
      </w:r>
      <w:r w:rsidRPr="000B5627">
        <w:t xml:space="preserve"> New Zealand Customs Service, </w:t>
      </w:r>
      <w:r w:rsidRPr="00220A2F">
        <w:rPr>
          <w:i/>
          <w:iCs/>
        </w:rPr>
        <w:t>Export Prohibitions and Restrictions</w:t>
      </w:r>
      <w:r w:rsidRPr="000B5627">
        <w:t xml:space="preserve">. Viewed at: </w:t>
      </w:r>
      <w:hyperlink r:id="rId161" w:history="1">
        <w:r w:rsidRPr="000B5627">
          <w:rPr>
            <w:rStyle w:val="Hyperlink"/>
          </w:rPr>
          <w:t>https://www.customs.govt.nz/business/export/export-prohibitions-and-restrictions/</w:t>
        </w:r>
      </w:hyperlink>
      <w:r w:rsidRPr="000B5627">
        <w:t>.</w:t>
      </w:r>
    </w:p>
  </w:footnote>
  <w:footnote w:id="350">
    <w:p w14:paraId="407FFEFC" w14:textId="77777777" w:rsidR="00120717" w:rsidRPr="000B5627" w:rsidRDefault="00120717" w:rsidP="00364F03">
      <w:pPr>
        <w:pStyle w:val="FootnoteText"/>
      </w:pPr>
      <w:r w:rsidRPr="000B5627">
        <w:rPr>
          <w:rStyle w:val="FootnoteReference"/>
        </w:rPr>
        <w:footnoteRef/>
      </w:r>
      <w:r w:rsidRPr="000B5627">
        <w:t xml:space="preserve"> Traders can export kiwifruit to Australia without prior approval from KNZ and independently from Zespri.</w:t>
      </w:r>
    </w:p>
  </w:footnote>
  <w:footnote w:id="351">
    <w:p w14:paraId="0965E304" w14:textId="77777777" w:rsidR="00120717" w:rsidRPr="000B5627" w:rsidRDefault="00120717" w:rsidP="00AD3562">
      <w:pPr>
        <w:pStyle w:val="FootnoteText"/>
      </w:pPr>
      <w:r w:rsidRPr="000B5627">
        <w:rPr>
          <w:rStyle w:val="FootnoteReference"/>
        </w:rPr>
        <w:footnoteRef/>
      </w:r>
      <w:r w:rsidRPr="000B5627">
        <w:t xml:space="preserve"> WTO document G/STR/N/18/NZL, 2 July 2020.</w:t>
      </w:r>
    </w:p>
  </w:footnote>
  <w:footnote w:id="352">
    <w:p w14:paraId="24C2BF49" w14:textId="77777777" w:rsidR="00120717" w:rsidRPr="000B5627" w:rsidRDefault="00120717" w:rsidP="004C45E4">
      <w:pPr>
        <w:pStyle w:val="FootnoteText"/>
      </w:pPr>
      <w:r w:rsidRPr="000B5627">
        <w:rPr>
          <w:rStyle w:val="FootnoteReference"/>
        </w:rPr>
        <w:footnoteRef/>
      </w:r>
      <w:r w:rsidRPr="000B5627">
        <w:t xml:space="preserve"> A collaborative marketing arrangement is defined in the Regulations as "an arrangement by which a person may export New Zealand grown kiwifruit in collaboration with Zespri Group Limited (ZGL)".</w:t>
      </w:r>
    </w:p>
  </w:footnote>
  <w:footnote w:id="353">
    <w:p w14:paraId="5E311B26" w14:textId="77777777" w:rsidR="00120717" w:rsidRPr="000B5627" w:rsidRDefault="00120717" w:rsidP="00364F03">
      <w:pPr>
        <w:pStyle w:val="FootnoteText"/>
      </w:pPr>
      <w:r w:rsidRPr="000B5627">
        <w:rPr>
          <w:rStyle w:val="FootnoteReference"/>
        </w:rPr>
        <w:footnoteRef/>
      </w:r>
      <w:r w:rsidRPr="000B5627">
        <w:t xml:space="preserve"> The 10 Product Groups are Avocados, Blackcurrants, Buttercup Squash, Chestnuts, Kiwifruit to Australia, Persimmons, Summerfruit, Truffles, Tamarillos, and Walnuts. HEA, </w:t>
      </w:r>
      <w:r w:rsidRPr="00220A2F">
        <w:rPr>
          <w:i/>
          <w:iCs/>
        </w:rPr>
        <w:t>2020 Annual Report</w:t>
      </w:r>
      <w:r w:rsidRPr="000B5627">
        <w:t xml:space="preserve">. Viewed at: </w:t>
      </w:r>
      <w:hyperlink r:id="rId162" w:history="1">
        <w:r w:rsidRPr="000B5627">
          <w:rPr>
            <w:rStyle w:val="Hyperlink"/>
          </w:rPr>
          <w:t>https://www.hea.co.nz/images/J018774_-_HEA_Annual_Rpt_2020_FINAL_Emailable.pdf</w:t>
        </w:r>
      </w:hyperlink>
      <w:r w:rsidRPr="000B5627">
        <w:t xml:space="preserve">. </w:t>
      </w:r>
    </w:p>
  </w:footnote>
  <w:footnote w:id="354">
    <w:p w14:paraId="1CEB7386" w14:textId="77777777" w:rsidR="00120717" w:rsidRPr="000B5627" w:rsidRDefault="00120717" w:rsidP="00364F03">
      <w:pPr>
        <w:pStyle w:val="FootnoteText"/>
      </w:pPr>
      <w:r w:rsidRPr="000B5627">
        <w:rPr>
          <w:rStyle w:val="FootnoteReference"/>
        </w:rPr>
        <w:footnoteRef/>
      </w:r>
      <w:r w:rsidRPr="000B5627">
        <w:t xml:space="preserve"> WTO document G/AG/N/NZL/127, 3 August 2021.</w:t>
      </w:r>
    </w:p>
  </w:footnote>
  <w:footnote w:id="355">
    <w:p w14:paraId="0FBB92AE" w14:textId="77777777" w:rsidR="00120717" w:rsidRPr="000B5627" w:rsidRDefault="00120717">
      <w:pPr>
        <w:pStyle w:val="FootnoteText"/>
      </w:pPr>
      <w:r w:rsidRPr="000B5627">
        <w:rPr>
          <w:rStyle w:val="FootnoteReference"/>
        </w:rPr>
        <w:footnoteRef/>
      </w:r>
      <w:r w:rsidRPr="000B5627">
        <w:t xml:space="preserve"> The methodology for calculating these indicators is different from that used to calculate the aggregate measure of support, and the two sets of data are neither compatible nor comparable.</w:t>
      </w:r>
    </w:p>
  </w:footnote>
  <w:footnote w:id="356">
    <w:p w14:paraId="29F6DD20" w14:textId="77777777" w:rsidR="00120717" w:rsidRPr="000B5627" w:rsidRDefault="00120717" w:rsidP="00DD11BC">
      <w:pPr>
        <w:pStyle w:val="FootnoteText"/>
      </w:pPr>
      <w:r w:rsidRPr="000B5627">
        <w:rPr>
          <w:rStyle w:val="FootnoteReference"/>
        </w:rPr>
        <w:footnoteRef/>
      </w:r>
      <w:r w:rsidRPr="000B5627">
        <w:t xml:space="preserve"> OECD (2021), </w:t>
      </w:r>
      <w:r w:rsidRPr="00220A2F">
        <w:rPr>
          <w:i/>
          <w:iCs/>
        </w:rPr>
        <w:t>Agricultural Policy Monitoring and Evaluation 2021</w:t>
      </w:r>
      <w:r w:rsidRPr="000B5627">
        <w:t xml:space="preserve">. Viewed at: </w:t>
      </w:r>
      <w:hyperlink r:id="rId163" w:history="1">
        <w:r w:rsidRPr="000B5627">
          <w:rPr>
            <w:rStyle w:val="Hyperlink"/>
          </w:rPr>
          <w:t>https://www.oecd.org/publications/agricultural-policy-monitoring-and-evaluation-22217371.htm</w:t>
        </w:r>
      </w:hyperlink>
      <w:r w:rsidRPr="000B5627">
        <w:t xml:space="preserve">. </w:t>
      </w:r>
    </w:p>
  </w:footnote>
  <w:footnote w:id="357">
    <w:p w14:paraId="7E8DEC23" w14:textId="77777777" w:rsidR="00120717" w:rsidRPr="000B5627" w:rsidRDefault="00120717" w:rsidP="00DD11BC">
      <w:pPr>
        <w:pStyle w:val="FootnoteText"/>
      </w:pPr>
      <w:r w:rsidRPr="000B5627">
        <w:rPr>
          <w:rStyle w:val="FootnoteReference"/>
        </w:rPr>
        <w:footnoteRef/>
      </w:r>
      <w:r w:rsidRPr="000B5627">
        <w:t xml:space="preserve"> WTO document G/AG/N/NZL/126, 26 February 2021.</w:t>
      </w:r>
    </w:p>
  </w:footnote>
  <w:footnote w:id="358">
    <w:p w14:paraId="25A900EA" w14:textId="77777777" w:rsidR="00120717" w:rsidRPr="000B5627" w:rsidRDefault="00120717">
      <w:pPr>
        <w:pStyle w:val="FootnoteText"/>
      </w:pPr>
      <w:r w:rsidRPr="000B5627">
        <w:rPr>
          <w:rStyle w:val="FootnoteReference"/>
        </w:rPr>
        <w:footnoteRef/>
      </w:r>
      <w:r w:rsidRPr="000B5627">
        <w:t xml:space="preserve"> WTO document G/AG/N/NZL/122, 22 September 2020.</w:t>
      </w:r>
    </w:p>
  </w:footnote>
  <w:footnote w:id="359">
    <w:p w14:paraId="5F94D0C5" w14:textId="77777777" w:rsidR="00120717" w:rsidRPr="000B5627" w:rsidRDefault="00120717" w:rsidP="00270592">
      <w:pPr>
        <w:pStyle w:val="FootnoteText"/>
      </w:pPr>
      <w:r w:rsidRPr="000B5627">
        <w:rPr>
          <w:rStyle w:val="FootnoteReference"/>
        </w:rPr>
        <w:footnoteRef/>
      </w:r>
      <w:r w:rsidRPr="000B5627">
        <w:t xml:space="preserve"> WTO document WT/TPR/S/316/Rev.1, 12 October 2015.</w:t>
      </w:r>
    </w:p>
  </w:footnote>
  <w:footnote w:id="360">
    <w:p w14:paraId="6B1A0582" w14:textId="77777777" w:rsidR="00120717" w:rsidRPr="000B5627" w:rsidRDefault="00120717" w:rsidP="000D0B45">
      <w:pPr>
        <w:pStyle w:val="FootnoteText"/>
      </w:pPr>
      <w:r w:rsidRPr="000B5627">
        <w:rPr>
          <w:rStyle w:val="FootnoteReference"/>
        </w:rPr>
        <w:footnoteRef/>
      </w:r>
      <w:r w:rsidRPr="000B5627">
        <w:t xml:space="preserve"> FAO, Fishery and Aquaculture Country Profile. Viewed at:</w:t>
      </w:r>
      <w:r w:rsidRPr="003A5DDF">
        <w:t xml:space="preserve"> </w:t>
      </w:r>
      <w:hyperlink r:id="rId164" w:history="1">
        <w:r w:rsidRPr="00BA0899">
          <w:rPr>
            <w:rStyle w:val="Hyperlink"/>
          </w:rPr>
          <w:t>https://www.fao.org/fishery/en/facp/nzl?lang=en</w:t>
        </w:r>
      </w:hyperlink>
      <w:r>
        <w:t xml:space="preserve">. </w:t>
      </w:r>
    </w:p>
  </w:footnote>
  <w:footnote w:id="361">
    <w:p w14:paraId="6052344D" w14:textId="77777777" w:rsidR="00120717" w:rsidRPr="000B5627" w:rsidRDefault="00120717" w:rsidP="000D0B45">
      <w:pPr>
        <w:pStyle w:val="FootnoteText"/>
      </w:pPr>
      <w:r w:rsidRPr="000B5627">
        <w:rPr>
          <w:rStyle w:val="FootnoteReference"/>
        </w:rPr>
        <w:footnoteRef/>
      </w:r>
      <w:r w:rsidRPr="000B5627">
        <w:t xml:space="preserve"> Fisheries New Zealand (2020), </w:t>
      </w:r>
      <w:r w:rsidRPr="00220A2F">
        <w:rPr>
          <w:i/>
          <w:iCs/>
        </w:rPr>
        <w:t>Aquatic Environment and Biodiversity Annual Review 2019-20</w:t>
      </w:r>
      <w:r w:rsidRPr="000B5627">
        <w:t xml:space="preserve">. Viewed at: </w:t>
      </w:r>
      <w:hyperlink r:id="rId165" w:history="1">
        <w:r w:rsidRPr="000B5627">
          <w:rPr>
            <w:rStyle w:val="Hyperlink"/>
          </w:rPr>
          <w:t>https://www.mpi.govt.nz/dmsdocument/44833-Aquatic-Environment-and-Biodiversity-Annual-Review-AEBR-201920-A-summary-of-environmental-interactions-between-the-seafood-sector-and-the-aquatic-environment</w:t>
        </w:r>
      </w:hyperlink>
      <w:r w:rsidRPr="000B5627">
        <w:t xml:space="preserve">. </w:t>
      </w:r>
    </w:p>
  </w:footnote>
  <w:footnote w:id="362">
    <w:p w14:paraId="4CAD535A" w14:textId="77777777" w:rsidR="00120717" w:rsidRPr="000B5627" w:rsidRDefault="00120717" w:rsidP="000D0B45">
      <w:pPr>
        <w:pStyle w:val="FootnoteText"/>
      </w:pPr>
      <w:r w:rsidRPr="000B5627">
        <w:rPr>
          <w:rStyle w:val="FootnoteReference"/>
        </w:rPr>
        <w:footnoteRef/>
      </w:r>
      <w:r w:rsidRPr="000B5627">
        <w:t xml:space="preserve"> MPI, </w:t>
      </w:r>
      <w:r w:rsidRPr="00220A2F">
        <w:rPr>
          <w:i/>
          <w:iCs/>
        </w:rPr>
        <w:t>Fisheries 2030</w:t>
      </w:r>
      <w:r w:rsidRPr="000B5627">
        <w:t xml:space="preserve">. Viewed at: </w:t>
      </w:r>
      <w:hyperlink r:id="rId166" w:anchor=":~:text=Fisheries%202030%20provides%20that%20strategic,from%20New%20Zealand's%20fisheries%20resources.&amp;text=The%20Ministry%20of%20Fisheries%20has,the%20New%20Zealand%20fisheries%20sector" w:history="1">
        <w:r w:rsidRPr="000B5627">
          <w:rPr>
            <w:rStyle w:val="Hyperlink"/>
          </w:rPr>
          <w:t>https://www.mpi.govt.nz/dmsdocument/5032/direct#:~:text=Fisheries%202030%20provides%20that%20strategic,from%20New%20Zealand's%20fisheries%20resources.&amp;text=The%20Ministry%20of%20Fisheries%20has,the%20New%20Zealand%20fisheries%20sector</w:t>
        </w:r>
      </w:hyperlink>
      <w:r w:rsidRPr="000B5627">
        <w:t xml:space="preserve">. </w:t>
      </w:r>
    </w:p>
  </w:footnote>
  <w:footnote w:id="363">
    <w:p w14:paraId="30637452" w14:textId="77777777" w:rsidR="00120717" w:rsidRPr="000B5627" w:rsidRDefault="00120717" w:rsidP="000D0B45">
      <w:pPr>
        <w:pStyle w:val="FootnoteText"/>
      </w:pPr>
      <w:r w:rsidRPr="000B5627">
        <w:rPr>
          <w:rStyle w:val="FootnoteReference"/>
        </w:rPr>
        <w:footnoteRef/>
      </w:r>
      <w:r w:rsidRPr="000B5627">
        <w:t xml:space="preserve"> MPI, </w:t>
      </w:r>
      <w:r w:rsidRPr="00220A2F">
        <w:rPr>
          <w:i/>
          <w:iCs/>
        </w:rPr>
        <w:t>Aquaculture Strategy</w:t>
      </w:r>
      <w:r w:rsidRPr="000B5627">
        <w:t xml:space="preserve">. Viewed at: </w:t>
      </w:r>
      <w:hyperlink r:id="rId167" w:history="1">
        <w:r w:rsidRPr="000B5627">
          <w:rPr>
            <w:rStyle w:val="Hyperlink"/>
          </w:rPr>
          <w:t>https://www.mpi.govt.nz/dmsdocument/15895-The-Governments-Aquaculture-Strategy-to-2025</w:t>
        </w:r>
      </w:hyperlink>
      <w:r w:rsidRPr="000B5627">
        <w:t xml:space="preserve">. </w:t>
      </w:r>
    </w:p>
  </w:footnote>
  <w:footnote w:id="364">
    <w:p w14:paraId="72723258" w14:textId="77777777" w:rsidR="00120717" w:rsidRPr="000B5627" w:rsidRDefault="00120717" w:rsidP="00CC3062">
      <w:pPr>
        <w:pStyle w:val="FootnoteText"/>
      </w:pPr>
      <w:r w:rsidRPr="000B5627">
        <w:rPr>
          <w:rStyle w:val="FootnoteReference"/>
        </w:rPr>
        <w:footnoteRef/>
      </w:r>
      <w:r w:rsidRPr="000B5627">
        <w:t xml:space="preserve"> WTO document WT/TPR/S/316/Rev.1, 12 October 2015.</w:t>
      </w:r>
    </w:p>
  </w:footnote>
  <w:footnote w:id="365">
    <w:p w14:paraId="220261E4" w14:textId="77777777" w:rsidR="00120717" w:rsidRPr="000B5627" w:rsidRDefault="00120717" w:rsidP="000D0B45">
      <w:pPr>
        <w:pStyle w:val="FootnoteText"/>
      </w:pPr>
      <w:r w:rsidRPr="000B5627">
        <w:rPr>
          <w:rStyle w:val="FootnoteReference"/>
        </w:rPr>
        <w:footnoteRef/>
      </w:r>
      <w:r w:rsidRPr="000B5627">
        <w:t xml:space="preserve"> MPI, </w:t>
      </w:r>
      <w:r w:rsidRPr="00220A2F">
        <w:rPr>
          <w:i/>
          <w:iCs/>
        </w:rPr>
        <w:t xml:space="preserve">Requirements for </w:t>
      </w:r>
      <w:r w:rsidRPr="000B5627">
        <w:rPr>
          <w:i/>
          <w:iCs/>
        </w:rPr>
        <w:t xml:space="preserve">NZ </w:t>
      </w:r>
      <w:r w:rsidRPr="00220A2F">
        <w:rPr>
          <w:i/>
          <w:iCs/>
        </w:rPr>
        <w:t>Commercial Fishers</w:t>
      </w:r>
      <w:r w:rsidRPr="000B5627">
        <w:t xml:space="preserve">. Viewed at: </w:t>
      </w:r>
      <w:hyperlink r:id="rId168" w:history="1">
        <w:r w:rsidRPr="000B5627">
          <w:rPr>
            <w:rStyle w:val="Hyperlink"/>
          </w:rPr>
          <w:t>https://www.mpi.govt.nz/fishing-aquaculture/commercial-fishing/operating-as-a-commercial-fisher/requirements-for-nz-commercial-fishers/</w:t>
        </w:r>
      </w:hyperlink>
      <w:r w:rsidRPr="000B5627">
        <w:t>.</w:t>
      </w:r>
    </w:p>
  </w:footnote>
  <w:footnote w:id="366">
    <w:p w14:paraId="50722E7C" w14:textId="77777777" w:rsidR="00120717" w:rsidRPr="000B5627" w:rsidRDefault="00120717" w:rsidP="000D0B45">
      <w:pPr>
        <w:pStyle w:val="FootnoteText"/>
      </w:pPr>
      <w:r w:rsidRPr="000B5627">
        <w:rPr>
          <w:rStyle w:val="FootnoteReference"/>
        </w:rPr>
        <w:footnoteRef/>
      </w:r>
      <w:r w:rsidRPr="000B5627">
        <w:t xml:space="preserve"> MPI, </w:t>
      </w:r>
      <w:r w:rsidRPr="00220A2F">
        <w:rPr>
          <w:i/>
          <w:iCs/>
        </w:rPr>
        <w:t>Aquaculture Planning Fund</w:t>
      </w:r>
      <w:r w:rsidRPr="000B5627">
        <w:t xml:space="preserve">. Viewed at: </w:t>
      </w:r>
      <w:hyperlink r:id="rId169" w:history="1">
        <w:r w:rsidRPr="000B5627">
          <w:rPr>
            <w:rStyle w:val="Hyperlink"/>
          </w:rPr>
          <w:t>https://www.mpi.govt.nz/fishing-aquaculture/fishing-aquaculture-funding-support/aquaculture-planning-fund/</w:t>
        </w:r>
      </w:hyperlink>
      <w:r w:rsidRPr="000B5627">
        <w:t>.</w:t>
      </w:r>
    </w:p>
  </w:footnote>
  <w:footnote w:id="367">
    <w:p w14:paraId="476E2FE6" w14:textId="77777777" w:rsidR="00120717" w:rsidRPr="000B5627" w:rsidRDefault="00120717">
      <w:pPr>
        <w:pStyle w:val="FootnoteText"/>
      </w:pPr>
      <w:r w:rsidRPr="000B5627">
        <w:rPr>
          <w:rStyle w:val="FootnoteReference"/>
        </w:rPr>
        <w:footnoteRef/>
      </w:r>
      <w:r w:rsidRPr="000B5627">
        <w:t xml:space="preserve"> MPI, </w:t>
      </w:r>
      <w:r w:rsidRPr="00220A2F">
        <w:rPr>
          <w:i/>
          <w:iCs/>
        </w:rPr>
        <w:t>He Waka Eke Noa – Primary Sector Climate Action Partnership</w:t>
      </w:r>
      <w:r w:rsidRPr="000B5627">
        <w:t xml:space="preserve">. Viewed at: </w:t>
      </w:r>
      <w:hyperlink r:id="rId170" w:history="1">
        <w:r w:rsidRPr="000B5627">
          <w:rPr>
            <w:rStyle w:val="Hyperlink"/>
          </w:rPr>
          <w:t>https://www.mpi.govt.nz/funding-rural-support/environment-and-natural-resources/he-waka-eke-noa/</w:t>
        </w:r>
      </w:hyperlink>
      <w:r w:rsidRPr="000B5627">
        <w:t>.</w:t>
      </w:r>
    </w:p>
  </w:footnote>
  <w:footnote w:id="368">
    <w:p w14:paraId="69307720" w14:textId="77777777" w:rsidR="00120717" w:rsidRPr="000B5627" w:rsidRDefault="00120717" w:rsidP="00EA3F56">
      <w:pPr>
        <w:pStyle w:val="FootnoteText"/>
      </w:pPr>
      <w:r w:rsidRPr="000B5627">
        <w:rPr>
          <w:rStyle w:val="FootnoteReference"/>
        </w:rPr>
        <w:footnoteRef/>
      </w:r>
      <w:r w:rsidRPr="000B5627">
        <w:t xml:space="preserve"> MPI, </w:t>
      </w:r>
      <w:r w:rsidRPr="00220A2F">
        <w:rPr>
          <w:i/>
          <w:iCs/>
        </w:rPr>
        <w:t>He Waka Eke Noa – Primary Sector Climate Partnership</w:t>
      </w:r>
      <w:r w:rsidRPr="000B5627">
        <w:t xml:space="preserve">. Viewed at: </w:t>
      </w:r>
      <w:hyperlink r:id="rId171" w:history="1">
        <w:r w:rsidRPr="000B5627">
          <w:rPr>
            <w:rStyle w:val="Hyperlink"/>
          </w:rPr>
          <w:t>https://www.mpi.govt.nz/funding-rural-support/environment-and-natural-resources/he-waka-eke-noa/</w:t>
        </w:r>
      </w:hyperlink>
      <w:r w:rsidRPr="000B5627">
        <w:t>.</w:t>
      </w:r>
    </w:p>
  </w:footnote>
  <w:footnote w:id="369">
    <w:p w14:paraId="0356E809" w14:textId="77777777" w:rsidR="00120717" w:rsidRPr="000B5627" w:rsidRDefault="00120717" w:rsidP="00AD7CDC">
      <w:pPr>
        <w:pStyle w:val="FootnoteText"/>
      </w:pPr>
      <w:r w:rsidRPr="000B5627">
        <w:rPr>
          <w:rStyle w:val="FootnoteReference"/>
        </w:rPr>
        <w:footnoteRef/>
      </w:r>
      <w:r w:rsidRPr="000B5627">
        <w:t xml:space="preserve"> UNFCC (2021), New Zealand's Submission under the Paris Agreement. Viewed at: </w:t>
      </w:r>
      <w:hyperlink r:id="rId172" w:history="1">
        <w:r w:rsidRPr="000B5627">
          <w:rPr>
            <w:rStyle w:val="Hyperlink"/>
          </w:rPr>
          <w:t>https://www4.unfccc.int/sites/ndcstaging/PublishedDocuments/New%20Zealand%20First/New%20Zealand%20NDC%20November%202021.pdf</w:t>
        </w:r>
      </w:hyperlink>
      <w:r w:rsidRPr="000B5627">
        <w:t>.</w:t>
      </w:r>
    </w:p>
  </w:footnote>
  <w:footnote w:id="370">
    <w:p w14:paraId="381059D7" w14:textId="77777777" w:rsidR="00120717" w:rsidRPr="000B5627" w:rsidRDefault="00120717" w:rsidP="00AD7CDC">
      <w:pPr>
        <w:pStyle w:val="FootnoteText"/>
      </w:pPr>
      <w:r w:rsidRPr="000B5627">
        <w:rPr>
          <w:rStyle w:val="FootnoteReference"/>
        </w:rPr>
        <w:footnoteRef/>
      </w:r>
      <w:r w:rsidRPr="000B5627">
        <w:t xml:space="preserve"> MBIE, </w:t>
      </w:r>
      <w:r w:rsidRPr="000B5627">
        <w:rPr>
          <w:i/>
          <w:iCs/>
        </w:rPr>
        <w:t>Energy Strategies for New Zealand</w:t>
      </w:r>
      <w:r w:rsidRPr="000B5627">
        <w:t xml:space="preserve">. Viewed at: </w:t>
      </w:r>
      <w:hyperlink r:id="rId173" w:history="1">
        <w:r w:rsidRPr="000B5627">
          <w:rPr>
            <w:rStyle w:val="Hyperlink"/>
          </w:rPr>
          <w:t>https://www.mbie.govt.nz/building-and-energy/energy-and-natural-resources/energy-strategies-for-new-zealand</w:t>
        </w:r>
      </w:hyperlink>
      <w:r w:rsidRPr="000B5627">
        <w:t>.</w:t>
      </w:r>
    </w:p>
  </w:footnote>
  <w:footnote w:id="371">
    <w:p w14:paraId="66536C43" w14:textId="77777777" w:rsidR="00120717" w:rsidRPr="000B5627" w:rsidRDefault="00120717" w:rsidP="00AD7CDC">
      <w:pPr>
        <w:pStyle w:val="FootnoteText"/>
      </w:pPr>
      <w:r w:rsidRPr="000B5627">
        <w:rPr>
          <w:rStyle w:val="FootnoteReference"/>
        </w:rPr>
        <w:footnoteRef/>
      </w:r>
      <w:r w:rsidRPr="000B5627">
        <w:t xml:space="preserve"> MBIE, </w:t>
      </w:r>
      <w:r w:rsidRPr="00220A2F">
        <w:rPr>
          <w:i/>
          <w:iCs/>
        </w:rPr>
        <w:t>New Zealand Energy Efficiency and Conservation Strategy 2017-2022</w:t>
      </w:r>
      <w:r w:rsidRPr="000B5627">
        <w:t xml:space="preserve">. Viewed at: </w:t>
      </w:r>
      <w:hyperlink r:id="rId174" w:history="1">
        <w:r w:rsidRPr="000B5627">
          <w:rPr>
            <w:rStyle w:val="Hyperlink"/>
          </w:rPr>
          <w:t>https://www.mbie.govt.nz/assets/346278aab2/nzeecs-2017-2022.pdf</w:t>
        </w:r>
      </w:hyperlink>
      <w:r w:rsidRPr="000B5627">
        <w:t>.</w:t>
      </w:r>
    </w:p>
  </w:footnote>
  <w:footnote w:id="372">
    <w:p w14:paraId="296D3A68" w14:textId="77777777" w:rsidR="00120717" w:rsidRPr="000B5627" w:rsidRDefault="00120717" w:rsidP="00842A9C">
      <w:pPr>
        <w:pStyle w:val="FootnoteText"/>
      </w:pPr>
      <w:r w:rsidRPr="000B5627">
        <w:rPr>
          <w:rStyle w:val="FootnoteReference"/>
        </w:rPr>
        <w:footnoteRef/>
      </w:r>
      <w:r w:rsidRPr="000B5627">
        <w:t xml:space="preserve"> The Electricity Industry (Enforcement) Regulations 2010, the Electricity Industry (Levy of Industry Participants) Regulations 2010, and the Electricity Industry (Participants and Roles) Regulations 2012.</w:t>
      </w:r>
    </w:p>
  </w:footnote>
  <w:footnote w:id="373">
    <w:p w14:paraId="5E66691E" w14:textId="77777777" w:rsidR="00120717" w:rsidRPr="000B5627" w:rsidRDefault="00120717" w:rsidP="00842A9C">
      <w:pPr>
        <w:pStyle w:val="FootnoteText"/>
      </w:pPr>
      <w:r w:rsidRPr="000B5627">
        <w:rPr>
          <w:rStyle w:val="FootnoteReference"/>
        </w:rPr>
        <w:footnoteRef/>
      </w:r>
      <w:r w:rsidRPr="000B5627">
        <w:t xml:space="preserve"> </w:t>
      </w:r>
      <w:bookmarkStart w:id="231" w:name="_Hlk85194061"/>
      <w:r w:rsidRPr="000B5627">
        <w:t xml:space="preserve">MBIE (2019), </w:t>
      </w:r>
      <w:r w:rsidRPr="00220A2F">
        <w:rPr>
          <w:i/>
          <w:iCs/>
        </w:rPr>
        <w:t>Electricity Price Review</w:t>
      </w:r>
      <w:r w:rsidRPr="000B5627">
        <w:t xml:space="preserve">. Viewed at: </w:t>
      </w:r>
      <w:hyperlink r:id="rId175" w:history="1">
        <w:r w:rsidRPr="000B5627">
          <w:rPr>
            <w:rStyle w:val="Hyperlink"/>
          </w:rPr>
          <w:t>https://www.mbie.govt.nz/assets/electricity-price-review-final-report.pdf</w:t>
        </w:r>
      </w:hyperlink>
      <w:r w:rsidRPr="000B5627">
        <w:t>.</w:t>
      </w:r>
      <w:bookmarkEnd w:id="231"/>
    </w:p>
  </w:footnote>
  <w:footnote w:id="374">
    <w:p w14:paraId="19DB8CBA" w14:textId="77777777" w:rsidR="00120717" w:rsidRPr="000B5627" w:rsidRDefault="00120717" w:rsidP="00CC3062">
      <w:pPr>
        <w:pStyle w:val="FootnoteText"/>
      </w:pPr>
      <w:r w:rsidRPr="000B5627">
        <w:rPr>
          <w:rStyle w:val="FootnoteReference"/>
        </w:rPr>
        <w:footnoteRef/>
      </w:r>
      <w:r w:rsidRPr="000B5627">
        <w:t xml:space="preserve"> MBIE (2019), </w:t>
      </w:r>
      <w:r w:rsidRPr="00220A2F">
        <w:rPr>
          <w:i/>
          <w:iCs/>
        </w:rPr>
        <w:t>Electricity Price Review</w:t>
      </w:r>
      <w:r w:rsidRPr="000B5627">
        <w:t xml:space="preserve">. Viewed at: </w:t>
      </w:r>
      <w:hyperlink r:id="rId176" w:history="1">
        <w:r w:rsidRPr="000B5627">
          <w:rPr>
            <w:rStyle w:val="Hyperlink"/>
          </w:rPr>
          <w:t>https://www.mbie.govt.nz/assets/electricity-price-review-final-report.pdf</w:t>
        </w:r>
      </w:hyperlink>
      <w:r w:rsidRPr="000B5627">
        <w:t>.</w:t>
      </w:r>
    </w:p>
  </w:footnote>
  <w:footnote w:id="375">
    <w:p w14:paraId="16B27378" w14:textId="2A04D1E7" w:rsidR="00120717" w:rsidRPr="000B5627" w:rsidRDefault="00120717" w:rsidP="000016E1">
      <w:pPr>
        <w:pStyle w:val="FootnoteText"/>
      </w:pPr>
      <w:r w:rsidRPr="000B5627">
        <w:rPr>
          <w:rStyle w:val="FootnoteReference"/>
        </w:rPr>
        <w:footnoteRef/>
      </w:r>
      <w:r w:rsidRPr="000B5627">
        <w:t xml:space="preserve"> Health and Safety at Work Act 2015, Resource Management Act 1991, Marine and Coastal Area (Takutai Moana) Act 2011, Exclusive Economic Zone and Continental Shelf (Environmental Effects</w:t>
      </w:r>
      <w:r w:rsidR="00D846DD">
        <w:t>)</w:t>
      </w:r>
      <w:r w:rsidRPr="000B5627">
        <w:t xml:space="preserve"> Act 2012, Maritime Transport Act 1994, and Hazardous Substances and New Organisms Act 1996.</w:t>
      </w:r>
    </w:p>
  </w:footnote>
  <w:footnote w:id="376">
    <w:p w14:paraId="57048966" w14:textId="77777777" w:rsidR="00120717" w:rsidRPr="000B5627" w:rsidRDefault="00120717" w:rsidP="000016E1">
      <w:pPr>
        <w:pStyle w:val="FootnoteText"/>
      </w:pPr>
      <w:r w:rsidRPr="000B5627">
        <w:rPr>
          <w:rStyle w:val="FootnoteReference"/>
        </w:rPr>
        <w:footnoteRef/>
      </w:r>
      <w:r w:rsidRPr="000B5627">
        <w:t xml:space="preserve"> MBIE (2019), </w:t>
      </w:r>
      <w:r w:rsidRPr="00220A2F">
        <w:rPr>
          <w:i/>
          <w:iCs/>
        </w:rPr>
        <w:t>Responsibly Delivering Value:</w:t>
      </w:r>
      <w:r w:rsidRPr="000B5627">
        <w:t xml:space="preserve"> </w:t>
      </w:r>
      <w:r w:rsidRPr="00220A2F">
        <w:rPr>
          <w:i/>
          <w:iCs/>
        </w:rPr>
        <w:t xml:space="preserve">A Minerals and Petroleum Resource Strategy for </w:t>
      </w:r>
      <w:r w:rsidRPr="000B5627">
        <w:rPr>
          <w:i/>
          <w:iCs/>
        </w:rPr>
        <w:t xml:space="preserve">Aotearoa </w:t>
      </w:r>
      <w:r w:rsidRPr="00220A2F">
        <w:rPr>
          <w:i/>
          <w:iCs/>
        </w:rPr>
        <w:t>New Zealand: 2019-</w:t>
      </w:r>
      <w:r w:rsidRPr="000B5627">
        <w:rPr>
          <w:i/>
          <w:iCs/>
        </w:rPr>
        <w:t>20</w:t>
      </w:r>
      <w:r w:rsidRPr="00220A2F">
        <w:rPr>
          <w:i/>
          <w:iCs/>
        </w:rPr>
        <w:t>29</w:t>
      </w:r>
      <w:r w:rsidRPr="000B5627">
        <w:t xml:space="preserve">. Viewed at: </w:t>
      </w:r>
      <w:hyperlink r:id="rId177" w:history="1">
        <w:r w:rsidRPr="000B5627">
          <w:rPr>
            <w:rStyle w:val="Hyperlink"/>
          </w:rPr>
          <w:t>https://www.mbie.govt.nz/assets/nzpm-resource-strategy-multi-agency.pdf</w:t>
        </w:r>
      </w:hyperlink>
      <w:r w:rsidRPr="000B5627">
        <w:t>.</w:t>
      </w:r>
    </w:p>
  </w:footnote>
  <w:footnote w:id="377">
    <w:p w14:paraId="641800D8" w14:textId="77777777" w:rsidR="00120717" w:rsidRPr="000B5627" w:rsidRDefault="00120717" w:rsidP="00314E41">
      <w:pPr>
        <w:pStyle w:val="FootnoteText"/>
      </w:pPr>
      <w:r w:rsidRPr="000B5627">
        <w:rPr>
          <w:rStyle w:val="FootnoteReference"/>
        </w:rPr>
        <w:footnoteRef/>
      </w:r>
      <w:r w:rsidRPr="000B5627">
        <w:t xml:space="preserve"> Stats New Zealand (2020), "</w:t>
      </w:r>
      <w:r w:rsidRPr="00220A2F">
        <w:t>Manufacturing Sales Shrink During COVID</w:t>
      </w:r>
      <w:r w:rsidRPr="00220A2F">
        <w:rPr>
          <w:rFonts w:ascii="Cambria Math" w:hAnsi="Cambria Math" w:cs="Cambria Math"/>
        </w:rPr>
        <w:t>‑</w:t>
      </w:r>
      <w:r w:rsidRPr="00220A2F">
        <w:t>19 Lockdown</w:t>
      </w:r>
      <w:r w:rsidRPr="000B5627">
        <w:t>", 9</w:t>
      </w:r>
      <w:r>
        <w:t> September.</w:t>
      </w:r>
      <w:r w:rsidRPr="000B5627">
        <w:t xml:space="preserve"> Viewed at: </w:t>
      </w:r>
      <w:hyperlink r:id="rId178" w:history="1">
        <w:r w:rsidRPr="000B5627">
          <w:rPr>
            <w:rStyle w:val="Hyperlink"/>
          </w:rPr>
          <w:t>https://www.stats.govt.nz/news/manufacturing-sales-shrink-during-covid-19-lockdown</w:t>
        </w:r>
      </w:hyperlink>
      <w:r w:rsidRPr="000B5627">
        <w:t>.</w:t>
      </w:r>
    </w:p>
  </w:footnote>
  <w:footnote w:id="378">
    <w:p w14:paraId="07E542CD" w14:textId="77777777" w:rsidR="00120717" w:rsidRPr="000B5627" w:rsidRDefault="00120717" w:rsidP="00B97175">
      <w:pPr>
        <w:pStyle w:val="FootnoteText"/>
      </w:pPr>
      <w:r w:rsidRPr="000B5627">
        <w:rPr>
          <w:rStyle w:val="FootnoteReference"/>
        </w:rPr>
        <w:footnoteRef/>
      </w:r>
      <w:r w:rsidRPr="000B5627">
        <w:t xml:space="preserve"> Over the same period, plastics and rubber, chemicals and refining, equipment, and other manufacturing achieved productivity growth above the whole economy average rate, while food and beverage and metals subsectors had negative productivity growth rates. Stats New</w:t>
      </w:r>
      <w:r>
        <w:t> Zealand</w:t>
      </w:r>
      <w:r w:rsidRPr="000B5627">
        <w:t xml:space="preserve"> (2021), "Productivity Statistics: 1978-2020", 16</w:t>
      </w:r>
      <w:r>
        <w:t> February</w:t>
      </w:r>
      <w:r w:rsidRPr="000B5627">
        <w:t xml:space="preserve">. Viewed at: </w:t>
      </w:r>
      <w:hyperlink r:id="rId179" w:history="1">
        <w:r w:rsidRPr="000B5627">
          <w:rPr>
            <w:rStyle w:val="Hyperlink"/>
          </w:rPr>
          <w:t>https://www.stats.govt.nz/information-releases/productivity-statistics-19782020</w:t>
        </w:r>
      </w:hyperlink>
      <w:r w:rsidRPr="000B5627">
        <w:t>.</w:t>
      </w:r>
    </w:p>
  </w:footnote>
  <w:footnote w:id="379">
    <w:p w14:paraId="01406E45" w14:textId="77777777" w:rsidR="00120717" w:rsidRPr="000B5627" w:rsidRDefault="00120717" w:rsidP="00B97175">
      <w:pPr>
        <w:pStyle w:val="FootnoteText"/>
      </w:pPr>
      <w:r w:rsidRPr="000B5627">
        <w:rPr>
          <w:rStyle w:val="FootnoteReference"/>
        </w:rPr>
        <w:footnoteRef/>
      </w:r>
      <w:r w:rsidRPr="000B5627">
        <w:t xml:space="preserve"> MBIE (2021), </w:t>
      </w:r>
      <w:r w:rsidRPr="000B5627">
        <w:rPr>
          <w:i/>
          <w:iCs/>
        </w:rPr>
        <w:t>Advanced Manufacturing ITP Scope</w:t>
      </w:r>
      <w:r w:rsidRPr="000B5627">
        <w:t xml:space="preserve">, July. Viewed at: </w:t>
      </w:r>
      <w:hyperlink r:id="rId180" w:history="1">
        <w:r w:rsidRPr="000B5627">
          <w:rPr>
            <w:rStyle w:val="Hyperlink"/>
          </w:rPr>
          <w:t>https://www.mbie.govt.nz/assets/advanced-manufacturing-itp-scope.pdf</w:t>
        </w:r>
      </w:hyperlink>
      <w:r w:rsidRPr="000B5627">
        <w:t>.</w:t>
      </w:r>
    </w:p>
  </w:footnote>
  <w:footnote w:id="380">
    <w:p w14:paraId="1FD2FE99" w14:textId="77777777" w:rsidR="00120717" w:rsidRPr="000B5627" w:rsidRDefault="00120717" w:rsidP="00D44EED">
      <w:pPr>
        <w:pStyle w:val="FootnoteText"/>
      </w:pPr>
      <w:r w:rsidRPr="000B5627">
        <w:rPr>
          <w:rStyle w:val="FootnoteReference"/>
        </w:rPr>
        <w:footnoteRef/>
      </w:r>
      <w:r w:rsidRPr="000B5627">
        <w:t xml:space="preserve"> Reserve Bank of New Zealand, </w:t>
      </w:r>
      <w:r w:rsidRPr="00220A2F">
        <w:rPr>
          <w:i/>
          <w:iCs/>
        </w:rPr>
        <w:t>The Banking System</w:t>
      </w:r>
      <w:r w:rsidRPr="000B5627">
        <w:t xml:space="preserve">. Viewed at: </w:t>
      </w:r>
      <w:hyperlink r:id="rId181" w:history="1">
        <w:r w:rsidRPr="000B5627">
          <w:rPr>
            <w:rStyle w:val="Hyperlink"/>
          </w:rPr>
          <w:t>https://www.rbnz.govt.nz/financial-stability/overview-of-the-new-zealand-financial-system/the-banking-system</w:t>
        </w:r>
      </w:hyperlink>
      <w:r w:rsidRPr="000B5627">
        <w:t>.</w:t>
      </w:r>
    </w:p>
  </w:footnote>
  <w:footnote w:id="381">
    <w:p w14:paraId="7C7DE987" w14:textId="77777777" w:rsidR="00120717" w:rsidRPr="000B5627" w:rsidRDefault="00120717" w:rsidP="00D44EED">
      <w:pPr>
        <w:pStyle w:val="FootnoteText"/>
      </w:pPr>
      <w:r w:rsidRPr="000B5627">
        <w:rPr>
          <w:rStyle w:val="FootnoteReference"/>
        </w:rPr>
        <w:footnoteRef/>
      </w:r>
      <w:r w:rsidRPr="000B5627">
        <w:t xml:space="preserve"> Building societies, credit unions, and finance companies that take deposits from the public.</w:t>
      </w:r>
    </w:p>
  </w:footnote>
  <w:footnote w:id="382">
    <w:p w14:paraId="0574E35C" w14:textId="77777777" w:rsidR="00120717" w:rsidRPr="000B5627" w:rsidRDefault="00120717" w:rsidP="00D44EED">
      <w:pPr>
        <w:pStyle w:val="FootnoteText"/>
      </w:pPr>
      <w:r w:rsidRPr="000B5627">
        <w:rPr>
          <w:rStyle w:val="FootnoteReference"/>
        </w:rPr>
        <w:footnoteRef/>
      </w:r>
      <w:r w:rsidRPr="000B5627">
        <w:t xml:space="preserve"> Parliamentary Counsel, Anti-Money Laundering and Countering Financing of Terrorism Act 2009. Viewed at: </w:t>
      </w:r>
      <w:hyperlink r:id="rId182" w:history="1">
        <w:r w:rsidRPr="000B5627">
          <w:rPr>
            <w:rStyle w:val="Hyperlink"/>
          </w:rPr>
          <w:t>https://www.legislation.govt.nz/act/public/2009/0035/latest/DLM2140720.html</w:t>
        </w:r>
      </w:hyperlink>
      <w:r w:rsidRPr="000B5627">
        <w:t>.</w:t>
      </w:r>
    </w:p>
  </w:footnote>
  <w:footnote w:id="383">
    <w:p w14:paraId="7042ED4D" w14:textId="77777777" w:rsidR="00120717" w:rsidRPr="000B5627" w:rsidRDefault="00120717" w:rsidP="00D44EED">
      <w:pPr>
        <w:pStyle w:val="FootnoteText"/>
      </w:pPr>
      <w:r w:rsidRPr="000B5627">
        <w:rPr>
          <w:rStyle w:val="FootnoteReference"/>
        </w:rPr>
        <w:footnoteRef/>
      </w:r>
      <w:r w:rsidRPr="000B5627">
        <w:t xml:space="preserve"> AML/CFT (Cross-border Transportation of Cash) Amendment Regulations 2021; AML/CFT (Definitions) Amendment Regulations 2021; AML/CFT (Exemptions) Amendment Regulations 2021; and AML/CFT (Requirements and Compliance) Amendment Regulations 2021.</w:t>
      </w:r>
    </w:p>
  </w:footnote>
  <w:footnote w:id="384">
    <w:p w14:paraId="52969B9B" w14:textId="77777777" w:rsidR="00120717" w:rsidRPr="000B5627" w:rsidRDefault="00120717" w:rsidP="00D44EED">
      <w:pPr>
        <w:pStyle w:val="FootnoteText"/>
      </w:pPr>
      <w:r w:rsidRPr="000B5627">
        <w:rPr>
          <w:rStyle w:val="FootnoteReference"/>
        </w:rPr>
        <w:footnoteRef/>
      </w:r>
      <w:r w:rsidRPr="000B5627">
        <w:t xml:space="preserve"> The Insurance Council of New Zealand has reported that weather events totalled NZD 274 million in insurance claims in 2020.</w:t>
      </w:r>
    </w:p>
  </w:footnote>
  <w:footnote w:id="385">
    <w:p w14:paraId="76DC743A" w14:textId="77777777" w:rsidR="00120717" w:rsidRPr="000B5627" w:rsidRDefault="00120717" w:rsidP="00D44EED">
      <w:pPr>
        <w:pStyle w:val="FootnoteText"/>
      </w:pPr>
      <w:r w:rsidRPr="000B5627">
        <w:rPr>
          <w:rStyle w:val="FootnoteReference"/>
        </w:rPr>
        <w:footnoteRef/>
      </w:r>
      <w:r w:rsidRPr="000B5627">
        <w:t xml:space="preserve"> RBNZ (2021), </w:t>
      </w:r>
      <w:r w:rsidRPr="00220A2F">
        <w:rPr>
          <w:i/>
          <w:iCs/>
        </w:rPr>
        <w:t>Climate Changed: 2021 and Beyond</w:t>
      </w:r>
      <w:r w:rsidRPr="000B5627">
        <w:t xml:space="preserve">. Viewed at: </w:t>
      </w:r>
      <w:hyperlink r:id="rId183" w:history="1">
        <w:r w:rsidRPr="000B5627">
          <w:rPr>
            <w:rStyle w:val="Hyperlink"/>
          </w:rPr>
          <w:t>https://www.rbnz.govt.nz/-/media/ReserveBank/Files/Publications/Financial-stability/climate-change/climate-change-report-2021.pdf?revision=7402a2b1-533a-484e-a1a1-cdc06ba484a1</w:t>
        </w:r>
      </w:hyperlink>
      <w:r w:rsidRPr="000B5627">
        <w:t>.</w:t>
      </w:r>
    </w:p>
  </w:footnote>
  <w:footnote w:id="386">
    <w:p w14:paraId="0263DCFF" w14:textId="77777777" w:rsidR="00120717" w:rsidRPr="000B5627" w:rsidRDefault="00120717" w:rsidP="007020EE">
      <w:pPr>
        <w:pStyle w:val="FootnoteText"/>
      </w:pPr>
      <w:r w:rsidRPr="000B5627">
        <w:rPr>
          <w:rStyle w:val="FootnoteReference"/>
        </w:rPr>
        <w:footnoteRef/>
      </w:r>
      <w:r w:rsidRPr="000B5627">
        <w:t xml:space="preserve"> External Reporting Board, </w:t>
      </w:r>
      <w:r w:rsidRPr="000B5627">
        <w:rPr>
          <w:i/>
          <w:iCs/>
        </w:rPr>
        <w:t>Climate-related Disclosures</w:t>
      </w:r>
      <w:r w:rsidRPr="000B5627">
        <w:t xml:space="preserve">. Viewed at: </w:t>
      </w:r>
      <w:hyperlink r:id="rId184" w:history="1">
        <w:r w:rsidRPr="000B5627">
          <w:rPr>
            <w:rStyle w:val="Hyperlink"/>
          </w:rPr>
          <w:t>https://www.xrb.govt.nz/extended-external-reporting/climate-related-disclosures/</w:t>
        </w:r>
      </w:hyperlink>
      <w:r w:rsidRPr="000B5627">
        <w:t>.</w:t>
      </w:r>
    </w:p>
  </w:footnote>
  <w:footnote w:id="387">
    <w:p w14:paraId="4C21C2EE" w14:textId="77777777" w:rsidR="00120717" w:rsidRPr="000B5627" w:rsidRDefault="00120717" w:rsidP="00577FB2">
      <w:pPr>
        <w:pStyle w:val="FootnoteText"/>
      </w:pPr>
      <w:r w:rsidRPr="000B5627">
        <w:rPr>
          <w:rStyle w:val="FootnoteReference"/>
        </w:rPr>
        <w:footnoteRef/>
      </w:r>
      <w:r w:rsidRPr="000B5627">
        <w:t xml:space="preserve"> RBNZ (2021), </w:t>
      </w:r>
      <w:r w:rsidRPr="00220A2F">
        <w:rPr>
          <w:i/>
          <w:iCs/>
        </w:rPr>
        <w:t>Financial Stability Report</w:t>
      </w:r>
      <w:r w:rsidRPr="000B5627">
        <w:t xml:space="preserve">, November. Viewed at: </w:t>
      </w:r>
      <w:hyperlink r:id="rId185" w:history="1">
        <w:r w:rsidRPr="000B5627">
          <w:rPr>
            <w:rStyle w:val="Hyperlink"/>
          </w:rPr>
          <w:t>https://www.rbnz.govt.nz/-/media/ReserveBank/Files/Publications/Financial%20stability%20reports/2021/fsr-nov-21.pdf?revision=98c2c2c6-c838-4a59-9297-9d2df221b618</w:t>
        </w:r>
      </w:hyperlink>
      <w:r w:rsidRPr="000B5627">
        <w:t>.</w:t>
      </w:r>
    </w:p>
  </w:footnote>
  <w:footnote w:id="388">
    <w:p w14:paraId="46400951" w14:textId="77777777" w:rsidR="00120717" w:rsidRPr="000B5627" w:rsidRDefault="00120717" w:rsidP="00915E27">
      <w:pPr>
        <w:pStyle w:val="FootnoteText"/>
      </w:pPr>
      <w:r w:rsidRPr="000B5627">
        <w:rPr>
          <w:rStyle w:val="FootnoteReference"/>
        </w:rPr>
        <w:footnoteRef/>
      </w:r>
      <w:r w:rsidRPr="000B5627">
        <w:t xml:space="preserve"> RBNZ, </w:t>
      </w:r>
      <w:r w:rsidRPr="000B5627">
        <w:rPr>
          <w:i/>
          <w:iCs/>
        </w:rPr>
        <w:t>Capital Requirements for Banks in New Zealand</w:t>
      </w:r>
      <w:r w:rsidRPr="000B5627">
        <w:t xml:space="preserve">. Viewed at: </w:t>
      </w:r>
      <w:hyperlink r:id="rId186" w:history="1">
        <w:r w:rsidRPr="000B5627">
          <w:rPr>
            <w:rStyle w:val="Hyperlink"/>
          </w:rPr>
          <w:t>https://www.rbnz.govt.nz/regulation-and-supervision/banks/prudential-requirements/information-relating-to-the-capital-adequacy-framework-in-new-zealand</w:t>
        </w:r>
      </w:hyperlink>
      <w:r w:rsidRPr="000B5627">
        <w:t>.</w:t>
      </w:r>
    </w:p>
  </w:footnote>
  <w:footnote w:id="389">
    <w:p w14:paraId="21B245A4" w14:textId="77777777" w:rsidR="00120717" w:rsidRPr="000B5627" w:rsidRDefault="00120717" w:rsidP="00490D1B">
      <w:pPr>
        <w:pStyle w:val="FootnoteText"/>
      </w:pPr>
      <w:r w:rsidRPr="000B5627">
        <w:rPr>
          <w:rStyle w:val="FootnoteReference"/>
        </w:rPr>
        <w:footnoteRef/>
      </w:r>
      <w:r w:rsidRPr="000B5627">
        <w:t xml:space="preserve"> RBNZ,</w:t>
      </w:r>
      <w:r w:rsidRPr="000B5627">
        <w:rPr>
          <w:rFonts w:eastAsia="Times New Roman" w:cs="Arial"/>
          <w:caps/>
          <w:kern w:val="36"/>
          <w:szCs w:val="16"/>
        </w:rPr>
        <w:t xml:space="preserve"> </w:t>
      </w:r>
      <w:r w:rsidRPr="0071532F">
        <w:rPr>
          <w:i/>
          <w:iCs/>
        </w:rPr>
        <w:t>Review of Policy for Branches of Overseas Banks</w:t>
      </w:r>
      <w:r w:rsidRPr="000B5627">
        <w:t xml:space="preserve">. Viewed at: </w:t>
      </w:r>
      <w:hyperlink r:id="rId187" w:history="1">
        <w:r w:rsidRPr="000B5627">
          <w:rPr>
            <w:rStyle w:val="Hyperlink"/>
          </w:rPr>
          <w:t>https://www.rbnz.govt.nz/regulation-and-supervision/banks/consultations-and-policy-initiatives/active-policy-development/review-of-policy-for-branches-of-overseas-banks</w:t>
        </w:r>
      </w:hyperlink>
      <w:r w:rsidRPr="000B5627">
        <w:t>.</w:t>
      </w:r>
    </w:p>
  </w:footnote>
  <w:footnote w:id="390">
    <w:p w14:paraId="4F26568E" w14:textId="77777777" w:rsidR="00120717" w:rsidRPr="000B5627" w:rsidRDefault="00120717" w:rsidP="00577FB2">
      <w:pPr>
        <w:pStyle w:val="FootnoteText"/>
      </w:pPr>
      <w:r w:rsidRPr="000B5627">
        <w:rPr>
          <w:rStyle w:val="FootnoteReference"/>
        </w:rPr>
        <w:footnoteRef/>
      </w:r>
      <w:r w:rsidRPr="000B5627">
        <w:t xml:space="preserve"> RBNZ, </w:t>
      </w:r>
      <w:r w:rsidRPr="00220A2F">
        <w:rPr>
          <w:i/>
          <w:iCs/>
        </w:rPr>
        <w:t>Issuer Credit Ratings</w:t>
      </w:r>
      <w:r w:rsidRPr="000B5627">
        <w:t xml:space="preserve">. Viewed at: </w:t>
      </w:r>
      <w:hyperlink r:id="rId188" w:history="1">
        <w:r w:rsidRPr="000B5627">
          <w:rPr>
            <w:rStyle w:val="Hyperlink"/>
          </w:rPr>
          <w:t>https://bankdashboard.rbnz.govt.nz/summary</w:t>
        </w:r>
      </w:hyperlink>
      <w:r w:rsidRPr="000B5627">
        <w:t>.</w:t>
      </w:r>
    </w:p>
  </w:footnote>
  <w:footnote w:id="391">
    <w:p w14:paraId="0CD36559" w14:textId="77777777" w:rsidR="00120717" w:rsidRPr="000B5627" w:rsidRDefault="00120717">
      <w:pPr>
        <w:pStyle w:val="FootnoteText"/>
      </w:pPr>
      <w:r w:rsidRPr="000B5627">
        <w:rPr>
          <w:rStyle w:val="FootnoteReference"/>
        </w:rPr>
        <w:footnoteRef/>
      </w:r>
      <w:r w:rsidRPr="000B5627">
        <w:t xml:space="preserve"> All figures exclude Lloyd's.</w:t>
      </w:r>
    </w:p>
  </w:footnote>
  <w:footnote w:id="392">
    <w:p w14:paraId="24E3C00E" w14:textId="77777777" w:rsidR="00120717" w:rsidRPr="000B5627" w:rsidRDefault="00120717">
      <w:pPr>
        <w:pStyle w:val="FootnoteText"/>
      </w:pPr>
      <w:r w:rsidRPr="000B5627">
        <w:rPr>
          <w:rStyle w:val="FootnoteReference"/>
        </w:rPr>
        <w:footnoteRef/>
      </w:r>
      <w:r w:rsidRPr="000B5627">
        <w:t xml:space="preserve"> At fiscal year-end 30 June 2021, New Zealand government bonds outstanding accounted for 37% of</w:t>
      </w:r>
      <w:r>
        <w:t> </w:t>
      </w:r>
      <w:r w:rsidRPr="000B5627">
        <w:t>GDP.</w:t>
      </w:r>
    </w:p>
  </w:footnote>
  <w:footnote w:id="393">
    <w:p w14:paraId="504B9FD1" w14:textId="77777777" w:rsidR="00120717" w:rsidRPr="000B5627" w:rsidRDefault="00120717" w:rsidP="00915E27">
      <w:pPr>
        <w:pStyle w:val="FootnoteText"/>
      </w:pPr>
      <w:r w:rsidRPr="000B5627">
        <w:rPr>
          <w:rStyle w:val="FootnoteReference"/>
        </w:rPr>
        <w:footnoteRef/>
      </w:r>
      <w:r w:rsidRPr="000B5627">
        <w:t xml:space="preserve"> IMF (2017), </w:t>
      </w:r>
      <w:r w:rsidRPr="000B5627">
        <w:rPr>
          <w:i/>
          <w:iCs/>
        </w:rPr>
        <w:t>New Zealand: Financial Sector Assessment Program</w:t>
      </w:r>
      <w:r w:rsidRPr="000B5627">
        <w:t xml:space="preserve">. Viewed at: </w:t>
      </w:r>
      <w:hyperlink r:id="rId189" w:history="1">
        <w:r w:rsidRPr="000B5627">
          <w:rPr>
            <w:rStyle w:val="Hyperlink"/>
          </w:rPr>
          <w:t>https://www.imf.org/en/Publications/CR/Issues/2017/05/08/New-Zealand-Financial-Sector-Assessment-Program-Financial-System-Stability-Assessment-44886</w:t>
        </w:r>
      </w:hyperlink>
      <w:r w:rsidRPr="000B5627">
        <w:t>.</w:t>
      </w:r>
    </w:p>
  </w:footnote>
  <w:footnote w:id="394">
    <w:p w14:paraId="003F00C0" w14:textId="77777777" w:rsidR="00120717" w:rsidRPr="000B5627" w:rsidRDefault="00120717" w:rsidP="006924D7">
      <w:pPr>
        <w:pStyle w:val="FootnoteText"/>
      </w:pPr>
      <w:r w:rsidRPr="000B5627">
        <w:rPr>
          <w:rStyle w:val="FootnoteReference"/>
        </w:rPr>
        <w:footnoteRef/>
      </w:r>
      <w:r w:rsidRPr="000B5627">
        <w:t xml:space="preserve"> MBIE, </w:t>
      </w:r>
      <w:r w:rsidRPr="00220A2F">
        <w:rPr>
          <w:i/>
          <w:iCs/>
        </w:rPr>
        <w:t>Regulations to Support the Financial Services Legislation Amendment Act</w:t>
      </w:r>
      <w:r w:rsidRPr="000B5627">
        <w:t xml:space="preserve">. Viewed at: </w:t>
      </w:r>
      <w:hyperlink r:id="rId190" w:history="1">
        <w:r w:rsidRPr="000B5627">
          <w:rPr>
            <w:rStyle w:val="Hyperlink"/>
          </w:rPr>
          <w:t>https://www.mbie.govt.nz/business-and-employment/business/financial-markets-regulation/regulation-of-financial-advice/regulations-to-support-the-financial-services-legislation-amendment-act/</w:t>
        </w:r>
      </w:hyperlink>
      <w:r w:rsidRPr="000B5627">
        <w:t>.</w:t>
      </w:r>
    </w:p>
  </w:footnote>
  <w:footnote w:id="395">
    <w:p w14:paraId="0C0C87D7" w14:textId="77777777" w:rsidR="00120717" w:rsidRPr="000B5627" w:rsidRDefault="00120717" w:rsidP="006924D7">
      <w:pPr>
        <w:pStyle w:val="FootnoteText"/>
      </w:pPr>
      <w:r w:rsidRPr="000B5627">
        <w:rPr>
          <w:rStyle w:val="FootnoteReference"/>
        </w:rPr>
        <w:footnoteRef/>
      </w:r>
      <w:r w:rsidRPr="000B5627">
        <w:t xml:space="preserve"> FMA, </w:t>
      </w:r>
      <w:r w:rsidRPr="00220A2F">
        <w:rPr>
          <w:i/>
          <w:iCs/>
        </w:rPr>
        <w:t>About the New Financial Advice Regime</w:t>
      </w:r>
      <w:r w:rsidRPr="000B5627">
        <w:t xml:space="preserve">. Viewed at: </w:t>
      </w:r>
      <w:hyperlink r:id="rId191" w:history="1">
        <w:r w:rsidRPr="000B5627">
          <w:rPr>
            <w:rStyle w:val="Hyperlink"/>
          </w:rPr>
          <w:t>https://www.fma.govt.nz/compliance/role/fap-new-regime/about-the-changes/</w:t>
        </w:r>
      </w:hyperlink>
      <w:r w:rsidRPr="000B5627">
        <w:t>.</w:t>
      </w:r>
    </w:p>
  </w:footnote>
  <w:footnote w:id="396">
    <w:p w14:paraId="57C3FE86" w14:textId="77777777" w:rsidR="00120717" w:rsidRPr="000B5627" w:rsidRDefault="00120717" w:rsidP="006924D7">
      <w:pPr>
        <w:pStyle w:val="FootnoteText"/>
      </w:pPr>
      <w:r w:rsidRPr="000B5627">
        <w:rPr>
          <w:rStyle w:val="FootnoteReference"/>
        </w:rPr>
        <w:footnoteRef/>
      </w:r>
      <w:r w:rsidRPr="000B5627">
        <w:t xml:space="preserve"> MBIE, </w:t>
      </w:r>
      <w:r w:rsidRPr="00220A2F">
        <w:rPr>
          <w:i/>
          <w:iCs/>
        </w:rPr>
        <w:t>International Financial Reforms</w:t>
      </w:r>
      <w:r w:rsidRPr="000B5627">
        <w:t xml:space="preserve">. Viewed at: </w:t>
      </w:r>
      <w:hyperlink r:id="rId192" w:history="1">
        <w:r w:rsidRPr="000B5627">
          <w:rPr>
            <w:rStyle w:val="Hyperlink"/>
          </w:rPr>
          <w:t>https://www.mbie.govt.nz/business-and-employment/business/financial-markets-regulation/international-financial-reforms/</w:t>
        </w:r>
      </w:hyperlink>
      <w:r w:rsidRPr="000B5627">
        <w:t>.</w:t>
      </w:r>
    </w:p>
  </w:footnote>
  <w:footnote w:id="397">
    <w:p w14:paraId="15084479" w14:textId="77777777" w:rsidR="00120717" w:rsidRPr="000B5627" w:rsidRDefault="00120717" w:rsidP="00E07774">
      <w:pPr>
        <w:pStyle w:val="FootnoteText"/>
      </w:pPr>
      <w:r w:rsidRPr="000B5627">
        <w:rPr>
          <w:rStyle w:val="FootnoteReference"/>
        </w:rPr>
        <w:footnoteRef/>
      </w:r>
      <w:r w:rsidRPr="000B5627">
        <w:t xml:space="preserve"> Commerce Commission (2021), </w:t>
      </w:r>
      <w:bookmarkStart w:id="248" w:name="_Hlk86851835"/>
      <w:r w:rsidRPr="00220A2F">
        <w:rPr>
          <w:i/>
          <w:iCs/>
        </w:rPr>
        <w:t xml:space="preserve">Annual Telecommunications Monitoring Report: </w:t>
      </w:r>
      <w:bookmarkEnd w:id="248"/>
      <w:r w:rsidRPr="00220A2F">
        <w:rPr>
          <w:i/>
          <w:iCs/>
        </w:rPr>
        <w:t>2020 Key Facts</w:t>
      </w:r>
      <w:r w:rsidRPr="000B5627">
        <w:t xml:space="preserve">. Viewed at: </w:t>
      </w:r>
      <w:hyperlink r:id="rId193" w:history="1">
        <w:r w:rsidRPr="000B5627">
          <w:rPr>
            <w:rStyle w:val="Hyperlink"/>
          </w:rPr>
          <w:t>https://comcom.govt.nz/__data/assets/pdf_file/0030/247377/2020-Annual-Telecommunications-Monitoring-Report-Revised-version-16-March-2021.pdf</w:t>
        </w:r>
      </w:hyperlink>
      <w:r w:rsidRPr="000B5627">
        <w:t>.</w:t>
      </w:r>
    </w:p>
  </w:footnote>
  <w:footnote w:id="398">
    <w:p w14:paraId="79378C6D" w14:textId="77777777" w:rsidR="00120717" w:rsidRPr="000B5627" w:rsidRDefault="00120717">
      <w:pPr>
        <w:pStyle w:val="FootnoteText"/>
      </w:pPr>
      <w:r w:rsidRPr="000B5627">
        <w:rPr>
          <w:rStyle w:val="FootnoteReference"/>
        </w:rPr>
        <w:footnoteRef/>
      </w:r>
      <w:r w:rsidRPr="000B5627">
        <w:t xml:space="preserve"> Commerce Commission, </w:t>
      </w:r>
      <w:r w:rsidRPr="00220A2F">
        <w:rPr>
          <w:i/>
          <w:iCs/>
        </w:rPr>
        <w:t>Copper Withdrawal Code</w:t>
      </w:r>
      <w:r w:rsidRPr="000B5627">
        <w:t xml:space="preserve">. Viewed at: </w:t>
      </w:r>
      <w:hyperlink r:id="rId194" w:history="1">
        <w:r w:rsidRPr="000B5627">
          <w:rPr>
            <w:rStyle w:val="Hyperlink"/>
          </w:rPr>
          <w:t>https://comcom.govt.nz/regulated-industries/telecommunications/projects/copper-withdrawal-code</w:t>
        </w:r>
      </w:hyperlink>
      <w:r w:rsidRPr="000B5627">
        <w:t>.</w:t>
      </w:r>
    </w:p>
  </w:footnote>
  <w:footnote w:id="399">
    <w:p w14:paraId="631333D2" w14:textId="77777777" w:rsidR="00120717" w:rsidRPr="000B5627" w:rsidRDefault="00120717" w:rsidP="00A3606C">
      <w:pPr>
        <w:pStyle w:val="FootnoteText"/>
      </w:pPr>
      <w:r w:rsidRPr="000B5627">
        <w:rPr>
          <w:rStyle w:val="FootnoteReference"/>
        </w:rPr>
        <w:footnoteRef/>
      </w:r>
      <w:r w:rsidRPr="000B5627">
        <w:t xml:space="preserve"> Commerce Commission (2021), </w:t>
      </w:r>
      <w:r w:rsidRPr="00220A2F">
        <w:rPr>
          <w:i/>
          <w:iCs/>
        </w:rPr>
        <w:t>Annual Telecommunications Monitoring Report: 2020 Key Facts</w:t>
      </w:r>
      <w:r w:rsidRPr="000B5627">
        <w:t xml:space="preserve">. Viewed at: </w:t>
      </w:r>
      <w:hyperlink r:id="rId195" w:history="1">
        <w:r w:rsidRPr="000B5627">
          <w:rPr>
            <w:rStyle w:val="Hyperlink"/>
          </w:rPr>
          <w:t>https://comcom.govt.nz/__data/assets/pdf_file/0030/247377/2020-Annual-Telecommunications-Monitoring-Report-Revised-version-16-March-2021.pdf</w:t>
        </w:r>
      </w:hyperlink>
      <w:r w:rsidRPr="000B5627">
        <w:t>.</w:t>
      </w:r>
    </w:p>
  </w:footnote>
  <w:footnote w:id="400">
    <w:p w14:paraId="72B7F3CD" w14:textId="77777777" w:rsidR="00120717" w:rsidRPr="000B5627" w:rsidRDefault="00120717" w:rsidP="00D350D2">
      <w:pPr>
        <w:pStyle w:val="FootnoteText"/>
      </w:pPr>
      <w:r w:rsidRPr="000B5627">
        <w:rPr>
          <w:rStyle w:val="FootnoteReference"/>
        </w:rPr>
        <w:footnoteRef/>
      </w:r>
      <w:r w:rsidRPr="000B5627">
        <w:t xml:space="preserve"> Spark is a publicly listed company on the New Zealand and Australian stock exchanges; Vodafone is 50% owned by New Zealand company Infratil and 50% by Canadian company Brookfield Asset Management. 2degrees is 51.1% owned by Trilogy International, a Canadian-listed, American-based wireless telecommunications business, and 49.9% owned by a Dutch company, Tesbrit BV.</w:t>
      </w:r>
    </w:p>
  </w:footnote>
  <w:footnote w:id="401">
    <w:p w14:paraId="1610EA9F" w14:textId="77777777" w:rsidR="00120717" w:rsidRPr="000B5627" w:rsidRDefault="00120717" w:rsidP="00C25447">
      <w:pPr>
        <w:pStyle w:val="FootnoteText"/>
        <w:rPr>
          <w:szCs w:val="16"/>
        </w:rPr>
      </w:pPr>
      <w:r w:rsidRPr="000B5627">
        <w:rPr>
          <w:rStyle w:val="FootnoteReference"/>
          <w:szCs w:val="16"/>
        </w:rPr>
        <w:footnoteRef/>
      </w:r>
      <w:r w:rsidRPr="000B5627">
        <w:rPr>
          <w:szCs w:val="16"/>
        </w:rPr>
        <w:t xml:space="preserve"> Radio Spectrum Management, </w:t>
      </w:r>
      <w:r w:rsidRPr="00220A2F">
        <w:rPr>
          <w:i/>
          <w:iCs/>
          <w:szCs w:val="16"/>
        </w:rPr>
        <w:t>Five-Year Spectrum Outlook 2022-2026</w:t>
      </w:r>
      <w:r w:rsidRPr="000B5627">
        <w:rPr>
          <w:szCs w:val="16"/>
        </w:rPr>
        <w:t>. Viewed at:</w:t>
      </w:r>
    </w:p>
    <w:p w14:paraId="2205A603" w14:textId="77777777" w:rsidR="00120717" w:rsidRPr="000B5627" w:rsidRDefault="0012793B" w:rsidP="00C25447">
      <w:pPr>
        <w:rPr>
          <w:sz w:val="16"/>
          <w:szCs w:val="16"/>
        </w:rPr>
      </w:pPr>
      <w:hyperlink r:id="rId196" w:history="1">
        <w:r w:rsidR="00120717" w:rsidRPr="000B5627">
          <w:rPr>
            <w:rStyle w:val="Hyperlink"/>
            <w:sz w:val="16"/>
            <w:szCs w:val="16"/>
          </w:rPr>
          <w:t>https://www.rsm.govt.nz/projects-and-auctions/consultations/five-year-spectrum-outlook-2022-2026/</w:t>
        </w:r>
      </w:hyperlink>
      <w:r w:rsidR="00120717" w:rsidRPr="000B5627">
        <w:rPr>
          <w:sz w:val="16"/>
          <w:szCs w:val="16"/>
        </w:rPr>
        <w:t>.</w:t>
      </w:r>
    </w:p>
  </w:footnote>
  <w:footnote w:id="402">
    <w:p w14:paraId="4DBE892C" w14:textId="77777777" w:rsidR="00120717" w:rsidRPr="000B5627" w:rsidRDefault="00120717" w:rsidP="00E07774">
      <w:pPr>
        <w:pStyle w:val="FootnoteText"/>
      </w:pPr>
      <w:r w:rsidRPr="000B5627">
        <w:rPr>
          <w:rStyle w:val="FootnoteReference"/>
        </w:rPr>
        <w:footnoteRef/>
      </w:r>
      <w:r w:rsidRPr="000B5627">
        <w:t xml:space="preserve"> Commerce Commission (2019),</w:t>
      </w:r>
      <w:r w:rsidRPr="000B5627">
        <w:rPr>
          <w:rFonts w:eastAsiaTheme="minorHAnsi" w:cstheme="minorBidi"/>
          <w:szCs w:val="16"/>
          <w:lang w:eastAsia="en-US"/>
        </w:rPr>
        <w:t xml:space="preserve"> </w:t>
      </w:r>
      <w:r w:rsidRPr="00220A2F">
        <w:rPr>
          <w:i/>
          <w:iCs/>
        </w:rPr>
        <w:t>Mobile Market Study</w:t>
      </w:r>
      <w:r w:rsidRPr="000B5627">
        <w:t xml:space="preserve">. Viewed at: </w:t>
      </w:r>
      <w:hyperlink r:id="rId197" w:history="1">
        <w:r w:rsidRPr="000B5627">
          <w:rPr>
            <w:rStyle w:val="Hyperlink"/>
          </w:rPr>
          <w:t>https://comcom.govt.nz/__data/assets/pdf_file/0022/177331/Mobile-Market-Study-Findings-report-26-September-2019.PDF</w:t>
        </w:r>
      </w:hyperlink>
      <w:r w:rsidRPr="000B5627">
        <w:t>.</w:t>
      </w:r>
    </w:p>
  </w:footnote>
  <w:footnote w:id="403">
    <w:p w14:paraId="21A12CC9" w14:textId="77777777" w:rsidR="00120717" w:rsidRPr="000B5627" w:rsidRDefault="00120717" w:rsidP="00E07774">
      <w:pPr>
        <w:pStyle w:val="FootnoteText"/>
      </w:pPr>
      <w:r w:rsidRPr="000B5627">
        <w:rPr>
          <w:rStyle w:val="FootnoteReference"/>
        </w:rPr>
        <w:footnoteRef/>
      </w:r>
      <w:r w:rsidRPr="000B5627">
        <w:t xml:space="preserve"> MBIE, </w:t>
      </w:r>
      <w:r w:rsidRPr="00220A2F">
        <w:rPr>
          <w:i/>
          <w:iCs/>
        </w:rPr>
        <w:t>Fast Broadband Policy and Regulation</w:t>
      </w:r>
      <w:r w:rsidRPr="000B5627">
        <w:t xml:space="preserve">. Viewed at: </w:t>
      </w:r>
      <w:hyperlink r:id="rId198" w:history="1">
        <w:r w:rsidRPr="000B5627">
          <w:rPr>
            <w:rStyle w:val="Hyperlink"/>
          </w:rPr>
          <w:t>https://www.mbie.govt.nz/science-and-technology/it-communications-and-broadband/fast-broadband/policy-and-regulation/</w:t>
        </w:r>
      </w:hyperlink>
      <w:r w:rsidRPr="000B5627">
        <w:t>.</w:t>
      </w:r>
    </w:p>
  </w:footnote>
  <w:footnote w:id="404">
    <w:p w14:paraId="3F3FDFA7" w14:textId="77777777" w:rsidR="00120717" w:rsidRPr="000B5627" w:rsidRDefault="00120717" w:rsidP="00E07774">
      <w:pPr>
        <w:pStyle w:val="FootnoteText"/>
      </w:pPr>
      <w:r w:rsidRPr="000B5627">
        <w:rPr>
          <w:rStyle w:val="FootnoteReference"/>
        </w:rPr>
        <w:footnoteRef/>
      </w:r>
      <w:r w:rsidRPr="000B5627">
        <w:t xml:space="preserve"> MBIE, </w:t>
      </w:r>
      <w:r w:rsidRPr="00220A2F">
        <w:rPr>
          <w:i/>
          <w:iCs/>
        </w:rPr>
        <w:t>Fibre Regulatory Framework</w:t>
      </w:r>
      <w:r w:rsidRPr="000B5627">
        <w:t xml:space="preserve">. Viewed at: </w:t>
      </w:r>
      <w:hyperlink r:id="rId199" w:history="1">
        <w:r w:rsidRPr="000B5627">
          <w:rPr>
            <w:rStyle w:val="Hyperlink"/>
          </w:rPr>
          <w:t>https://www.mbie.govt.nz/science-and-technology/it-communications-and-broadband/our-role-in-the-ict-sector/fibre-regulatory-framework/</w:t>
        </w:r>
      </w:hyperlink>
      <w:r w:rsidRPr="000B5627">
        <w:t>.</w:t>
      </w:r>
    </w:p>
  </w:footnote>
  <w:footnote w:id="405">
    <w:p w14:paraId="1073F232" w14:textId="77777777" w:rsidR="00120717" w:rsidRPr="000B5627" w:rsidRDefault="00120717" w:rsidP="00E07774">
      <w:pPr>
        <w:pStyle w:val="FootnoteText"/>
      </w:pPr>
      <w:r w:rsidRPr="000B5627">
        <w:rPr>
          <w:rStyle w:val="FootnoteReference"/>
        </w:rPr>
        <w:footnoteRef/>
      </w:r>
      <w:r w:rsidRPr="000B5627">
        <w:t xml:space="preserve"> CIP, </w:t>
      </w:r>
      <w:r w:rsidRPr="00220A2F">
        <w:rPr>
          <w:i/>
          <w:iCs/>
        </w:rPr>
        <w:t>What Is the Mobile Black Spots Fund (MBSF)?</w:t>
      </w:r>
      <w:r w:rsidRPr="000B5627">
        <w:t xml:space="preserve"> Viewed at: </w:t>
      </w:r>
      <w:hyperlink r:id="rId200" w:history="1">
        <w:r w:rsidRPr="000B5627">
          <w:rPr>
            <w:rStyle w:val="Hyperlink"/>
          </w:rPr>
          <w:t>https://www.crowninfrastructure.govt.nz/blackspots/what/</w:t>
        </w:r>
      </w:hyperlink>
      <w:r w:rsidRPr="000B5627">
        <w:t>.</w:t>
      </w:r>
    </w:p>
  </w:footnote>
  <w:footnote w:id="406">
    <w:p w14:paraId="4B1F2A8D" w14:textId="77777777" w:rsidR="00120717" w:rsidRPr="000B5627" w:rsidRDefault="00120717" w:rsidP="00E07774">
      <w:pPr>
        <w:pStyle w:val="FootnoteText"/>
      </w:pPr>
      <w:r w:rsidRPr="000B5627">
        <w:rPr>
          <w:rStyle w:val="FootnoteReference"/>
        </w:rPr>
        <w:footnoteRef/>
      </w:r>
      <w:r w:rsidRPr="000B5627">
        <w:t xml:space="preserve"> MBIE, </w:t>
      </w:r>
      <w:r w:rsidRPr="000B5627">
        <w:rPr>
          <w:i/>
          <w:iCs/>
        </w:rPr>
        <w:t>Broadband and Mobile Programmes</w:t>
      </w:r>
      <w:r w:rsidRPr="000B5627">
        <w:t xml:space="preserve">. Viewed at: </w:t>
      </w:r>
      <w:hyperlink r:id="rId201" w:history="1">
        <w:r w:rsidRPr="000B5627">
          <w:rPr>
            <w:rStyle w:val="Hyperlink"/>
          </w:rPr>
          <w:t>https://www.mbie.govt.nz/science-and-technology/it-communications-and-broadband/fast-broadband/broadband-and-mobile-programmes/</w:t>
        </w:r>
      </w:hyperlink>
      <w:r w:rsidRPr="000B5627">
        <w:t>.</w:t>
      </w:r>
    </w:p>
  </w:footnote>
  <w:footnote w:id="407">
    <w:p w14:paraId="05B03A85" w14:textId="77777777" w:rsidR="00120717" w:rsidRPr="000B5627" w:rsidRDefault="00120717" w:rsidP="00E07774">
      <w:pPr>
        <w:pStyle w:val="FootnoteText"/>
      </w:pPr>
      <w:r w:rsidRPr="000B5627">
        <w:rPr>
          <w:rStyle w:val="FootnoteReference"/>
        </w:rPr>
        <w:footnoteRef/>
      </w:r>
      <w:r w:rsidRPr="000B5627">
        <w:t xml:space="preserve"> The agencies managing the Government's investment in ultra-fast broadband.</w:t>
      </w:r>
    </w:p>
  </w:footnote>
  <w:footnote w:id="408">
    <w:p w14:paraId="54C1A4E1" w14:textId="77777777" w:rsidR="00120717" w:rsidRPr="000B5627" w:rsidRDefault="00120717" w:rsidP="00D350D2">
      <w:pPr>
        <w:pStyle w:val="FootnoteText"/>
      </w:pPr>
      <w:r w:rsidRPr="000B5627">
        <w:rPr>
          <w:rStyle w:val="FootnoteReference"/>
        </w:rPr>
        <w:footnoteRef/>
      </w:r>
      <w:r w:rsidRPr="000B5627">
        <w:t xml:space="preserve"> Digital Government New Zealand, </w:t>
      </w:r>
      <w:r w:rsidRPr="00220A2F">
        <w:rPr>
          <w:i/>
          <w:iCs/>
        </w:rPr>
        <w:t>The Digital Inclusion Blueprint</w:t>
      </w:r>
      <w:r w:rsidRPr="000B5627">
        <w:t xml:space="preserve">. Viewed at: </w:t>
      </w:r>
      <w:hyperlink r:id="rId202" w:history="1">
        <w:r w:rsidRPr="000B5627">
          <w:rPr>
            <w:rStyle w:val="Hyperlink"/>
          </w:rPr>
          <w:t>https://www.digital.govt.nz/dmsdocument/113-digital-inclusion-blueprint-te-mahere-mo-te-whakaurunga-matihiko/html</w:t>
        </w:r>
      </w:hyperlink>
      <w:r w:rsidRPr="000B5627">
        <w:t>.</w:t>
      </w:r>
    </w:p>
  </w:footnote>
  <w:footnote w:id="409">
    <w:p w14:paraId="23DF3E28" w14:textId="77777777" w:rsidR="00120717" w:rsidRPr="000B5627" w:rsidRDefault="00120717" w:rsidP="00E07774">
      <w:pPr>
        <w:pStyle w:val="FootnoteText"/>
      </w:pPr>
      <w:r w:rsidRPr="000B5627">
        <w:rPr>
          <w:rStyle w:val="FootnoteReference"/>
        </w:rPr>
        <w:footnoteRef/>
      </w:r>
      <w:r w:rsidRPr="000B5627">
        <w:t xml:space="preserve"> CERT NZ, </w:t>
      </w:r>
      <w:r w:rsidRPr="00220A2F">
        <w:rPr>
          <w:i/>
          <w:iCs/>
        </w:rPr>
        <w:t>2020 Report Summary</w:t>
      </w:r>
      <w:r w:rsidRPr="000B5627">
        <w:t xml:space="preserve">. Viewed at: </w:t>
      </w:r>
      <w:hyperlink r:id="rId203" w:history="1">
        <w:r w:rsidRPr="000B5627">
          <w:rPr>
            <w:rStyle w:val="Hyperlink"/>
          </w:rPr>
          <w:t>https://www.cert.govt.nz/about/quarterly-report/2020-report-summary/</w:t>
        </w:r>
      </w:hyperlink>
      <w:r w:rsidRPr="000B5627">
        <w:t>.</w:t>
      </w:r>
    </w:p>
  </w:footnote>
  <w:footnote w:id="410">
    <w:p w14:paraId="46604605" w14:textId="77777777" w:rsidR="00120717" w:rsidRPr="000B5627" w:rsidRDefault="00120717" w:rsidP="00E07774">
      <w:pPr>
        <w:pStyle w:val="FootnoteText"/>
      </w:pPr>
      <w:r w:rsidRPr="000B5627">
        <w:rPr>
          <w:rStyle w:val="FootnoteReference"/>
        </w:rPr>
        <w:footnoteRef/>
      </w:r>
      <w:r w:rsidRPr="000B5627">
        <w:t xml:space="preserve"> New Zealand Government (2019), </w:t>
      </w:r>
      <w:r w:rsidRPr="00220A2F">
        <w:rPr>
          <w:i/>
          <w:iCs/>
        </w:rPr>
        <w:t>New</w:t>
      </w:r>
      <w:r>
        <w:rPr>
          <w:i/>
          <w:iCs/>
        </w:rPr>
        <w:t> Zealand</w:t>
      </w:r>
      <w:r w:rsidRPr="00220A2F">
        <w:rPr>
          <w:i/>
          <w:iCs/>
        </w:rPr>
        <w:t>'s Cybersecurity Strategy 2019</w:t>
      </w:r>
      <w:r w:rsidRPr="000B5627">
        <w:t xml:space="preserve">. Viewed at: </w:t>
      </w:r>
      <w:hyperlink r:id="rId204" w:history="1">
        <w:r w:rsidRPr="000B5627">
          <w:rPr>
            <w:rStyle w:val="Hyperlink"/>
          </w:rPr>
          <w:t>https://dpmc.govt.nz/sites/default/files/2019-07/Cyber%20Security%20Strategy.pdf</w:t>
        </w:r>
      </w:hyperlink>
      <w:r w:rsidRPr="000B5627">
        <w:t>.</w:t>
      </w:r>
    </w:p>
  </w:footnote>
  <w:footnote w:id="411">
    <w:p w14:paraId="766AFE36" w14:textId="77777777" w:rsidR="00120717" w:rsidRPr="000B5627" w:rsidRDefault="00120717">
      <w:pPr>
        <w:pStyle w:val="FootnoteText"/>
      </w:pPr>
      <w:r w:rsidRPr="000B5627">
        <w:rPr>
          <w:rStyle w:val="FootnoteReference"/>
        </w:rPr>
        <w:footnoteRef/>
      </w:r>
      <w:r w:rsidRPr="000B5627">
        <w:t xml:space="preserve"> National Cyber Security Centre, </w:t>
      </w:r>
      <w:r w:rsidRPr="00220A2F">
        <w:rPr>
          <w:i/>
          <w:iCs/>
        </w:rPr>
        <w:t>Telecommunications (Interception Capability and Security) Act 2013</w:t>
      </w:r>
      <w:r w:rsidRPr="000B5627">
        <w:t xml:space="preserve">. Viewed at: </w:t>
      </w:r>
      <w:hyperlink r:id="rId205" w:history="1">
        <w:r w:rsidRPr="000B5627">
          <w:rPr>
            <w:rStyle w:val="Hyperlink"/>
          </w:rPr>
          <w:t>https://www.ncsc.govt.nz/ticsa/</w:t>
        </w:r>
      </w:hyperlink>
      <w:r w:rsidRPr="000B5627">
        <w:t>.</w:t>
      </w:r>
    </w:p>
  </w:footnote>
  <w:footnote w:id="412">
    <w:p w14:paraId="01A75A01" w14:textId="77777777" w:rsidR="00120717" w:rsidRPr="000B5627" w:rsidRDefault="00120717">
      <w:pPr>
        <w:pStyle w:val="FootnoteText"/>
        <w:rPr>
          <w:rStyle w:val="Hyperlink"/>
        </w:rPr>
      </w:pPr>
      <w:r w:rsidRPr="000B5627">
        <w:rPr>
          <w:rStyle w:val="FootnoteReference"/>
        </w:rPr>
        <w:footnoteRef/>
      </w:r>
      <w:r w:rsidRPr="000B5627">
        <w:t xml:space="preserve"> New Zealand Government, </w:t>
      </w:r>
      <w:r w:rsidRPr="00220A2F">
        <w:rPr>
          <w:i/>
          <w:iCs/>
        </w:rPr>
        <w:t>Towards a Digital Strategy for Aotearoa</w:t>
      </w:r>
      <w:r w:rsidRPr="000B5627">
        <w:t>. V</w:t>
      </w:r>
      <w:hyperlink w:history="1"/>
      <w:r w:rsidRPr="000B5627">
        <w:t xml:space="preserve">iewed at: </w:t>
      </w:r>
      <w:hyperlink r:id="rId206" w:history="1">
        <w:r w:rsidRPr="000B5627">
          <w:rPr>
            <w:rStyle w:val="Hyperlink"/>
          </w:rPr>
          <w:t>https://www.digital.govt.nz/assets/Digital-government/Strategy/Towards-a-Digital-Strategy-for-Aotearoa-discussion-document.pdf</w:t>
        </w:r>
      </w:hyperlink>
      <w:r w:rsidRPr="000B5627">
        <w:rPr>
          <w:rStyle w:val="Hyperlink"/>
        </w:rPr>
        <w:t xml:space="preserve"> </w:t>
      </w:r>
    </w:p>
  </w:footnote>
  <w:footnote w:id="413">
    <w:p w14:paraId="0C34798F" w14:textId="77777777" w:rsidR="00120717" w:rsidRPr="000B5627" w:rsidRDefault="00120717" w:rsidP="00E07774">
      <w:pPr>
        <w:pStyle w:val="FootnoteText"/>
      </w:pPr>
      <w:r w:rsidRPr="000B5627">
        <w:rPr>
          <w:rStyle w:val="FootnoteReference"/>
        </w:rPr>
        <w:footnoteRef/>
      </w:r>
      <w:r w:rsidRPr="000B5627">
        <w:t xml:space="preserve"> New Zealand Legislation, Privacy Act 2020. Viewed at: </w:t>
      </w:r>
      <w:hyperlink r:id="rId207" w:anchor="LMS23417" w:history="1">
        <w:r w:rsidRPr="000B5627">
          <w:rPr>
            <w:rStyle w:val="Hyperlink"/>
          </w:rPr>
          <w:t>https://www.legislation.govt.nz/act/public/2020/0031/latest/LMS23223.html?search=ts_act%40bill%40regulation%40deemedreg_privacy_resel_25_a&amp;p=1#LMS23417</w:t>
        </w:r>
      </w:hyperlink>
      <w:r w:rsidRPr="000B5627">
        <w:t>.</w:t>
      </w:r>
    </w:p>
  </w:footnote>
  <w:footnote w:id="414">
    <w:p w14:paraId="54282855" w14:textId="77777777" w:rsidR="00120717" w:rsidRPr="000B5627" w:rsidRDefault="00120717" w:rsidP="00C11B39">
      <w:pPr>
        <w:pStyle w:val="FootnoteText"/>
      </w:pPr>
      <w:r w:rsidRPr="000B5627">
        <w:rPr>
          <w:rStyle w:val="FootnoteReference"/>
        </w:rPr>
        <w:footnoteRef/>
      </w:r>
      <w:r w:rsidRPr="000B5627">
        <w:t xml:space="preserve"> MBIE (2019), Transport Fact Sheet. Viewed at: </w:t>
      </w:r>
      <w:hyperlink r:id="rId208" w:history="1">
        <w:r w:rsidRPr="000B5627">
          <w:rPr>
            <w:rStyle w:val="Hyperlink"/>
          </w:rPr>
          <w:t>https://www.mbie.govt.nz/assets/transport-factsheet.pdf</w:t>
        </w:r>
      </w:hyperlink>
      <w:r w:rsidRPr="000B5627">
        <w:t>.</w:t>
      </w:r>
    </w:p>
  </w:footnote>
  <w:footnote w:id="415">
    <w:p w14:paraId="23A031DD" w14:textId="77777777" w:rsidR="00120717" w:rsidRPr="000B5627" w:rsidRDefault="00120717" w:rsidP="00C11B39">
      <w:pPr>
        <w:pStyle w:val="FootnoteText"/>
      </w:pPr>
      <w:r w:rsidRPr="000B5627">
        <w:rPr>
          <w:rStyle w:val="FootnoteReference"/>
        </w:rPr>
        <w:footnoteRef/>
      </w:r>
      <w:r w:rsidRPr="000B5627">
        <w:t xml:space="preserve"> Ministry of Transport (2012), </w:t>
      </w:r>
      <w:r w:rsidRPr="00220A2F">
        <w:rPr>
          <w:i/>
          <w:iCs/>
        </w:rPr>
        <w:t>National Airspace Policy of New</w:t>
      </w:r>
      <w:r>
        <w:rPr>
          <w:i/>
          <w:iCs/>
        </w:rPr>
        <w:t> Zealand</w:t>
      </w:r>
      <w:r w:rsidRPr="000B5627">
        <w:t xml:space="preserve">. Viewed at: </w:t>
      </w:r>
      <w:hyperlink r:id="rId209" w:history="1">
        <w:r w:rsidRPr="000B5627">
          <w:rPr>
            <w:rStyle w:val="Hyperlink"/>
          </w:rPr>
          <w:t>https://www.transport.govt.nz//assets/Uploads/Policy/National-Airspace-Policy-of-New-Zealand-April-2012.pdf</w:t>
        </w:r>
      </w:hyperlink>
      <w:r w:rsidRPr="000B5627">
        <w:t>.</w:t>
      </w:r>
    </w:p>
  </w:footnote>
  <w:footnote w:id="416">
    <w:p w14:paraId="53A5B982" w14:textId="77777777" w:rsidR="00120717" w:rsidRPr="000B5627" w:rsidRDefault="00120717">
      <w:pPr>
        <w:pStyle w:val="FootnoteText"/>
      </w:pPr>
      <w:r w:rsidRPr="000B5627">
        <w:rPr>
          <w:rStyle w:val="FootnoteReference"/>
        </w:rPr>
        <w:footnoteRef/>
      </w:r>
      <w:r w:rsidRPr="000B5627">
        <w:t xml:space="preserve"> Performance-based </w:t>
      </w:r>
      <w:r>
        <w:t>n</w:t>
      </w:r>
      <w:r w:rsidRPr="000B5627">
        <w:t xml:space="preserve">avigation is part of a 10-year programme to coordinate the various activities </w:t>
      </w:r>
      <w:r>
        <w:t xml:space="preserve">of </w:t>
      </w:r>
      <w:r w:rsidRPr="000B5627">
        <w:t>New Zealand's aviation-related agencies (such as Airways Corporation, the Ministry of Transport, and the New Zealand Defence Force) under the National Airspace and Air Navigation Plan to deliver safety, economic, environmental</w:t>
      </w:r>
      <w:r>
        <w:t>,</w:t>
      </w:r>
      <w:r w:rsidRPr="000B5627">
        <w:t xml:space="preserve"> and social benefits.</w:t>
      </w:r>
    </w:p>
  </w:footnote>
  <w:footnote w:id="417">
    <w:p w14:paraId="17CAA258" w14:textId="77777777" w:rsidR="00120717" w:rsidRPr="000B5627" w:rsidRDefault="00120717" w:rsidP="00B55A3D">
      <w:pPr>
        <w:pStyle w:val="FootnoteText"/>
      </w:pPr>
      <w:r w:rsidRPr="000B5627">
        <w:rPr>
          <w:rStyle w:val="FootnoteReference"/>
        </w:rPr>
        <w:footnoteRef/>
      </w:r>
      <w:r w:rsidRPr="000B5627">
        <w:t xml:space="preserve"> Aircalin, Air Tahiti Nui, Air Vanuatu, Cathay Pacific, China Airlines, China Eastern Airlines, China Southern Airlines, Emirates Airline, Federal Express, Fiji Airways, Jetstar, Korean Air, Qantas Airways, Qatar Airways, and Singapore Airlines.</w:t>
      </w:r>
    </w:p>
  </w:footnote>
  <w:footnote w:id="418">
    <w:p w14:paraId="53C2D5F2" w14:textId="77777777" w:rsidR="00120717" w:rsidRPr="000B5627" w:rsidRDefault="00120717" w:rsidP="00B55A3D">
      <w:pPr>
        <w:pStyle w:val="FootnoteText"/>
      </w:pPr>
      <w:r w:rsidRPr="000B5627">
        <w:rPr>
          <w:rStyle w:val="FootnoteReference"/>
        </w:rPr>
        <w:footnoteRef/>
      </w:r>
      <w:r w:rsidRPr="000B5627">
        <w:t xml:space="preserve"> All Nippon Airways, American Airlines, Asiana, Austrian Airlines, British Airways, EVA Airways Corporation, Finnair, Iberia, Japan Airlines, JetBlue Airways Corporation, Lufthansa, Oman Air, Scandinavian Airlines System, SriLankan Airlines, Swiss International, TATA SIA Airlines, Turkish Airlines, and United</w:t>
      </w:r>
      <w:r>
        <w:t> </w:t>
      </w:r>
      <w:r w:rsidRPr="000B5627">
        <w:t>Airlines.</w:t>
      </w:r>
    </w:p>
  </w:footnote>
  <w:footnote w:id="419">
    <w:p w14:paraId="749685CB" w14:textId="77777777" w:rsidR="00120717" w:rsidRPr="000B5627" w:rsidRDefault="00120717" w:rsidP="008F6FEF">
      <w:pPr>
        <w:pStyle w:val="FootnoteText"/>
      </w:pPr>
      <w:r w:rsidRPr="000B5627">
        <w:rPr>
          <w:rStyle w:val="FootnoteReference"/>
        </w:rPr>
        <w:footnoteRef/>
      </w:r>
      <w:r w:rsidRPr="000B5627">
        <w:t xml:space="preserve"> MBIE, </w:t>
      </w:r>
      <w:r w:rsidRPr="00220A2F">
        <w:rPr>
          <w:i/>
          <w:iCs/>
        </w:rPr>
        <w:t>Effectiveness of Information Disclosure Regulation for Airports</w:t>
      </w:r>
      <w:r w:rsidRPr="000B5627">
        <w:t xml:space="preserve">. Viewed at: </w:t>
      </w:r>
      <w:hyperlink r:id="rId210" w:history="1">
        <w:r w:rsidRPr="000B5627">
          <w:rPr>
            <w:rStyle w:val="Hyperlink"/>
          </w:rPr>
          <w:t>https://www.mbie.govt.nz/business-and-employment/business/competition-regulation-and-policy/economic-regulation-of-goods-or-services/airport-regulation/</w:t>
        </w:r>
      </w:hyperlink>
      <w:r w:rsidRPr="000B5627">
        <w:t>.</w:t>
      </w:r>
    </w:p>
  </w:footnote>
  <w:footnote w:id="420">
    <w:p w14:paraId="4D97B7A1" w14:textId="77777777" w:rsidR="00120717" w:rsidRPr="000B5627" w:rsidRDefault="00120717">
      <w:pPr>
        <w:pStyle w:val="FootnoteText"/>
      </w:pPr>
      <w:r w:rsidRPr="000B5627">
        <w:rPr>
          <w:rStyle w:val="FootnoteReference"/>
        </w:rPr>
        <w:footnoteRef/>
      </w:r>
      <w:r w:rsidRPr="000B5627">
        <w:t xml:space="preserve"> Signature/entry into force dates can be viewed at: </w:t>
      </w:r>
      <w:hyperlink r:id="rId211" w:history="1">
        <w:r w:rsidRPr="000B5627">
          <w:rPr>
            <w:rStyle w:val="Hyperlink"/>
          </w:rPr>
          <w:t>https://www.treaties.mfat.govt.nz/</w:t>
        </w:r>
      </w:hyperlink>
      <w:r w:rsidRPr="000B5627">
        <w:t>.</w:t>
      </w:r>
    </w:p>
  </w:footnote>
  <w:footnote w:id="421">
    <w:p w14:paraId="506C7121" w14:textId="77777777" w:rsidR="00120717" w:rsidRPr="000B5627" w:rsidRDefault="00120717" w:rsidP="00C11B39">
      <w:pPr>
        <w:pStyle w:val="FootnoteText"/>
      </w:pPr>
      <w:r w:rsidRPr="000B5627">
        <w:rPr>
          <w:rStyle w:val="FootnoteReference"/>
        </w:rPr>
        <w:footnoteRef/>
      </w:r>
      <w:r w:rsidRPr="000B5627">
        <w:t xml:space="preserve"> Maritime New Zealand, </w:t>
      </w:r>
      <w:r w:rsidRPr="00220A2F">
        <w:rPr>
          <w:i/>
          <w:iCs/>
        </w:rPr>
        <w:t>Legislation</w:t>
      </w:r>
      <w:r w:rsidRPr="000B5627">
        <w:rPr>
          <w:i/>
          <w:iCs/>
        </w:rPr>
        <w:t xml:space="preserve"> We Administer</w:t>
      </w:r>
      <w:r w:rsidRPr="000B5627">
        <w:t xml:space="preserve">. Viewed at: </w:t>
      </w:r>
      <w:hyperlink r:id="rId212" w:history="1">
        <w:r w:rsidRPr="000B5627">
          <w:rPr>
            <w:rStyle w:val="Hyperlink"/>
          </w:rPr>
          <w:t>https://www.maritimenz.govt.nz/about/legislation-and-regulations/legislation-we-administer.asp</w:t>
        </w:r>
      </w:hyperlink>
      <w:r w:rsidRPr="000B5627">
        <w:t>.</w:t>
      </w:r>
    </w:p>
  </w:footnote>
  <w:footnote w:id="422">
    <w:p w14:paraId="6B3CF06D" w14:textId="77777777" w:rsidR="00120717" w:rsidRPr="000B5627" w:rsidRDefault="00120717" w:rsidP="00C11B39">
      <w:pPr>
        <w:pStyle w:val="FootnoteText"/>
      </w:pPr>
      <w:r w:rsidRPr="000B5627">
        <w:rPr>
          <w:rStyle w:val="FootnoteReference"/>
        </w:rPr>
        <w:footnoteRef/>
      </w:r>
      <w:r w:rsidRPr="000B5627">
        <w:t xml:space="preserve"> </w:t>
      </w:r>
      <w:r>
        <w:t xml:space="preserve">Controller and Auditor-General (2021), </w:t>
      </w:r>
      <w:r w:rsidRPr="00220A2F">
        <w:rPr>
          <w:i/>
          <w:iCs/>
        </w:rPr>
        <w:t>Results of Our 2019/20 Audits of Port Companies</w:t>
      </w:r>
      <w:r w:rsidRPr="00272732">
        <w:t>.</w:t>
      </w:r>
      <w:r w:rsidRPr="000B5627">
        <w:t xml:space="preserve"> Viewed at: </w:t>
      </w:r>
      <w:hyperlink r:id="rId213" w:anchor="port_companies" w:history="1">
        <w:r w:rsidRPr="000B5627">
          <w:rPr>
            <w:rStyle w:val="Hyperlink"/>
          </w:rPr>
          <w:t>https://oag.parliament.nz/2021/port-companies/part1.htm#port_companies</w:t>
        </w:r>
      </w:hyperlink>
      <w:r w:rsidRPr="000B5627">
        <w:t>.</w:t>
      </w:r>
    </w:p>
  </w:footnote>
  <w:footnote w:id="423">
    <w:p w14:paraId="1BE085F4" w14:textId="77777777" w:rsidR="00120717" w:rsidRPr="000B5627" w:rsidRDefault="00120717" w:rsidP="00106E1C">
      <w:pPr>
        <w:pStyle w:val="FootnoteText"/>
      </w:pPr>
      <w:r w:rsidRPr="000B5627">
        <w:rPr>
          <w:rStyle w:val="FootnoteReference"/>
        </w:rPr>
        <w:footnoteRef/>
      </w:r>
      <w:r w:rsidRPr="000B5627">
        <w:t xml:space="preserve"> The last </w:t>
      </w:r>
      <w:r w:rsidRPr="00220A2F">
        <w:t>Accommodation Survey</w:t>
      </w:r>
      <w:r w:rsidRPr="000B5627">
        <w:t xml:space="preserve"> published by Stats NZ was for the year ending September 2019 (Stats NZ, </w:t>
      </w:r>
      <w:r w:rsidRPr="00220A2F">
        <w:rPr>
          <w:i/>
          <w:iCs/>
        </w:rPr>
        <w:t>Accommodation Survey: September 2019</w:t>
      </w:r>
      <w:r w:rsidRPr="000B5627">
        <w:t xml:space="preserve">. Viewed at: </w:t>
      </w:r>
      <w:hyperlink r:id="rId214" w:history="1">
        <w:r w:rsidRPr="000B5627">
          <w:rPr>
            <w:rStyle w:val="Hyperlink"/>
          </w:rPr>
          <w:t>https://www.stats.govt.nz/information-releases/accommodation-survey-september-2019</w:t>
        </w:r>
      </w:hyperlink>
      <w:r w:rsidRPr="000B5627">
        <w:t xml:space="preserve">). In June 2020, it was replaced by the </w:t>
      </w:r>
      <w:r w:rsidRPr="00220A2F">
        <w:t>Accommodation Data Programme</w:t>
      </w:r>
      <w:r w:rsidRPr="000B5627">
        <w:rPr>
          <w:rStyle w:val="Hyperlink"/>
        </w:rPr>
        <w:t xml:space="preserve"> (Accommodation Data Programme. Viewed at:</w:t>
      </w:r>
      <w:r w:rsidRPr="000B5627">
        <w:t xml:space="preserve"> </w:t>
      </w:r>
      <w:hyperlink r:id="rId215" w:history="1">
        <w:r w:rsidRPr="000B5627">
          <w:rPr>
            <w:rStyle w:val="Hyperlink"/>
          </w:rPr>
          <w:t>https://freshinfo.shinyapps.io/ADPReporting/</w:t>
        </w:r>
      </w:hyperlink>
      <w:r w:rsidRPr="000B5627">
        <w:rPr>
          <w:rStyle w:val="Hyperlink"/>
        </w:rPr>
        <w:t>)</w:t>
      </w:r>
      <w:r w:rsidRPr="000B5627">
        <w:t>. However, due to different methodologies and the gap in accommodation statistics, they are not directly comparable.</w:t>
      </w:r>
    </w:p>
  </w:footnote>
  <w:footnote w:id="424">
    <w:p w14:paraId="2D68A77C" w14:textId="77777777" w:rsidR="00120717" w:rsidRPr="000B5627" w:rsidRDefault="00120717" w:rsidP="00106E1C">
      <w:pPr>
        <w:pStyle w:val="FootnoteText"/>
      </w:pPr>
      <w:r w:rsidRPr="000B5627">
        <w:rPr>
          <w:rStyle w:val="FootnoteReference"/>
        </w:rPr>
        <w:footnoteRef/>
      </w:r>
      <w:r w:rsidRPr="000B5627">
        <w:t xml:space="preserve"> Following the closure of New Zealand's international borders, Tourism New Zealand temporarily pivoted to encourage New Zealanders to travel domestically.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B609" w14:textId="77777777" w:rsidR="003D7746" w:rsidRPr="003D7746" w:rsidRDefault="003D7746" w:rsidP="003D7746">
    <w:pPr>
      <w:pStyle w:val="Header"/>
      <w:spacing w:after="240"/>
      <w:jc w:val="center"/>
    </w:pPr>
    <w:r w:rsidRPr="003D7746">
      <w:t>WT/</w:t>
    </w:r>
    <w:proofErr w:type="spellStart"/>
    <w:r w:rsidRPr="003D7746">
      <w:t>TPR</w:t>
    </w:r>
    <w:proofErr w:type="spellEnd"/>
    <w:r w:rsidRPr="003D7746">
      <w:t>/S/426</w:t>
    </w:r>
  </w:p>
  <w:p w14:paraId="72815A06" w14:textId="77777777" w:rsidR="003D7746" w:rsidRPr="003D7746" w:rsidRDefault="003D7746" w:rsidP="003D7746">
    <w:pPr>
      <w:pStyle w:val="Header"/>
      <w:pBdr>
        <w:bottom w:val="single" w:sz="4" w:space="1" w:color="auto"/>
      </w:pBdr>
      <w:jc w:val="center"/>
    </w:pPr>
    <w:r w:rsidRPr="003D7746">
      <w:t xml:space="preserve">- </w:t>
    </w:r>
    <w:r w:rsidRPr="003D7746">
      <w:fldChar w:fldCharType="begin"/>
    </w:r>
    <w:r w:rsidRPr="003D7746">
      <w:instrText xml:space="preserve"> PAGE  \* Arabic  \* MERGEFORMAT </w:instrText>
    </w:r>
    <w:r w:rsidRPr="003D7746">
      <w:fldChar w:fldCharType="separate"/>
    </w:r>
    <w:r w:rsidRPr="003D7746">
      <w:t>1</w:t>
    </w:r>
    <w:r w:rsidRPr="003D7746">
      <w:fldChar w:fldCharType="end"/>
    </w:r>
    <w:r w:rsidRPr="003D774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6BC5" w14:textId="1119343C" w:rsidR="003D7746" w:rsidRPr="003D7746" w:rsidRDefault="003D7746" w:rsidP="003D7746">
    <w:pPr>
      <w:pStyle w:val="Header"/>
      <w:spacing w:after="240"/>
      <w:jc w:val="center"/>
    </w:pPr>
    <w:r w:rsidRPr="003D7746">
      <w:t>WT/</w:t>
    </w:r>
    <w:proofErr w:type="spellStart"/>
    <w:r w:rsidRPr="003D7746">
      <w:t>TPR</w:t>
    </w:r>
    <w:proofErr w:type="spellEnd"/>
    <w:r w:rsidRPr="003D7746">
      <w:t>/S/426</w:t>
    </w:r>
    <w:r>
      <w:t xml:space="preserve"> </w:t>
    </w:r>
    <w:r w:rsidRPr="0064650B">
      <w:t>• New Zealand</w:t>
    </w:r>
  </w:p>
  <w:p w14:paraId="587A2A06" w14:textId="77777777" w:rsidR="003D7746" w:rsidRPr="003D7746" w:rsidRDefault="003D7746" w:rsidP="003D7746">
    <w:pPr>
      <w:pStyle w:val="Header"/>
      <w:pBdr>
        <w:bottom w:val="single" w:sz="4" w:space="1" w:color="auto"/>
      </w:pBdr>
      <w:jc w:val="center"/>
    </w:pPr>
    <w:r w:rsidRPr="003D7746">
      <w:t xml:space="preserve">- </w:t>
    </w:r>
    <w:r w:rsidRPr="003D7746">
      <w:fldChar w:fldCharType="begin"/>
    </w:r>
    <w:r w:rsidRPr="003D7746">
      <w:instrText xml:space="preserve"> PAGE  \* Arabic  \* MERGEFORMAT </w:instrText>
    </w:r>
    <w:r w:rsidRPr="003D7746">
      <w:fldChar w:fldCharType="separate"/>
    </w:r>
    <w:r w:rsidRPr="003D7746">
      <w:t>1</w:t>
    </w:r>
    <w:r w:rsidRPr="003D7746">
      <w:fldChar w:fldCharType="end"/>
    </w:r>
    <w:r w:rsidRPr="003D774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3D7746" w:rsidRPr="003D7746" w14:paraId="635F4F5F" w14:textId="77777777" w:rsidTr="003D7746">
      <w:trPr>
        <w:trHeight w:val="240"/>
        <w:jc w:val="center"/>
      </w:trPr>
      <w:tc>
        <w:tcPr>
          <w:tcW w:w="2053" w:type="pct"/>
          <w:shd w:val="clear" w:color="auto" w:fill="auto"/>
          <w:tcMar>
            <w:left w:w="108" w:type="dxa"/>
            <w:right w:w="108" w:type="dxa"/>
          </w:tcMar>
          <w:vAlign w:val="center"/>
        </w:tcPr>
        <w:p w14:paraId="22E4C97C" w14:textId="77777777" w:rsidR="003D7746" w:rsidRPr="003D7746" w:rsidRDefault="003D7746" w:rsidP="003D7746">
          <w:pPr>
            <w:rPr>
              <w:rFonts w:eastAsia="Verdana" w:cs="Verdana"/>
              <w:noProof/>
              <w:szCs w:val="18"/>
              <w:lang w:eastAsia="en-GB"/>
            </w:rPr>
          </w:pPr>
          <w:bookmarkStart w:id="2" w:name="bmkRestricted" w:colFirst="1" w:colLast="1"/>
          <w:bookmarkStart w:id="3" w:name="bmkMasthead"/>
        </w:p>
      </w:tc>
      <w:tc>
        <w:tcPr>
          <w:tcW w:w="2947" w:type="pct"/>
          <w:gridSpan w:val="2"/>
          <w:shd w:val="clear" w:color="auto" w:fill="auto"/>
          <w:tcMar>
            <w:left w:w="108" w:type="dxa"/>
            <w:right w:w="108" w:type="dxa"/>
          </w:tcMar>
          <w:vAlign w:val="center"/>
        </w:tcPr>
        <w:p w14:paraId="3E126952" w14:textId="3417F736" w:rsidR="003D7746" w:rsidRPr="003D7746" w:rsidRDefault="003D7746" w:rsidP="003D7746">
          <w:pPr>
            <w:jc w:val="right"/>
            <w:rPr>
              <w:rFonts w:eastAsia="Verdana" w:cs="Verdana"/>
              <w:b/>
              <w:color w:val="FF0000"/>
              <w:szCs w:val="18"/>
            </w:rPr>
          </w:pPr>
          <w:r w:rsidRPr="003D7746">
            <w:rPr>
              <w:rFonts w:eastAsia="Verdana" w:cs="Verdana"/>
              <w:b/>
              <w:color w:val="FF0000"/>
              <w:szCs w:val="18"/>
            </w:rPr>
            <w:t>RESTRICTED</w:t>
          </w:r>
        </w:p>
      </w:tc>
    </w:tr>
    <w:tr w:rsidR="003D7746" w:rsidRPr="003D7746" w14:paraId="494EA0FE" w14:textId="77777777" w:rsidTr="003D7746">
      <w:trPr>
        <w:trHeight w:val="213"/>
        <w:jc w:val="center"/>
      </w:trPr>
      <w:tc>
        <w:tcPr>
          <w:tcW w:w="2053" w:type="pct"/>
          <w:vMerge w:val="restart"/>
          <w:shd w:val="clear" w:color="auto" w:fill="auto"/>
          <w:tcMar>
            <w:left w:w="0" w:type="dxa"/>
            <w:right w:w="0" w:type="dxa"/>
          </w:tcMar>
        </w:tcPr>
        <w:p w14:paraId="5A74CE85" w14:textId="5C36B31F" w:rsidR="003D7746" w:rsidRPr="003D7746" w:rsidRDefault="003D7746" w:rsidP="003D7746">
          <w:pPr>
            <w:jc w:val="left"/>
            <w:rPr>
              <w:rFonts w:eastAsia="Verdana" w:cs="Verdana"/>
              <w:szCs w:val="18"/>
            </w:rPr>
          </w:pPr>
          <w:bookmarkStart w:id="4" w:name="bmkLogo" w:colFirst="0" w:colLast="0"/>
          <w:bookmarkEnd w:id="2"/>
          <w:r w:rsidRPr="003D7746">
            <w:rPr>
              <w:rFonts w:eastAsia="Verdana" w:cs="Verdana"/>
              <w:noProof/>
              <w:szCs w:val="18"/>
            </w:rPr>
            <w:drawing>
              <wp:inline distT="0" distB="0" distL="0" distR="0" wp14:anchorId="39829397" wp14:editId="101C98A0">
                <wp:extent cx="2415902" cy="720090"/>
                <wp:effectExtent l="0" t="0" r="3810" b="381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4E23AA71" w14:textId="77777777" w:rsidR="003D7746" w:rsidRPr="003D7746" w:rsidRDefault="003D7746" w:rsidP="003D7746">
          <w:pPr>
            <w:jc w:val="right"/>
            <w:rPr>
              <w:rFonts w:eastAsia="Verdana" w:cs="Verdana"/>
              <w:b/>
              <w:szCs w:val="18"/>
            </w:rPr>
          </w:pPr>
        </w:p>
      </w:tc>
    </w:tr>
    <w:tr w:rsidR="003D7746" w:rsidRPr="003D7746" w14:paraId="18147DDF" w14:textId="77777777" w:rsidTr="003D7746">
      <w:trPr>
        <w:trHeight w:val="868"/>
        <w:jc w:val="center"/>
      </w:trPr>
      <w:tc>
        <w:tcPr>
          <w:tcW w:w="2053" w:type="pct"/>
          <w:vMerge/>
          <w:shd w:val="clear" w:color="auto" w:fill="auto"/>
          <w:tcMar>
            <w:left w:w="108" w:type="dxa"/>
            <w:right w:w="108" w:type="dxa"/>
          </w:tcMar>
        </w:tcPr>
        <w:p w14:paraId="68831859" w14:textId="77777777" w:rsidR="003D7746" w:rsidRPr="003D7746" w:rsidRDefault="003D7746" w:rsidP="003D7746">
          <w:pPr>
            <w:jc w:val="left"/>
            <w:rPr>
              <w:rFonts w:eastAsia="Verdana" w:cs="Verdana"/>
              <w:noProof/>
              <w:szCs w:val="18"/>
              <w:lang w:eastAsia="en-GB"/>
            </w:rPr>
          </w:pPr>
          <w:bookmarkStart w:id="5" w:name="bmkSymbols" w:colFirst="1" w:colLast="1"/>
          <w:bookmarkEnd w:id="4"/>
        </w:p>
      </w:tc>
      <w:tc>
        <w:tcPr>
          <w:tcW w:w="2947" w:type="pct"/>
          <w:gridSpan w:val="2"/>
          <w:shd w:val="clear" w:color="auto" w:fill="auto"/>
          <w:tcMar>
            <w:left w:w="108" w:type="dxa"/>
            <w:right w:w="108" w:type="dxa"/>
          </w:tcMar>
        </w:tcPr>
        <w:p w14:paraId="0849F3A4" w14:textId="48ACDC69" w:rsidR="003D7746" w:rsidRPr="003D7746" w:rsidRDefault="003D7746" w:rsidP="003D7746">
          <w:pPr>
            <w:jc w:val="right"/>
            <w:rPr>
              <w:rFonts w:eastAsia="Verdana" w:cs="Verdana"/>
              <w:b/>
              <w:szCs w:val="18"/>
            </w:rPr>
          </w:pPr>
          <w:r w:rsidRPr="003D7746">
            <w:rPr>
              <w:b/>
              <w:szCs w:val="18"/>
            </w:rPr>
            <w:t>WT/</w:t>
          </w:r>
          <w:proofErr w:type="spellStart"/>
          <w:r w:rsidRPr="003D7746">
            <w:rPr>
              <w:b/>
              <w:szCs w:val="18"/>
            </w:rPr>
            <w:t>TPR</w:t>
          </w:r>
          <w:proofErr w:type="spellEnd"/>
          <w:r w:rsidRPr="003D7746">
            <w:rPr>
              <w:b/>
              <w:szCs w:val="18"/>
            </w:rPr>
            <w:t>/S/426</w:t>
          </w:r>
        </w:p>
      </w:tc>
    </w:tr>
    <w:tr w:rsidR="003D7746" w:rsidRPr="003D7746" w14:paraId="52B54613" w14:textId="77777777" w:rsidTr="003D7746">
      <w:trPr>
        <w:trHeight w:val="240"/>
        <w:jc w:val="center"/>
      </w:trPr>
      <w:tc>
        <w:tcPr>
          <w:tcW w:w="2053" w:type="pct"/>
          <w:vMerge/>
          <w:shd w:val="clear" w:color="auto" w:fill="auto"/>
          <w:tcMar>
            <w:left w:w="108" w:type="dxa"/>
            <w:right w:w="108" w:type="dxa"/>
          </w:tcMar>
          <w:vAlign w:val="center"/>
        </w:tcPr>
        <w:p w14:paraId="652D9CB1" w14:textId="77777777" w:rsidR="003D7746" w:rsidRPr="003D7746" w:rsidRDefault="003D7746" w:rsidP="003D7746">
          <w:pPr>
            <w:rPr>
              <w:rFonts w:eastAsia="Verdana" w:cs="Verdana"/>
              <w:szCs w:val="18"/>
            </w:rPr>
          </w:pPr>
          <w:bookmarkStart w:id="6" w:name="bmkDate" w:colFirst="1" w:colLast="1"/>
          <w:bookmarkEnd w:id="5"/>
        </w:p>
      </w:tc>
      <w:tc>
        <w:tcPr>
          <w:tcW w:w="2947" w:type="pct"/>
          <w:gridSpan w:val="2"/>
          <w:shd w:val="clear" w:color="auto" w:fill="auto"/>
          <w:tcMar>
            <w:left w:w="108" w:type="dxa"/>
            <w:right w:w="108" w:type="dxa"/>
          </w:tcMar>
          <w:vAlign w:val="center"/>
        </w:tcPr>
        <w:p w14:paraId="21E1137C" w14:textId="595C6D4B" w:rsidR="003D7746" w:rsidRPr="003D7746" w:rsidRDefault="00CB25C9" w:rsidP="003D7746">
          <w:pPr>
            <w:jc w:val="right"/>
            <w:rPr>
              <w:rFonts w:eastAsia="Verdana" w:cs="Verdana"/>
              <w:szCs w:val="18"/>
            </w:rPr>
          </w:pPr>
          <w:r>
            <w:rPr>
              <w:rFonts w:eastAsia="Verdana" w:cs="Verdana"/>
              <w:szCs w:val="18"/>
            </w:rPr>
            <w:t>6</w:t>
          </w:r>
          <w:r w:rsidR="003D7746">
            <w:rPr>
              <w:rFonts w:eastAsia="Verdana" w:cs="Verdana"/>
              <w:szCs w:val="18"/>
            </w:rPr>
            <w:t xml:space="preserve"> </w:t>
          </w:r>
          <w:r>
            <w:rPr>
              <w:rFonts w:eastAsia="Verdana" w:cs="Verdana"/>
              <w:szCs w:val="18"/>
            </w:rPr>
            <w:t>April</w:t>
          </w:r>
          <w:r w:rsidR="003D7746" w:rsidRPr="003D7746">
            <w:rPr>
              <w:rFonts w:eastAsia="Verdana" w:cs="Verdana"/>
              <w:szCs w:val="18"/>
            </w:rPr>
            <w:t> 2022</w:t>
          </w:r>
        </w:p>
      </w:tc>
    </w:tr>
    <w:tr w:rsidR="003D7746" w:rsidRPr="003D7746" w14:paraId="55042640" w14:textId="77777777" w:rsidTr="003D774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F4E326E" w14:textId="2A3E0FA6" w:rsidR="003D7746" w:rsidRPr="003D7746" w:rsidRDefault="003D7746" w:rsidP="003D7746">
          <w:pPr>
            <w:jc w:val="left"/>
            <w:rPr>
              <w:rFonts w:eastAsia="Verdana" w:cs="Verdana"/>
              <w:b/>
              <w:szCs w:val="18"/>
            </w:rPr>
          </w:pPr>
          <w:bookmarkStart w:id="7" w:name="bmkSerial" w:colFirst="0" w:colLast="0"/>
          <w:bookmarkStart w:id="8" w:name="bmkTotPages" w:colFirst="1" w:colLast="1"/>
          <w:bookmarkEnd w:id="6"/>
          <w:r w:rsidRPr="003D7746">
            <w:rPr>
              <w:rFonts w:eastAsia="Verdana" w:cs="Verdana"/>
              <w:color w:val="FF0000"/>
              <w:szCs w:val="18"/>
            </w:rPr>
            <w:t>(22</w:t>
          </w:r>
          <w:r w:rsidRPr="003D7746">
            <w:rPr>
              <w:rFonts w:eastAsia="Verdana" w:cs="Verdana"/>
              <w:color w:val="FF0000"/>
              <w:szCs w:val="18"/>
            </w:rPr>
            <w:noBreakHyphen/>
          </w:r>
          <w:r w:rsidR="004A0C19">
            <w:rPr>
              <w:rFonts w:eastAsia="Verdana" w:cs="Verdana"/>
              <w:color w:val="FF0000"/>
              <w:szCs w:val="18"/>
            </w:rPr>
            <w:t>2782</w:t>
          </w:r>
          <w:r w:rsidRPr="003D774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5F14C2D" w14:textId="7C735DDE" w:rsidR="003D7746" w:rsidRPr="003D7746" w:rsidRDefault="003D7746" w:rsidP="003D7746">
          <w:pPr>
            <w:jc w:val="right"/>
            <w:rPr>
              <w:rFonts w:eastAsia="Verdana" w:cs="Verdana"/>
              <w:szCs w:val="18"/>
            </w:rPr>
          </w:pPr>
          <w:r w:rsidRPr="003D7746">
            <w:rPr>
              <w:rFonts w:eastAsia="Verdana" w:cs="Verdana"/>
              <w:szCs w:val="18"/>
            </w:rPr>
            <w:t xml:space="preserve">Page: </w:t>
          </w:r>
          <w:r w:rsidRPr="003D7746">
            <w:rPr>
              <w:rFonts w:eastAsia="Verdana" w:cs="Verdana"/>
              <w:szCs w:val="18"/>
            </w:rPr>
            <w:fldChar w:fldCharType="begin"/>
          </w:r>
          <w:r w:rsidRPr="003D7746">
            <w:rPr>
              <w:rFonts w:eastAsia="Verdana" w:cs="Verdana"/>
              <w:szCs w:val="18"/>
            </w:rPr>
            <w:instrText xml:space="preserve"> PAGE  \* Arabic  \* MERGEFORMAT </w:instrText>
          </w:r>
          <w:r w:rsidRPr="003D7746">
            <w:rPr>
              <w:rFonts w:eastAsia="Verdana" w:cs="Verdana"/>
              <w:szCs w:val="18"/>
            </w:rPr>
            <w:fldChar w:fldCharType="separate"/>
          </w:r>
          <w:r w:rsidRPr="003D7746">
            <w:rPr>
              <w:rFonts w:eastAsia="Verdana" w:cs="Verdana"/>
              <w:noProof/>
              <w:szCs w:val="18"/>
            </w:rPr>
            <w:t>1</w:t>
          </w:r>
          <w:r w:rsidRPr="003D7746">
            <w:rPr>
              <w:rFonts w:eastAsia="Verdana" w:cs="Verdana"/>
              <w:szCs w:val="18"/>
            </w:rPr>
            <w:fldChar w:fldCharType="end"/>
          </w:r>
          <w:r w:rsidRPr="003D7746">
            <w:rPr>
              <w:rFonts w:eastAsia="Verdana" w:cs="Verdana"/>
              <w:szCs w:val="18"/>
            </w:rPr>
            <w:t>/</w:t>
          </w:r>
          <w:r w:rsidRPr="003D7746">
            <w:rPr>
              <w:rFonts w:eastAsia="Verdana" w:cs="Verdana"/>
              <w:szCs w:val="18"/>
            </w:rPr>
            <w:fldChar w:fldCharType="begin"/>
          </w:r>
          <w:r w:rsidRPr="003D7746">
            <w:rPr>
              <w:rFonts w:eastAsia="Verdana" w:cs="Verdana"/>
              <w:szCs w:val="18"/>
            </w:rPr>
            <w:instrText xml:space="preserve"> NUMPAGES  \# "0" \* Arabic  \* MERGEFORMAT </w:instrText>
          </w:r>
          <w:r w:rsidRPr="003D7746">
            <w:rPr>
              <w:rFonts w:eastAsia="Verdana" w:cs="Verdana"/>
              <w:szCs w:val="18"/>
            </w:rPr>
            <w:fldChar w:fldCharType="separate"/>
          </w:r>
          <w:r w:rsidRPr="003D7746">
            <w:rPr>
              <w:rFonts w:eastAsia="Verdana" w:cs="Verdana"/>
              <w:noProof/>
              <w:szCs w:val="18"/>
            </w:rPr>
            <w:t>6</w:t>
          </w:r>
          <w:r w:rsidRPr="003D7746">
            <w:rPr>
              <w:rFonts w:eastAsia="Verdana" w:cs="Verdana"/>
              <w:szCs w:val="18"/>
            </w:rPr>
            <w:fldChar w:fldCharType="end"/>
          </w:r>
        </w:p>
      </w:tc>
    </w:tr>
    <w:tr w:rsidR="003D7746" w:rsidRPr="003D7746" w14:paraId="26257AD3" w14:textId="77777777" w:rsidTr="003D774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B3C3F2B" w14:textId="29F9D75F" w:rsidR="003D7746" w:rsidRPr="003D7746" w:rsidRDefault="003D7746" w:rsidP="003D7746">
          <w:pPr>
            <w:jc w:val="left"/>
            <w:rPr>
              <w:rFonts w:eastAsia="Verdana" w:cs="Verdana"/>
              <w:szCs w:val="18"/>
            </w:rPr>
          </w:pPr>
          <w:bookmarkStart w:id="9" w:name="bmkCommittee" w:colFirst="0" w:colLast="0"/>
          <w:bookmarkStart w:id="10" w:name="bmkLanguage" w:colFirst="1" w:colLast="1"/>
          <w:bookmarkEnd w:id="7"/>
          <w:bookmarkEnd w:id="8"/>
          <w:r w:rsidRPr="003D7746">
            <w:rPr>
              <w:b/>
              <w:szCs w:val="18"/>
            </w:rPr>
            <w:t>Trade Policy Review Body</w:t>
          </w:r>
        </w:p>
      </w:tc>
      <w:tc>
        <w:tcPr>
          <w:tcW w:w="1799" w:type="pct"/>
          <w:tcBorders>
            <w:top w:val="single" w:sz="4" w:space="0" w:color="auto"/>
          </w:tcBorders>
          <w:shd w:val="clear" w:color="auto" w:fill="auto"/>
          <w:tcMar>
            <w:top w:w="113" w:type="dxa"/>
            <w:left w:w="108" w:type="dxa"/>
            <w:bottom w:w="57" w:type="dxa"/>
            <w:right w:w="108" w:type="dxa"/>
          </w:tcMar>
        </w:tcPr>
        <w:p w14:paraId="715006E5" w14:textId="77777777" w:rsidR="003D7746" w:rsidRPr="003D7746" w:rsidRDefault="003D7746" w:rsidP="003D7746">
          <w:pPr>
            <w:jc w:val="right"/>
            <w:rPr>
              <w:rFonts w:eastAsia="Verdana" w:cs="Verdana"/>
              <w:bCs/>
              <w:szCs w:val="18"/>
            </w:rPr>
          </w:pPr>
        </w:p>
      </w:tc>
    </w:tr>
    <w:bookmarkEnd w:id="3"/>
    <w:bookmarkEnd w:id="9"/>
    <w:bookmarkEnd w:id="10"/>
  </w:tbl>
  <w:p w14:paraId="003DCBE6" w14:textId="77777777" w:rsidR="00120717" w:rsidRPr="003D7746" w:rsidRDefault="00120717" w:rsidP="003D77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5B66" w14:textId="77777777" w:rsidR="003D7746" w:rsidRPr="003D7746" w:rsidRDefault="003D7746" w:rsidP="003D7746">
    <w:pPr>
      <w:pStyle w:val="Header"/>
      <w:framePr w:w="737" w:h="9027" w:hRule="exact" w:wrap="around" w:vAnchor="page" w:hAnchor="page" w:x="15383" w:y="1441"/>
      <w:spacing w:after="240"/>
      <w:jc w:val="center"/>
      <w:textDirection w:val="tbRl"/>
    </w:pPr>
    <w:r w:rsidRPr="003D7746">
      <w:t>WT/</w:t>
    </w:r>
    <w:proofErr w:type="spellStart"/>
    <w:r w:rsidRPr="003D7746">
      <w:t>TPR</w:t>
    </w:r>
    <w:proofErr w:type="spellEnd"/>
    <w:r w:rsidRPr="003D7746">
      <w:t>/S/426</w:t>
    </w:r>
  </w:p>
  <w:p w14:paraId="2D1316FF" w14:textId="77777777" w:rsidR="003D7746" w:rsidRPr="003D7746" w:rsidRDefault="003D7746" w:rsidP="003D7746">
    <w:pPr>
      <w:pStyle w:val="Header"/>
      <w:framePr w:w="737" w:h="9027" w:hRule="exact" w:wrap="around" w:vAnchor="page" w:hAnchor="page" w:x="15383" w:y="1441"/>
      <w:pBdr>
        <w:bottom w:val="single" w:sz="4" w:space="1" w:color="auto"/>
      </w:pBdr>
      <w:jc w:val="center"/>
      <w:textDirection w:val="tbRl"/>
    </w:pPr>
    <w:r w:rsidRPr="003D7746">
      <w:t xml:space="preserve">- </w:t>
    </w:r>
    <w:r w:rsidRPr="003D7746">
      <w:fldChar w:fldCharType="begin"/>
    </w:r>
    <w:r w:rsidRPr="003D7746">
      <w:instrText xml:space="preserve"> PAGE  \* Arabic  \* MERGEFORMAT </w:instrText>
    </w:r>
    <w:r w:rsidRPr="003D7746">
      <w:fldChar w:fldCharType="separate"/>
    </w:r>
    <w:r w:rsidRPr="003D7746">
      <w:t>1</w:t>
    </w:r>
    <w:r w:rsidRPr="003D7746">
      <w:fldChar w:fldCharType="end"/>
    </w:r>
    <w:r w:rsidRPr="003D7746">
      <w:t xml:space="preserve"> -</w:t>
    </w:r>
  </w:p>
  <w:p w14:paraId="4F38AF21" w14:textId="3451277B" w:rsidR="003D7746" w:rsidRDefault="003D7746" w:rsidP="003D7746">
    <w:pPr>
      <w:pStyle w:val="Header"/>
      <w:framePr w:w="737" w:h="9027" w:hRule="exact" w:wrap="around" w:vAnchor="page" w:hAnchor="page" w:x="15383" w:y="1441"/>
      <w:textDirection w:val="tbRl"/>
    </w:pPr>
  </w:p>
  <w:p w14:paraId="0CFB223C" w14:textId="2208B4C7" w:rsidR="00120717" w:rsidRPr="003D7746" w:rsidRDefault="003D7746" w:rsidP="003D7746">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4398" w14:textId="6DDC82B7" w:rsidR="003D7746" w:rsidRPr="003D7746" w:rsidRDefault="003D7746" w:rsidP="003D7746">
    <w:pPr>
      <w:pStyle w:val="Header"/>
      <w:framePr w:w="737" w:h="9027" w:hRule="exact" w:wrap="around" w:vAnchor="page" w:hAnchor="page" w:x="15383" w:y="1441"/>
      <w:spacing w:after="240"/>
      <w:jc w:val="center"/>
      <w:textDirection w:val="tbRl"/>
    </w:pPr>
    <w:r w:rsidRPr="003D7746">
      <w:t>WT/</w:t>
    </w:r>
    <w:proofErr w:type="spellStart"/>
    <w:r w:rsidRPr="003D7746">
      <w:t>TPR</w:t>
    </w:r>
    <w:proofErr w:type="spellEnd"/>
    <w:r w:rsidRPr="003D7746">
      <w:t>/S/426</w:t>
    </w:r>
    <w:r>
      <w:t xml:space="preserve"> </w:t>
    </w:r>
    <w:r w:rsidRPr="0064650B">
      <w:t>• New Zealand</w:t>
    </w:r>
  </w:p>
  <w:p w14:paraId="7CC4FD60" w14:textId="77777777" w:rsidR="003D7746" w:rsidRPr="003D7746" w:rsidRDefault="003D7746" w:rsidP="003D7746">
    <w:pPr>
      <w:pStyle w:val="Header"/>
      <w:framePr w:w="737" w:h="9027" w:hRule="exact" w:wrap="around" w:vAnchor="page" w:hAnchor="page" w:x="15383" w:y="1441"/>
      <w:pBdr>
        <w:bottom w:val="single" w:sz="4" w:space="1" w:color="auto"/>
      </w:pBdr>
      <w:jc w:val="center"/>
      <w:textDirection w:val="tbRl"/>
    </w:pPr>
    <w:r w:rsidRPr="003D7746">
      <w:t xml:space="preserve">- </w:t>
    </w:r>
    <w:r w:rsidRPr="003D7746">
      <w:fldChar w:fldCharType="begin"/>
    </w:r>
    <w:r w:rsidRPr="003D7746">
      <w:instrText xml:space="preserve"> PAGE  \* Arabic  \* MERGEFORMAT </w:instrText>
    </w:r>
    <w:r w:rsidRPr="003D7746">
      <w:fldChar w:fldCharType="separate"/>
    </w:r>
    <w:r w:rsidRPr="003D7746">
      <w:t>1</w:t>
    </w:r>
    <w:r w:rsidRPr="003D7746">
      <w:fldChar w:fldCharType="end"/>
    </w:r>
    <w:r w:rsidRPr="003D7746">
      <w:t xml:space="preserve"> -</w:t>
    </w:r>
  </w:p>
  <w:p w14:paraId="73B4B41F" w14:textId="18BD3ABE" w:rsidR="003D7746" w:rsidRDefault="003D7746" w:rsidP="003D7746">
    <w:pPr>
      <w:pStyle w:val="Header"/>
      <w:framePr w:w="737" w:h="9027" w:hRule="exact" w:wrap="around" w:vAnchor="page" w:hAnchor="page" w:x="15383" w:y="1441"/>
      <w:textDirection w:val="tbRl"/>
    </w:pPr>
  </w:p>
  <w:p w14:paraId="63F6131D" w14:textId="787413AD" w:rsidR="00120717" w:rsidRPr="003D7746" w:rsidRDefault="003D7746" w:rsidP="003D7746">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BE37" w14:textId="77777777" w:rsidR="003D7746" w:rsidRPr="003D7746" w:rsidRDefault="003D7746" w:rsidP="003D7746">
    <w:pPr>
      <w:pStyle w:val="Header"/>
      <w:framePr w:w="737" w:h="9027" w:hRule="exact" w:wrap="around" w:vAnchor="page" w:hAnchor="page" w:x="15383" w:y="1441"/>
      <w:spacing w:after="240"/>
      <w:jc w:val="center"/>
      <w:textDirection w:val="tbRl"/>
    </w:pPr>
    <w:r w:rsidRPr="003D7746">
      <w:t>WT/</w:t>
    </w:r>
    <w:proofErr w:type="spellStart"/>
    <w:r w:rsidRPr="003D7746">
      <w:t>TPR</w:t>
    </w:r>
    <w:proofErr w:type="spellEnd"/>
    <w:r w:rsidRPr="003D7746">
      <w:t>/S/426</w:t>
    </w:r>
  </w:p>
  <w:p w14:paraId="45913A4B" w14:textId="77777777" w:rsidR="003D7746" w:rsidRPr="003D7746" w:rsidRDefault="003D7746" w:rsidP="003D7746">
    <w:pPr>
      <w:pStyle w:val="Header"/>
      <w:framePr w:w="737" w:h="9027" w:hRule="exact" w:wrap="around" w:vAnchor="page" w:hAnchor="page" w:x="15383" w:y="1441"/>
      <w:pBdr>
        <w:bottom w:val="single" w:sz="4" w:space="1" w:color="auto"/>
      </w:pBdr>
      <w:jc w:val="center"/>
      <w:textDirection w:val="tbRl"/>
    </w:pPr>
    <w:r w:rsidRPr="003D7746">
      <w:t xml:space="preserve">- </w:t>
    </w:r>
    <w:r w:rsidRPr="003D7746">
      <w:fldChar w:fldCharType="begin"/>
    </w:r>
    <w:r w:rsidRPr="003D7746">
      <w:instrText xml:space="preserve"> PAGE  \* Arabic  \* MERGEFORMAT </w:instrText>
    </w:r>
    <w:r w:rsidRPr="003D7746">
      <w:fldChar w:fldCharType="separate"/>
    </w:r>
    <w:r w:rsidRPr="003D7746">
      <w:t>1</w:t>
    </w:r>
    <w:r w:rsidRPr="003D7746">
      <w:fldChar w:fldCharType="end"/>
    </w:r>
    <w:r w:rsidRPr="003D7746">
      <w:t xml:space="preserve"> -</w:t>
    </w:r>
  </w:p>
  <w:p w14:paraId="0E28C20D" w14:textId="1078A85D" w:rsidR="003D7746" w:rsidRDefault="003D7746" w:rsidP="003D7746">
    <w:pPr>
      <w:pStyle w:val="Header"/>
      <w:framePr w:w="737" w:h="9027" w:hRule="exact" w:wrap="around" w:vAnchor="page" w:hAnchor="page" w:x="15383" w:y="1441"/>
      <w:textDirection w:val="tbRl"/>
    </w:pPr>
  </w:p>
  <w:p w14:paraId="43AA719F" w14:textId="5A3C9134" w:rsidR="000317E0" w:rsidRPr="003D7746" w:rsidRDefault="003D7746" w:rsidP="003D7746">
    <w:pPr>
      <w:pStyle w:val="Head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46BE" w14:textId="77777777" w:rsidR="003D7746" w:rsidRPr="003D7746" w:rsidRDefault="003D7746" w:rsidP="003D7746">
    <w:pPr>
      <w:pStyle w:val="Header"/>
      <w:spacing w:after="240"/>
      <w:jc w:val="center"/>
    </w:pPr>
    <w:r w:rsidRPr="003D7746">
      <w:t>WT/</w:t>
    </w:r>
    <w:proofErr w:type="spellStart"/>
    <w:r w:rsidRPr="003D7746">
      <w:t>TPR</w:t>
    </w:r>
    <w:proofErr w:type="spellEnd"/>
    <w:r w:rsidRPr="003D7746">
      <w:t>/S/426</w:t>
    </w:r>
  </w:p>
  <w:p w14:paraId="3289D685" w14:textId="77777777" w:rsidR="003D7746" w:rsidRPr="003D7746" w:rsidRDefault="003D7746" w:rsidP="003D7746">
    <w:pPr>
      <w:pStyle w:val="Header"/>
      <w:pBdr>
        <w:bottom w:val="single" w:sz="4" w:space="1" w:color="auto"/>
      </w:pBdr>
      <w:jc w:val="center"/>
    </w:pPr>
    <w:r w:rsidRPr="003D7746">
      <w:t xml:space="preserve">- </w:t>
    </w:r>
    <w:r w:rsidRPr="003D7746">
      <w:fldChar w:fldCharType="begin"/>
    </w:r>
    <w:r w:rsidRPr="003D7746">
      <w:instrText xml:space="preserve"> PAGE  \* Arabic  \* MERGEFORMAT </w:instrText>
    </w:r>
    <w:r w:rsidRPr="003D7746">
      <w:fldChar w:fldCharType="separate"/>
    </w:r>
    <w:r w:rsidRPr="003D7746">
      <w:t>1</w:t>
    </w:r>
    <w:r w:rsidRPr="003D7746">
      <w:fldChar w:fldCharType="end"/>
    </w:r>
    <w:r w:rsidRPr="003D7746">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E977" w14:textId="1014E15D" w:rsidR="003D7746" w:rsidRPr="003D7746" w:rsidRDefault="003D7746" w:rsidP="003D7746">
    <w:pPr>
      <w:pStyle w:val="Header"/>
      <w:spacing w:after="240"/>
      <w:jc w:val="center"/>
    </w:pPr>
    <w:r w:rsidRPr="003D7746">
      <w:t>WT/</w:t>
    </w:r>
    <w:proofErr w:type="spellStart"/>
    <w:r w:rsidRPr="003D7746">
      <w:t>TPR</w:t>
    </w:r>
    <w:proofErr w:type="spellEnd"/>
    <w:r w:rsidRPr="003D7746">
      <w:t>/S/426</w:t>
    </w:r>
    <w:r>
      <w:t xml:space="preserve"> </w:t>
    </w:r>
    <w:r w:rsidRPr="0064650B">
      <w:t>• New Zealand</w:t>
    </w:r>
  </w:p>
  <w:p w14:paraId="16AA654E" w14:textId="77777777" w:rsidR="003D7746" w:rsidRPr="003D7746" w:rsidRDefault="003D7746" w:rsidP="003D7746">
    <w:pPr>
      <w:pStyle w:val="Header"/>
      <w:pBdr>
        <w:bottom w:val="single" w:sz="4" w:space="1" w:color="auto"/>
      </w:pBdr>
      <w:jc w:val="center"/>
    </w:pPr>
    <w:r w:rsidRPr="003D7746">
      <w:t xml:space="preserve">- </w:t>
    </w:r>
    <w:r w:rsidRPr="003D7746">
      <w:fldChar w:fldCharType="begin"/>
    </w:r>
    <w:r w:rsidRPr="003D7746">
      <w:instrText xml:space="preserve"> PAGE  \* Arabic  \* MERGEFORMAT </w:instrText>
    </w:r>
    <w:r w:rsidRPr="003D7746">
      <w:fldChar w:fldCharType="separate"/>
    </w:r>
    <w:r w:rsidRPr="003D7746">
      <w:t>1</w:t>
    </w:r>
    <w:r w:rsidRPr="003D7746">
      <w:fldChar w:fldCharType="end"/>
    </w:r>
    <w:r w:rsidRPr="003D7746">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5296" w14:textId="77777777" w:rsidR="003D7746" w:rsidRPr="003D7746" w:rsidRDefault="003D7746" w:rsidP="003D7746">
    <w:pPr>
      <w:pStyle w:val="Header"/>
      <w:spacing w:after="240"/>
      <w:jc w:val="center"/>
    </w:pPr>
    <w:r w:rsidRPr="003D7746">
      <w:t>WT/</w:t>
    </w:r>
    <w:proofErr w:type="spellStart"/>
    <w:r w:rsidRPr="003D7746">
      <w:t>TPR</w:t>
    </w:r>
    <w:proofErr w:type="spellEnd"/>
    <w:r w:rsidRPr="003D7746">
      <w:t>/S/426</w:t>
    </w:r>
  </w:p>
  <w:p w14:paraId="48503A5B" w14:textId="77777777" w:rsidR="003D7746" w:rsidRPr="003D7746" w:rsidRDefault="003D7746" w:rsidP="003D7746">
    <w:pPr>
      <w:pStyle w:val="Header"/>
      <w:pBdr>
        <w:bottom w:val="single" w:sz="4" w:space="1" w:color="auto"/>
      </w:pBdr>
      <w:jc w:val="center"/>
    </w:pPr>
    <w:r w:rsidRPr="003D7746">
      <w:t xml:space="preserve">- </w:t>
    </w:r>
    <w:r w:rsidRPr="003D7746">
      <w:fldChar w:fldCharType="begin"/>
    </w:r>
    <w:r w:rsidRPr="003D7746">
      <w:instrText xml:space="preserve"> PAGE  \* Arabic  \* MERGEFORMAT </w:instrText>
    </w:r>
    <w:r w:rsidRPr="003D7746">
      <w:fldChar w:fldCharType="separate"/>
    </w:r>
    <w:r w:rsidRPr="003D7746">
      <w:t>1</w:t>
    </w:r>
    <w:r w:rsidRPr="003D7746">
      <w:fldChar w:fldCharType="end"/>
    </w:r>
    <w:r w:rsidRPr="003D77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B010C9F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502D26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6"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C3E3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19E24A0"/>
    <w:multiLevelType w:val="multilevel"/>
    <w:tmpl w:val="6B701216"/>
    <w:lvl w:ilvl="0">
      <w:start w:val="1"/>
      <w:numFmt w:val="decimal"/>
      <w:lvlRestart w:val="0"/>
      <w:suff w:val="space"/>
      <w:lvlText w:val="%1 "/>
      <w:lvlJc w:val="left"/>
      <w:pPr>
        <w:tabs>
          <w:tab w:val="num" w:pos="567"/>
        </w:tabs>
        <w:ind w:left="0" w:firstLine="0"/>
      </w:pPr>
      <w:rPr>
        <w:rFonts w:ascii="Verdana" w:hAnsi="Verdana"/>
        <w:caps/>
        <w:smallCaps w:val="0"/>
      </w:rPr>
    </w:lvl>
    <w:lvl w:ilvl="1">
      <w:start w:val="1"/>
      <w:numFmt w:val="decimal"/>
      <w:suff w:val="space"/>
      <w:lvlText w:val="%1.%2 "/>
      <w:lvlJc w:val="left"/>
      <w:pPr>
        <w:tabs>
          <w:tab w:val="num" w:pos="567"/>
        </w:tabs>
        <w:ind w:left="0" w:firstLine="0"/>
      </w:pPr>
      <w:rPr>
        <w:rFonts w:ascii="Verdana" w:hAnsi="Verdana"/>
      </w:rPr>
    </w:lvl>
    <w:lvl w:ilvl="2">
      <w:start w:val="1"/>
      <w:numFmt w:val="decimal"/>
      <w:suff w:val="space"/>
      <w:lvlText w:val="%1.%2.%3 "/>
      <w:lvlJc w:val="left"/>
      <w:pPr>
        <w:tabs>
          <w:tab w:val="num" w:pos="567"/>
        </w:tabs>
        <w:ind w:left="0" w:firstLine="0"/>
      </w:pPr>
      <w:rPr>
        <w:rFonts w:ascii="Verdana" w:hAnsi="Verdana"/>
      </w:rPr>
    </w:lvl>
    <w:lvl w:ilvl="3">
      <w:start w:val="1"/>
      <w:numFmt w:val="decimal"/>
      <w:suff w:val="space"/>
      <w:lvlText w:val="%1.%2.%3.%4 "/>
      <w:lvlJc w:val="left"/>
      <w:pPr>
        <w:tabs>
          <w:tab w:val="num" w:pos="1134"/>
        </w:tabs>
        <w:ind w:left="0" w:firstLine="0"/>
      </w:pPr>
      <w:rPr>
        <w:rFonts w:ascii="Verdana" w:hAnsi="Verdana"/>
      </w:rPr>
    </w:lvl>
    <w:lvl w:ilvl="4">
      <w:start w:val="1"/>
      <w:numFmt w:val="decimal"/>
      <w:suff w:val="space"/>
      <w:lvlText w:val="%1.%2.%3.%4.%5 "/>
      <w:lvlJc w:val="left"/>
      <w:pPr>
        <w:tabs>
          <w:tab w:val="num" w:pos="1134"/>
        </w:tabs>
        <w:ind w:left="0" w:firstLine="0"/>
      </w:pPr>
      <w:rPr>
        <w:rFonts w:ascii="Verdana" w:hAnsi="Verdana"/>
      </w:rPr>
    </w:lvl>
    <w:lvl w:ilvl="5">
      <w:start w:val="1"/>
      <w:numFmt w:val="decimal"/>
      <w:suff w:val="space"/>
      <w:lvlText w:val="%1.%2.%3.%4.%5.%6 "/>
      <w:lvlJc w:val="left"/>
      <w:pPr>
        <w:tabs>
          <w:tab w:val="num" w:pos="1134"/>
        </w:tabs>
        <w:ind w:left="0" w:firstLine="0"/>
      </w:pPr>
      <w:rPr>
        <w:rFonts w:ascii="Verdana" w:hAnsi="Verdana"/>
      </w:rPr>
    </w:lvl>
    <w:lvl w:ilvl="6">
      <w:start w:val="1"/>
      <w:numFmt w:val="bullet"/>
      <w:lvlText w:val=""/>
      <w:lvlJc w:val="left"/>
      <w:pPr>
        <w:tabs>
          <w:tab w:val="num" w:pos="567"/>
        </w:tabs>
        <w:ind w:left="0" w:firstLine="0"/>
      </w:pPr>
      <w:rPr>
        <w:rFonts w:ascii="Symbol" w:hAnsi="Symbol" w:hint="default"/>
      </w:rPr>
    </w:lvl>
    <w:lvl w:ilvl="7">
      <w:start w:val="1"/>
      <w:numFmt w:val="lowerLetter"/>
      <w:lvlText w:val="%8."/>
      <w:lvlJc w:val="left"/>
      <w:pPr>
        <w:tabs>
          <w:tab w:val="num" w:pos="1134"/>
        </w:tabs>
        <w:ind w:left="1134" w:hanging="567"/>
      </w:pPr>
      <w:rPr>
        <w:rFonts w:ascii="Verdana" w:hAnsi="Verdana"/>
      </w:rPr>
    </w:lvl>
    <w:lvl w:ilvl="8">
      <w:start w:val="1"/>
      <w:numFmt w:val="lowerRoman"/>
      <w:lvlText w:val="%9."/>
      <w:lvlJc w:val="left"/>
      <w:pPr>
        <w:tabs>
          <w:tab w:val="num" w:pos="1701"/>
        </w:tabs>
        <w:ind w:left="1701" w:hanging="567"/>
      </w:pPr>
      <w:rPr>
        <w:rFonts w:ascii="Verdana" w:hAnsi="Verdana"/>
      </w:rPr>
    </w:lvl>
  </w:abstractNum>
  <w:abstractNum w:abstractNumId="9" w15:restartNumberingAfterBreak="0">
    <w:nsid w:val="32035AE4"/>
    <w:multiLevelType w:val="multilevel"/>
    <w:tmpl w:val="4EA204C2"/>
    <w:lvl w:ilvl="0">
      <w:start w:val="1"/>
      <w:numFmt w:val="decimal"/>
      <w:lvlRestart w:val="0"/>
      <w:suff w:val="space"/>
      <w:lvlText w:val="%1 "/>
      <w:lvlJc w:val="left"/>
      <w:pPr>
        <w:tabs>
          <w:tab w:val="num" w:pos="567"/>
        </w:tabs>
        <w:ind w:left="0" w:firstLine="0"/>
      </w:pPr>
      <w:rPr>
        <w:rFonts w:ascii="Verdana" w:hAnsi="Verdana"/>
        <w:caps/>
        <w:smallCaps w:val="0"/>
      </w:rPr>
    </w:lvl>
    <w:lvl w:ilvl="1">
      <w:start w:val="1"/>
      <w:numFmt w:val="decimal"/>
      <w:suff w:val="space"/>
      <w:lvlText w:val="%1.%2 "/>
      <w:lvlJc w:val="left"/>
      <w:pPr>
        <w:tabs>
          <w:tab w:val="num" w:pos="567"/>
        </w:tabs>
        <w:ind w:left="0" w:firstLine="0"/>
      </w:pPr>
      <w:rPr>
        <w:rFonts w:ascii="Verdana" w:hAnsi="Verdana"/>
      </w:rPr>
    </w:lvl>
    <w:lvl w:ilvl="2">
      <w:start w:val="1"/>
      <w:numFmt w:val="decimal"/>
      <w:suff w:val="space"/>
      <w:lvlText w:val="%1.%2.%3 "/>
      <w:lvlJc w:val="left"/>
      <w:pPr>
        <w:tabs>
          <w:tab w:val="num" w:pos="567"/>
        </w:tabs>
        <w:ind w:left="0" w:firstLine="0"/>
      </w:pPr>
      <w:rPr>
        <w:rFonts w:ascii="Verdana" w:hAnsi="Verdana"/>
      </w:rPr>
    </w:lvl>
    <w:lvl w:ilvl="3">
      <w:start w:val="1"/>
      <w:numFmt w:val="decimal"/>
      <w:suff w:val="space"/>
      <w:lvlText w:val="%1.%2.%3.%4 "/>
      <w:lvlJc w:val="left"/>
      <w:pPr>
        <w:tabs>
          <w:tab w:val="num" w:pos="1134"/>
        </w:tabs>
        <w:ind w:left="0" w:firstLine="0"/>
      </w:pPr>
      <w:rPr>
        <w:rFonts w:ascii="Verdana" w:hAnsi="Verdana"/>
      </w:rPr>
    </w:lvl>
    <w:lvl w:ilvl="4">
      <w:start w:val="1"/>
      <w:numFmt w:val="decimal"/>
      <w:suff w:val="space"/>
      <w:lvlText w:val="%1.%2.%3.%4.%5 "/>
      <w:lvlJc w:val="left"/>
      <w:pPr>
        <w:tabs>
          <w:tab w:val="num" w:pos="1134"/>
        </w:tabs>
        <w:ind w:left="0" w:firstLine="0"/>
      </w:pPr>
      <w:rPr>
        <w:rFonts w:ascii="Verdana" w:hAnsi="Verdana"/>
      </w:rPr>
    </w:lvl>
    <w:lvl w:ilvl="5">
      <w:start w:val="1"/>
      <w:numFmt w:val="decimal"/>
      <w:suff w:val="space"/>
      <w:lvlText w:val="%1.%2.%3.%4.%5.%6 "/>
      <w:lvlJc w:val="left"/>
      <w:pPr>
        <w:tabs>
          <w:tab w:val="num" w:pos="1134"/>
        </w:tabs>
        <w:ind w:left="0" w:firstLine="0"/>
      </w:pPr>
      <w:rPr>
        <w:rFonts w:ascii="Verdana" w:hAnsi="Verdana"/>
      </w:rPr>
    </w:lvl>
    <w:lvl w:ilvl="6">
      <w:start w:val="1"/>
      <w:numFmt w:val="bullet"/>
      <w:lvlText w:val=""/>
      <w:lvlJc w:val="left"/>
      <w:pPr>
        <w:tabs>
          <w:tab w:val="num" w:pos="567"/>
        </w:tabs>
        <w:ind w:left="0" w:firstLine="0"/>
      </w:pPr>
      <w:rPr>
        <w:rFonts w:ascii="Symbol" w:hAnsi="Symbol" w:hint="default"/>
      </w:rPr>
    </w:lvl>
    <w:lvl w:ilvl="7">
      <w:start w:val="1"/>
      <w:numFmt w:val="lowerLetter"/>
      <w:lvlText w:val="%8."/>
      <w:lvlJc w:val="left"/>
      <w:pPr>
        <w:tabs>
          <w:tab w:val="num" w:pos="1134"/>
        </w:tabs>
        <w:ind w:left="1134" w:hanging="567"/>
      </w:pPr>
      <w:rPr>
        <w:rFonts w:ascii="Verdana" w:hAnsi="Verdana"/>
      </w:rPr>
    </w:lvl>
    <w:lvl w:ilvl="8">
      <w:start w:val="1"/>
      <w:numFmt w:val="lowerRoman"/>
      <w:lvlText w:val="%9."/>
      <w:lvlJc w:val="left"/>
      <w:pPr>
        <w:tabs>
          <w:tab w:val="num" w:pos="1701"/>
        </w:tabs>
        <w:ind w:left="1701" w:hanging="567"/>
      </w:pPr>
      <w:rPr>
        <w:rFonts w:ascii="Verdana" w:hAnsi="Verdana"/>
      </w:rPr>
    </w:lvl>
  </w:abstractNum>
  <w:abstractNum w:abstractNumId="10" w15:restartNumberingAfterBreak="0">
    <w:nsid w:val="45DD6B70"/>
    <w:multiLevelType w:val="hybridMultilevel"/>
    <w:tmpl w:val="062E7964"/>
    <w:lvl w:ilvl="0" w:tplc="7BB8C2F4">
      <w:numFmt w:val="bullet"/>
      <w:lvlText w:val=""/>
      <w:lvlJc w:val="left"/>
      <w:pPr>
        <w:ind w:left="335" w:hanging="230"/>
      </w:pPr>
      <w:rPr>
        <w:rFonts w:ascii="Symbol" w:eastAsia="Symbol" w:hAnsi="Symbol" w:cs="Symbol" w:hint="default"/>
        <w:w w:val="100"/>
        <w:sz w:val="22"/>
        <w:szCs w:val="22"/>
      </w:rPr>
    </w:lvl>
    <w:lvl w:ilvl="1" w:tplc="AA5E4DFA">
      <w:numFmt w:val="bullet"/>
      <w:lvlText w:val="•"/>
      <w:lvlJc w:val="left"/>
      <w:pPr>
        <w:ind w:left="552" w:hanging="230"/>
      </w:pPr>
      <w:rPr>
        <w:rFonts w:hint="default"/>
      </w:rPr>
    </w:lvl>
    <w:lvl w:ilvl="2" w:tplc="DD5A4C20">
      <w:numFmt w:val="bullet"/>
      <w:lvlText w:val="•"/>
      <w:lvlJc w:val="left"/>
      <w:pPr>
        <w:ind w:left="764" w:hanging="230"/>
      </w:pPr>
      <w:rPr>
        <w:rFonts w:hint="default"/>
      </w:rPr>
    </w:lvl>
    <w:lvl w:ilvl="3" w:tplc="CD362586">
      <w:numFmt w:val="bullet"/>
      <w:lvlText w:val="•"/>
      <w:lvlJc w:val="left"/>
      <w:pPr>
        <w:ind w:left="976" w:hanging="230"/>
      </w:pPr>
      <w:rPr>
        <w:rFonts w:hint="default"/>
      </w:rPr>
    </w:lvl>
    <w:lvl w:ilvl="4" w:tplc="D8FA7B72">
      <w:numFmt w:val="bullet"/>
      <w:lvlText w:val="•"/>
      <w:lvlJc w:val="left"/>
      <w:pPr>
        <w:ind w:left="1188" w:hanging="230"/>
      </w:pPr>
      <w:rPr>
        <w:rFonts w:hint="default"/>
      </w:rPr>
    </w:lvl>
    <w:lvl w:ilvl="5" w:tplc="3D6821C2">
      <w:numFmt w:val="bullet"/>
      <w:lvlText w:val="•"/>
      <w:lvlJc w:val="left"/>
      <w:pPr>
        <w:ind w:left="1400" w:hanging="230"/>
      </w:pPr>
      <w:rPr>
        <w:rFonts w:hint="default"/>
      </w:rPr>
    </w:lvl>
    <w:lvl w:ilvl="6" w:tplc="7604FCA6">
      <w:numFmt w:val="bullet"/>
      <w:lvlText w:val="•"/>
      <w:lvlJc w:val="left"/>
      <w:pPr>
        <w:ind w:left="1612" w:hanging="230"/>
      </w:pPr>
      <w:rPr>
        <w:rFonts w:hint="default"/>
      </w:rPr>
    </w:lvl>
    <w:lvl w:ilvl="7" w:tplc="0EC62406">
      <w:numFmt w:val="bullet"/>
      <w:lvlText w:val="•"/>
      <w:lvlJc w:val="left"/>
      <w:pPr>
        <w:ind w:left="1824" w:hanging="230"/>
      </w:pPr>
      <w:rPr>
        <w:rFonts w:hint="default"/>
      </w:rPr>
    </w:lvl>
    <w:lvl w:ilvl="8" w:tplc="70E8FD2E">
      <w:numFmt w:val="bullet"/>
      <w:lvlText w:val="•"/>
      <w:lvlJc w:val="left"/>
      <w:pPr>
        <w:ind w:left="2036" w:hanging="230"/>
      </w:pPr>
      <w:rPr>
        <w:rFonts w:hint="default"/>
      </w:rPr>
    </w:lvl>
  </w:abstractNum>
  <w:abstractNum w:abstractNumId="11" w15:restartNumberingAfterBreak="0">
    <w:nsid w:val="4C657CC4"/>
    <w:multiLevelType w:val="hybridMultilevel"/>
    <w:tmpl w:val="787835E0"/>
    <w:lvl w:ilvl="0" w:tplc="43FA23EE">
      <w:numFmt w:val="bullet"/>
      <w:lvlText w:val=""/>
      <w:lvlJc w:val="left"/>
      <w:pPr>
        <w:ind w:left="335" w:hanging="230"/>
      </w:pPr>
      <w:rPr>
        <w:rFonts w:ascii="Symbol" w:eastAsia="Symbol" w:hAnsi="Symbol" w:cs="Symbol" w:hint="default"/>
        <w:w w:val="100"/>
        <w:sz w:val="22"/>
        <w:szCs w:val="22"/>
      </w:rPr>
    </w:lvl>
    <w:lvl w:ilvl="1" w:tplc="B1720236">
      <w:numFmt w:val="bullet"/>
      <w:lvlText w:val="•"/>
      <w:lvlJc w:val="left"/>
      <w:pPr>
        <w:ind w:left="552" w:hanging="230"/>
      </w:pPr>
      <w:rPr>
        <w:rFonts w:hint="default"/>
      </w:rPr>
    </w:lvl>
    <w:lvl w:ilvl="2" w:tplc="257678BA">
      <w:numFmt w:val="bullet"/>
      <w:lvlText w:val="•"/>
      <w:lvlJc w:val="left"/>
      <w:pPr>
        <w:ind w:left="764" w:hanging="230"/>
      </w:pPr>
      <w:rPr>
        <w:rFonts w:hint="default"/>
      </w:rPr>
    </w:lvl>
    <w:lvl w:ilvl="3" w:tplc="016E1478">
      <w:numFmt w:val="bullet"/>
      <w:lvlText w:val="•"/>
      <w:lvlJc w:val="left"/>
      <w:pPr>
        <w:ind w:left="976" w:hanging="230"/>
      </w:pPr>
      <w:rPr>
        <w:rFonts w:hint="default"/>
      </w:rPr>
    </w:lvl>
    <w:lvl w:ilvl="4" w:tplc="8B62CD1E">
      <w:numFmt w:val="bullet"/>
      <w:lvlText w:val="•"/>
      <w:lvlJc w:val="left"/>
      <w:pPr>
        <w:ind w:left="1188" w:hanging="230"/>
      </w:pPr>
      <w:rPr>
        <w:rFonts w:hint="default"/>
      </w:rPr>
    </w:lvl>
    <w:lvl w:ilvl="5" w:tplc="B0182DC4">
      <w:numFmt w:val="bullet"/>
      <w:lvlText w:val="•"/>
      <w:lvlJc w:val="left"/>
      <w:pPr>
        <w:ind w:left="1400" w:hanging="230"/>
      </w:pPr>
      <w:rPr>
        <w:rFonts w:hint="default"/>
      </w:rPr>
    </w:lvl>
    <w:lvl w:ilvl="6" w:tplc="389288AA">
      <w:numFmt w:val="bullet"/>
      <w:lvlText w:val="•"/>
      <w:lvlJc w:val="left"/>
      <w:pPr>
        <w:ind w:left="1612" w:hanging="230"/>
      </w:pPr>
      <w:rPr>
        <w:rFonts w:hint="default"/>
      </w:rPr>
    </w:lvl>
    <w:lvl w:ilvl="7" w:tplc="460EF67C">
      <w:numFmt w:val="bullet"/>
      <w:lvlText w:val="•"/>
      <w:lvlJc w:val="left"/>
      <w:pPr>
        <w:ind w:left="1824" w:hanging="230"/>
      </w:pPr>
      <w:rPr>
        <w:rFonts w:hint="default"/>
      </w:rPr>
    </w:lvl>
    <w:lvl w:ilvl="8" w:tplc="807EE09E">
      <w:numFmt w:val="bullet"/>
      <w:lvlText w:val="•"/>
      <w:lvlJc w:val="left"/>
      <w:pPr>
        <w:ind w:left="2036" w:hanging="230"/>
      </w:pPr>
      <w:rPr>
        <w:rFonts w:hint="default"/>
      </w:rPr>
    </w:lvl>
  </w:abstractNum>
  <w:abstractNum w:abstractNumId="12" w15:restartNumberingAfterBreak="0">
    <w:nsid w:val="4EA14B39"/>
    <w:multiLevelType w:val="hybridMultilevel"/>
    <w:tmpl w:val="A6EC3F30"/>
    <w:lvl w:ilvl="0" w:tplc="23363E4C">
      <w:numFmt w:val="bullet"/>
      <w:lvlText w:val="•"/>
      <w:lvlJc w:val="left"/>
      <w:pPr>
        <w:ind w:left="335" w:hanging="230"/>
      </w:pPr>
      <w:rPr>
        <w:rFonts w:hint="default"/>
        <w:w w:val="100"/>
        <w:sz w:val="22"/>
        <w:szCs w:val="22"/>
      </w:rPr>
    </w:lvl>
    <w:lvl w:ilvl="1" w:tplc="4828A14C">
      <w:numFmt w:val="bullet"/>
      <w:lvlText w:val="•"/>
      <w:lvlJc w:val="left"/>
      <w:pPr>
        <w:ind w:left="552" w:hanging="230"/>
      </w:pPr>
      <w:rPr>
        <w:rFonts w:hint="default"/>
      </w:rPr>
    </w:lvl>
    <w:lvl w:ilvl="2" w:tplc="47D8AB1C">
      <w:numFmt w:val="bullet"/>
      <w:lvlText w:val="•"/>
      <w:lvlJc w:val="left"/>
      <w:pPr>
        <w:ind w:left="764" w:hanging="230"/>
      </w:pPr>
      <w:rPr>
        <w:rFonts w:hint="default"/>
      </w:rPr>
    </w:lvl>
    <w:lvl w:ilvl="3" w:tplc="D44AAF76">
      <w:numFmt w:val="bullet"/>
      <w:lvlText w:val="•"/>
      <w:lvlJc w:val="left"/>
      <w:pPr>
        <w:ind w:left="976" w:hanging="230"/>
      </w:pPr>
      <w:rPr>
        <w:rFonts w:hint="default"/>
      </w:rPr>
    </w:lvl>
    <w:lvl w:ilvl="4" w:tplc="D7E89B1E">
      <w:numFmt w:val="bullet"/>
      <w:lvlText w:val="•"/>
      <w:lvlJc w:val="left"/>
      <w:pPr>
        <w:ind w:left="1188" w:hanging="230"/>
      </w:pPr>
      <w:rPr>
        <w:rFonts w:hint="default"/>
      </w:rPr>
    </w:lvl>
    <w:lvl w:ilvl="5" w:tplc="3E107F70">
      <w:numFmt w:val="bullet"/>
      <w:lvlText w:val="•"/>
      <w:lvlJc w:val="left"/>
      <w:pPr>
        <w:ind w:left="1400" w:hanging="230"/>
      </w:pPr>
      <w:rPr>
        <w:rFonts w:hint="default"/>
      </w:rPr>
    </w:lvl>
    <w:lvl w:ilvl="6" w:tplc="67BC08D0">
      <w:numFmt w:val="bullet"/>
      <w:lvlText w:val="•"/>
      <w:lvlJc w:val="left"/>
      <w:pPr>
        <w:ind w:left="1612" w:hanging="230"/>
      </w:pPr>
      <w:rPr>
        <w:rFonts w:hint="default"/>
      </w:rPr>
    </w:lvl>
    <w:lvl w:ilvl="7" w:tplc="584235C2">
      <w:numFmt w:val="bullet"/>
      <w:lvlText w:val="•"/>
      <w:lvlJc w:val="left"/>
      <w:pPr>
        <w:ind w:left="1824" w:hanging="230"/>
      </w:pPr>
      <w:rPr>
        <w:rFonts w:hint="default"/>
      </w:rPr>
    </w:lvl>
    <w:lvl w:ilvl="8" w:tplc="E1DE8E84">
      <w:numFmt w:val="bullet"/>
      <w:lvlText w:val="•"/>
      <w:lvlJc w:val="left"/>
      <w:pPr>
        <w:ind w:left="2036" w:hanging="230"/>
      </w:pPr>
      <w:rPr>
        <w:rFonts w:hint="default"/>
      </w:rPr>
    </w:lvl>
  </w:abstractNum>
  <w:abstractNum w:abstractNumId="13" w15:restartNumberingAfterBreak="0">
    <w:nsid w:val="53E948C5"/>
    <w:multiLevelType w:val="multilevel"/>
    <w:tmpl w:val="D42C30C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551E12"/>
    <w:multiLevelType w:val="multilevel"/>
    <w:tmpl w:val="3754D99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CE63E96"/>
    <w:multiLevelType w:val="hybridMultilevel"/>
    <w:tmpl w:val="9D44EB76"/>
    <w:lvl w:ilvl="0" w:tplc="93A0DBA8">
      <w:numFmt w:val="bullet"/>
      <w:lvlText w:val=""/>
      <w:lvlJc w:val="left"/>
      <w:pPr>
        <w:ind w:left="335" w:hanging="230"/>
      </w:pPr>
      <w:rPr>
        <w:rFonts w:ascii="Symbol" w:eastAsia="Symbol" w:hAnsi="Symbol" w:cs="Symbol" w:hint="default"/>
        <w:w w:val="100"/>
        <w:sz w:val="22"/>
        <w:szCs w:val="22"/>
      </w:rPr>
    </w:lvl>
    <w:lvl w:ilvl="1" w:tplc="44A4A518">
      <w:numFmt w:val="bullet"/>
      <w:lvlText w:val="•"/>
      <w:lvlJc w:val="left"/>
      <w:pPr>
        <w:ind w:left="552" w:hanging="230"/>
      </w:pPr>
      <w:rPr>
        <w:rFonts w:hint="default"/>
      </w:rPr>
    </w:lvl>
    <w:lvl w:ilvl="2" w:tplc="0226ECA6">
      <w:numFmt w:val="bullet"/>
      <w:lvlText w:val="•"/>
      <w:lvlJc w:val="left"/>
      <w:pPr>
        <w:ind w:left="764" w:hanging="230"/>
      </w:pPr>
      <w:rPr>
        <w:rFonts w:hint="default"/>
      </w:rPr>
    </w:lvl>
    <w:lvl w:ilvl="3" w:tplc="3A72A47E">
      <w:numFmt w:val="bullet"/>
      <w:lvlText w:val="•"/>
      <w:lvlJc w:val="left"/>
      <w:pPr>
        <w:ind w:left="976" w:hanging="230"/>
      </w:pPr>
      <w:rPr>
        <w:rFonts w:hint="default"/>
      </w:rPr>
    </w:lvl>
    <w:lvl w:ilvl="4" w:tplc="ED9626F8">
      <w:numFmt w:val="bullet"/>
      <w:lvlText w:val="•"/>
      <w:lvlJc w:val="left"/>
      <w:pPr>
        <w:ind w:left="1188" w:hanging="230"/>
      </w:pPr>
      <w:rPr>
        <w:rFonts w:hint="default"/>
      </w:rPr>
    </w:lvl>
    <w:lvl w:ilvl="5" w:tplc="57ACEABE">
      <w:numFmt w:val="bullet"/>
      <w:lvlText w:val="•"/>
      <w:lvlJc w:val="left"/>
      <w:pPr>
        <w:ind w:left="1400" w:hanging="230"/>
      </w:pPr>
      <w:rPr>
        <w:rFonts w:hint="default"/>
      </w:rPr>
    </w:lvl>
    <w:lvl w:ilvl="6" w:tplc="1F10F3AA">
      <w:numFmt w:val="bullet"/>
      <w:lvlText w:val="•"/>
      <w:lvlJc w:val="left"/>
      <w:pPr>
        <w:ind w:left="1612" w:hanging="230"/>
      </w:pPr>
      <w:rPr>
        <w:rFonts w:hint="default"/>
      </w:rPr>
    </w:lvl>
    <w:lvl w:ilvl="7" w:tplc="788618AA">
      <w:numFmt w:val="bullet"/>
      <w:lvlText w:val="•"/>
      <w:lvlJc w:val="left"/>
      <w:pPr>
        <w:ind w:left="1824" w:hanging="230"/>
      </w:pPr>
      <w:rPr>
        <w:rFonts w:hint="default"/>
      </w:rPr>
    </w:lvl>
    <w:lvl w:ilvl="8" w:tplc="AF5004BE">
      <w:numFmt w:val="bullet"/>
      <w:lvlText w:val="•"/>
      <w:lvlJc w:val="left"/>
      <w:pPr>
        <w:ind w:left="2036" w:hanging="23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DE0C3D"/>
    <w:multiLevelType w:val="hybridMultilevel"/>
    <w:tmpl w:val="409E67E6"/>
    <w:lvl w:ilvl="0" w:tplc="7A7C6F78">
      <w:numFmt w:val="bullet"/>
      <w:lvlText w:val=""/>
      <w:lvlJc w:val="left"/>
      <w:pPr>
        <w:ind w:left="335" w:hanging="230"/>
      </w:pPr>
      <w:rPr>
        <w:rFonts w:ascii="Symbol" w:eastAsia="Symbol" w:hAnsi="Symbol" w:cs="Symbol" w:hint="default"/>
        <w:w w:val="100"/>
        <w:sz w:val="22"/>
        <w:szCs w:val="22"/>
      </w:rPr>
    </w:lvl>
    <w:lvl w:ilvl="1" w:tplc="E27C4076">
      <w:numFmt w:val="bullet"/>
      <w:lvlText w:val="•"/>
      <w:lvlJc w:val="left"/>
      <w:pPr>
        <w:ind w:left="552" w:hanging="230"/>
      </w:pPr>
      <w:rPr>
        <w:rFonts w:hint="default"/>
      </w:rPr>
    </w:lvl>
    <w:lvl w:ilvl="2" w:tplc="7A1E2E76">
      <w:numFmt w:val="bullet"/>
      <w:lvlText w:val="•"/>
      <w:lvlJc w:val="left"/>
      <w:pPr>
        <w:ind w:left="764" w:hanging="230"/>
      </w:pPr>
      <w:rPr>
        <w:rFonts w:hint="default"/>
      </w:rPr>
    </w:lvl>
    <w:lvl w:ilvl="3" w:tplc="DC567990">
      <w:numFmt w:val="bullet"/>
      <w:lvlText w:val="•"/>
      <w:lvlJc w:val="left"/>
      <w:pPr>
        <w:ind w:left="976" w:hanging="230"/>
      </w:pPr>
      <w:rPr>
        <w:rFonts w:hint="default"/>
      </w:rPr>
    </w:lvl>
    <w:lvl w:ilvl="4" w:tplc="13761430">
      <w:numFmt w:val="bullet"/>
      <w:lvlText w:val="•"/>
      <w:lvlJc w:val="left"/>
      <w:pPr>
        <w:ind w:left="1188" w:hanging="230"/>
      </w:pPr>
      <w:rPr>
        <w:rFonts w:hint="default"/>
      </w:rPr>
    </w:lvl>
    <w:lvl w:ilvl="5" w:tplc="E3946AD2">
      <w:numFmt w:val="bullet"/>
      <w:lvlText w:val="•"/>
      <w:lvlJc w:val="left"/>
      <w:pPr>
        <w:ind w:left="1400" w:hanging="230"/>
      </w:pPr>
      <w:rPr>
        <w:rFonts w:hint="default"/>
      </w:rPr>
    </w:lvl>
    <w:lvl w:ilvl="6" w:tplc="5B5C4E50">
      <w:numFmt w:val="bullet"/>
      <w:lvlText w:val="•"/>
      <w:lvlJc w:val="left"/>
      <w:pPr>
        <w:ind w:left="1612" w:hanging="230"/>
      </w:pPr>
      <w:rPr>
        <w:rFonts w:hint="default"/>
      </w:rPr>
    </w:lvl>
    <w:lvl w:ilvl="7" w:tplc="BF243964">
      <w:numFmt w:val="bullet"/>
      <w:lvlText w:val="•"/>
      <w:lvlJc w:val="left"/>
      <w:pPr>
        <w:ind w:left="1824" w:hanging="230"/>
      </w:pPr>
      <w:rPr>
        <w:rFonts w:hint="default"/>
      </w:rPr>
    </w:lvl>
    <w:lvl w:ilvl="8" w:tplc="17B290E2">
      <w:numFmt w:val="bullet"/>
      <w:lvlText w:val="•"/>
      <w:lvlJc w:val="left"/>
      <w:pPr>
        <w:ind w:left="2036" w:hanging="230"/>
      </w:pPr>
      <w:rPr>
        <w:rFonts w:hint="default"/>
      </w:rPr>
    </w:lvl>
  </w:abstractNum>
  <w:abstractNum w:abstractNumId="18" w15:restartNumberingAfterBreak="0">
    <w:nsid w:val="67D064B6"/>
    <w:multiLevelType w:val="hybridMultilevel"/>
    <w:tmpl w:val="6CC89DAA"/>
    <w:lvl w:ilvl="0" w:tplc="0C929A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C0B53"/>
    <w:multiLevelType w:val="hybridMultilevel"/>
    <w:tmpl w:val="56BCD2C6"/>
    <w:lvl w:ilvl="0" w:tplc="A15A868C">
      <w:numFmt w:val="bullet"/>
      <w:lvlText w:val=""/>
      <w:lvlJc w:val="left"/>
      <w:pPr>
        <w:ind w:left="335" w:hanging="230"/>
      </w:pPr>
      <w:rPr>
        <w:rFonts w:ascii="Symbol" w:eastAsia="Symbol" w:hAnsi="Symbol" w:cs="Symbol" w:hint="default"/>
        <w:w w:val="100"/>
        <w:sz w:val="22"/>
        <w:szCs w:val="22"/>
      </w:rPr>
    </w:lvl>
    <w:lvl w:ilvl="1" w:tplc="23363E4C">
      <w:numFmt w:val="bullet"/>
      <w:lvlText w:val="•"/>
      <w:lvlJc w:val="left"/>
      <w:pPr>
        <w:ind w:left="552" w:hanging="230"/>
      </w:pPr>
      <w:rPr>
        <w:rFonts w:hint="default"/>
      </w:rPr>
    </w:lvl>
    <w:lvl w:ilvl="2" w:tplc="349EE8A4">
      <w:numFmt w:val="bullet"/>
      <w:lvlText w:val="•"/>
      <w:lvlJc w:val="left"/>
      <w:pPr>
        <w:ind w:left="764" w:hanging="230"/>
      </w:pPr>
      <w:rPr>
        <w:rFonts w:hint="default"/>
      </w:rPr>
    </w:lvl>
    <w:lvl w:ilvl="3" w:tplc="665C4036">
      <w:numFmt w:val="bullet"/>
      <w:lvlText w:val="•"/>
      <w:lvlJc w:val="left"/>
      <w:pPr>
        <w:ind w:left="976" w:hanging="230"/>
      </w:pPr>
      <w:rPr>
        <w:rFonts w:hint="default"/>
      </w:rPr>
    </w:lvl>
    <w:lvl w:ilvl="4" w:tplc="E6AC05A6">
      <w:numFmt w:val="bullet"/>
      <w:lvlText w:val="•"/>
      <w:lvlJc w:val="left"/>
      <w:pPr>
        <w:ind w:left="1188" w:hanging="230"/>
      </w:pPr>
      <w:rPr>
        <w:rFonts w:hint="default"/>
      </w:rPr>
    </w:lvl>
    <w:lvl w:ilvl="5" w:tplc="1096BE9E">
      <w:numFmt w:val="bullet"/>
      <w:lvlText w:val="•"/>
      <w:lvlJc w:val="left"/>
      <w:pPr>
        <w:ind w:left="1400" w:hanging="230"/>
      </w:pPr>
      <w:rPr>
        <w:rFonts w:hint="default"/>
      </w:rPr>
    </w:lvl>
    <w:lvl w:ilvl="6" w:tplc="35EE42AA">
      <w:numFmt w:val="bullet"/>
      <w:lvlText w:val="•"/>
      <w:lvlJc w:val="left"/>
      <w:pPr>
        <w:ind w:left="1612" w:hanging="230"/>
      </w:pPr>
      <w:rPr>
        <w:rFonts w:hint="default"/>
      </w:rPr>
    </w:lvl>
    <w:lvl w:ilvl="7" w:tplc="F462F4A8">
      <w:numFmt w:val="bullet"/>
      <w:lvlText w:val="•"/>
      <w:lvlJc w:val="left"/>
      <w:pPr>
        <w:ind w:left="1824" w:hanging="230"/>
      </w:pPr>
      <w:rPr>
        <w:rFonts w:hint="default"/>
      </w:rPr>
    </w:lvl>
    <w:lvl w:ilvl="8" w:tplc="58A41A2E">
      <w:numFmt w:val="bullet"/>
      <w:lvlText w:val="•"/>
      <w:lvlJc w:val="left"/>
      <w:pPr>
        <w:ind w:left="2036" w:hanging="230"/>
      </w:pPr>
      <w:rPr>
        <w:rFonts w:hint="default"/>
      </w:rPr>
    </w:lvl>
  </w:abstractNum>
  <w:abstractNum w:abstractNumId="20" w15:restartNumberingAfterBreak="0">
    <w:nsid w:val="6D523F67"/>
    <w:multiLevelType w:val="hybridMultilevel"/>
    <w:tmpl w:val="40846BE2"/>
    <w:lvl w:ilvl="0" w:tplc="28327E06">
      <w:numFmt w:val="bullet"/>
      <w:lvlText w:val=""/>
      <w:lvlJc w:val="left"/>
      <w:pPr>
        <w:ind w:left="335" w:hanging="230"/>
      </w:pPr>
      <w:rPr>
        <w:rFonts w:ascii="Symbol" w:eastAsia="Symbol" w:hAnsi="Symbol" w:cs="Symbol" w:hint="default"/>
        <w:w w:val="100"/>
        <w:sz w:val="22"/>
        <w:szCs w:val="22"/>
      </w:rPr>
    </w:lvl>
    <w:lvl w:ilvl="1" w:tplc="2BB8BEE0">
      <w:numFmt w:val="bullet"/>
      <w:lvlText w:val="•"/>
      <w:lvlJc w:val="left"/>
      <w:pPr>
        <w:ind w:left="552" w:hanging="230"/>
      </w:pPr>
      <w:rPr>
        <w:rFonts w:hint="default"/>
      </w:rPr>
    </w:lvl>
    <w:lvl w:ilvl="2" w:tplc="314EF40C">
      <w:numFmt w:val="bullet"/>
      <w:lvlText w:val="•"/>
      <w:lvlJc w:val="left"/>
      <w:pPr>
        <w:ind w:left="764" w:hanging="230"/>
      </w:pPr>
      <w:rPr>
        <w:rFonts w:hint="default"/>
      </w:rPr>
    </w:lvl>
    <w:lvl w:ilvl="3" w:tplc="FE021864">
      <w:numFmt w:val="bullet"/>
      <w:lvlText w:val="•"/>
      <w:lvlJc w:val="left"/>
      <w:pPr>
        <w:ind w:left="976" w:hanging="230"/>
      </w:pPr>
      <w:rPr>
        <w:rFonts w:hint="default"/>
      </w:rPr>
    </w:lvl>
    <w:lvl w:ilvl="4" w:tplc="295297AE">
      <w:numFmt w:val="bullet"/>
      <w:lvlText w:val="•"/>
      <w:lvlJc w:val="left"/>
      <w:pPr>
        <w:ind w:left="1188" w:hanging="230"/>
      </w:pPr>
      <w:rPr>
        <w:rFonts w:hint="default"/>
      </w:rPr>
    </w:lvl>
    <w:lvl w:ilvl="5" w:tplc="5AA0212C">
      <w:numFmt w:val="bullet"/>
      <w:lvlText w:val="•"/>
      <w:lvlJc w:val="left"/>
      <w:pPr>
        <w:ind w:left="1400" w:hanging="230"/>
      </w:pPr>
      <w:rPr>
        <w:rFonts w:hint="default"/>
      </w:rPr>
    </w:lvl>
    <w:lvl w:ilvl="6" w:tplc="E4320160">
      <w:numFmt w:val="bullet"/>
      <w:lvlText w:val="•"/>
      <w:lvlJc w:val="left"/>
      <w:pPr>
        <w:ind w:left="1612" w:hanging="230"/>
      </w:pPr>
      <w:rPr>
        <w:rFonts w:hint="default"/>
      </w:rPr>
    </w:lvl>
    <w:lvl w:ilvl="7" w:tplc="1F5C89B8">
      <w:numFmt w:val="bullet"/>
      <w:lvlText w:val="•"/>
      <w:lvlJc w:val="left"/>
      <w:pPr>
        <w:ind w:left="1824" w:hanging="230"/>
      </w:pPr>
      <w:rPr>
        <w:rFonts w:hint="default"/>
      </w:rPr>
    </w:lvl>
    <w:lvl w:ilvl="8" w:tplc="D410FCBE">
      <w:numFmt w:val="bullet"/>
      <w:lvlText w:val="•"/>
      <w:lvlJc w:val="left"/>
      <w:pPr>
        <w:ind w:left="2036" w:hanging="230"/>
      </w:pPr>
      <w:rPr>
        <w:rFonts w:hint="default"/>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3"/>
  </w:num>
  <w:num w:numId="6">
    <w:abstractNumId w:val="2"/>
  </w:num>
  <w:num w:numId="7">
    <w:abstractNumId w:val="1"/>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15"/>
  </w:num>
  <w:num w:numId="13">
    <w:abstractNumId w:val="19"/>
  </w:num>
  <w:num w:numId="14">
    <w:abstractNumId w:val="10"/>
  </w:num>
  <w:num w:numId="15">
    <w:abstractNumId w:val="11"/>
  </w:num>
  <w:num w:numId="16">
    <w:abstractNumId w:val="17"/>
  </w:num>
  <w:num w:numId="17">
    <w:abstractNumId w:val="20"/>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9"/>
  </w:num>
  <w:num w:numId="47">
    <w:abstractNumId w:val="2"/>
  </w:num>
  <w:num w:numId="48">
    <w:abstractNumId w:val="2"/>
  </w:num>
  <w:num w:numId="49">
    <w:abstractNumId w:val="13"/>
  </w:num>
  <w:num w:numId="50">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0B"/>
    <w:rsid w:val="00021A12"/>
    <w:rsid w:val="000272F6"/>
    <w:rsid w:val="000317E0"/>
    <w:rsid w:val="0003189B"/>
    <w:rsid w:val="00037AC4"/>
    <w:rsid w:val="000504F9"/>
    <w:rsid w:val="00052F16"/>
    <w:rsid w:val="00062AA5"/>
    <w:rsid w:val="000A4945"/>
    <w:rsid w:val="000B31E1"/>
    <w:rsid w:val="000B408D"/>
    <w:rsid w:val="000C40BE"/>
    <w:rsid w:val="00111310"/>
    <w:rsid w:val="0011356B"/>
    <w:rsid w:val="00120717"/>
    <w:rsid w:val="0012793B"/>
    <w:rsid w:val="0013337F"/>
    <w:rsid w:val="00133D67"/>
    <w:rsid w:val="0014272A"/>
    <w:rsid w:val="00150FE8"/>
    <w:rsid w:val="001571C6"/>
    <w:rsid w:val="001662B9"/>
    <w:rsid w:val="00182B84"/>
    <w:rsid w:val="00187CD1"/>
    <w:rsid w:val="0019741D"/>
    <w:rsid w:val="001A2CCA"/>
    <w:rsid w:val="001B67C0"/>
    <w:rsid w:val="001C0F1E"/>
    <w:rsid w:val="001C1428"/>
    <w:rsid w:val="001C795D"/>
    <w:rsid w:val="001E291F"/>
    <w:rsid w:val="00205EE6"/>
    <w:rsid w:val="00233408"/>
    <w:rsid w:val="00234A68"/>
    <w:rsid w:val="002430CB"/>
    <w:rsid w:val="00260CF2"/>
    <w:rsid w:val="00264C7C"/>
    <w:rsid w:val="0027067B"/>
    <w:rsid w:val="002A2260"/>
    <w:rsid w:val="002D0649"/>
    <w:rsid w:val="003029D5"/>
    <w:rsid w:val="003312DD"/>
    <w:rsid w:val="0035083E"/>
    <w:rsid w:val="003548EA"/>
    <w:rsid w:val="003572B4"/>
    <w:rsid w:val="003614B4"/>
    <w:rsid w:val="00364BAC"/>
    <w:rsid w:val="00365B55"/>
    <w:rsid w:val="00375F3C"/>
    <w:rsid w:val="00377DE8"/>
    <w:rsid w:val="003B212D"/>
    <w:rsid w:val="003B6602"/>
    <w:rsid w:val="003C53A8"/>
    <w:rsid w:val="003D50B9"/>
    <w:rsid w:val="003D7746"/>
    <w:rsid w:val="003E5C1B"/>
    <w:rsid w:val="003E6027"/>
    <w:rsid w:val="004054B6"/>
    <w:rsid w:val="00414226"/>
    <w:rsid w:val="00467032"/>
    <w:rsid w:val="0046754A"/>
    <w:rsid w:val="00482407"/>
    <w:rsid w:val="00496E6B"/>
    <w:rsid w:val="004A0C19"/>
    <w:rsid w:val="004A5851"/>
    <w:rsid w:val="004A587C"/>
    <w:rsid w:val="004B1B74"/>
    <w:rsid w:val="004C53A3"/>
    <w:rsid w:val="004F203A"/>
    <w:rsid w:val="005336B8"/>
    <w:rsid w:val="0058794D"/>
    <w:rsid w:val="005B04B9"/>
    <w:rsid w:val="005B68C7"/>
    <w:rsid w:val="005D6DE8"/>
    <w:rsid w:val="005E221A"/>
    <w:rsid w:val="005F30CB"/>
    <w:rsid w:val="00616413"/>
    <w:rsid w:val="00636DAA"/>
    <w:rsid w:val="00643272"/>
    <w:rsid w:val="0064650B"/>
    <w:rsid w:val="00674CCD"/>
    <w:rsid w:val="00681C42"/>
    <w:rsid w:val="00684A4A"/>
    <w:rsid w:val="006A0ECF"/>
    <w:rsid w:val="006A25C8"/>
    <w:rsid w:val="006A26C7"/>
    <w:rsid w:val="006B1D61"/>
    <w:rsid w:val="006C5002"/>
    <w:rsid w:val="006D57C5"/>
    <w:rsid w:val="006F55F7"/>
    <w:rsid w:val="006F5826"/>
    <w:rsid w:val="00700181"/>
    <w:rsid w:val="007141CF"/>
    <w:rsid w:val="00732A15"/>
    <w:rsid w:val="007577E3"/>
    <w:rsid w:val="00760DB3"/>
    <w:rsid w:val="007855F3"/>
    <w:rsid w:val="007A4ECB"/>
    <w:rsid w:val="007C5264"/>
    <w:rsid w:val="007E0A45"/>
    <w:rsid w:val="007E6507"/>
    <w:rsid w:val="007F2B8E"/>
    <w:rsid w:val="00800662"/>
    <w:rsid w:val="00807247"/>
    <w:rsid w:val="00814711"/>
    <w:rsid w:val="00820D67"/>
    <w:rsid w:val="00826C18"/>
    <w:rsid w:val="00840C2B"/>
    <w:rsid w:val="008739FD"/>
    <w:rsid w:val="008A1BD2"/>
    <w:rsid w:val="008D2D1F"/>
    <w:rsid w:val="008E372C"/>
    <w:rsid w:val="008F2512"/>
    <w:rsid w:val="00927DD0"/>
    <w:rsid w:val="009327F6"/>
    <w:rsid w:val="009A6F54"/>
    <w:rsid w:val="00A04806"/>
    <w:rsid w:val="00A326E4"/>
    <w:rsid w:val="00A56655"/>
    <w:rsid w:val="00A6057A"/>
    <w:rsid w:val="00A74017"/>
    <w:rsid w:val="00A86C3D"/>
    <w:rsid w:val="00A94613"/>
    <w:rsid w:val="00AA332C"/>
    <w:rsid w:val="00AA39ED"/>
    <w:rsid w:val="00AA3D12"/>
    <w:rsid w:val="00AA6659"/>
    <w:rsid w:val="00AC27F8"/>
    <w:rsid w:val="00AD4C72"/>
    <w:rsid w:val="00AE2AEE"/>
    <w:rsid w:val="00AF569F"/>
    <w:rsid w:val="00B230EC"/>
    <w:rsid w:val="00B37E7A"/>
    <w:rsid w:val="00B55C45"/>
    <w:rsid w:val="00B84DE7"/>
    <w:rsid w:val="00B93EE1"/>
    <w:rsid w:val="00BB1F84"/>
    <w:rsid w:val="00BB2A6D"/>
    <w:rsid w:val="00BB34F7"/>
    <w:rsid w:val="00BB55A0"/>
    <w:rsid w:val="00BB58BE"/>
    <w:rsid w:val="00BD6FCF"/>
    <w:rsid w:val="00BE5468"/>
    <w:rsid w:val="00C11EAC"/>
    <w:rsid w:val="00C30F2A"/>
    <w:rsid w:val="00C43456"/>
    <w:rsid w:val="00C64F17"/>
    <w:rsid w:val="00C65C0C"/>
    <w:rsid w:val="00C808FC"/>
    <w:rsid w:val="00C83C78"/>
    <w:rsid w:val="00C926A7"/>
    <w:rsid w:val="00CB25C9"/>
    <w:rsid w:val="00CD7D97"/>
    <w:rsid w:val="00CE3EE6"/>
    <w:rsid w:val="00CE4BA1"/>
    <w:rsid w:val="00D000C7"/>
    <w:rsid w:val="00D03F9D"/>
    <w:rsid w:val="00D20DEF"/>
    <w:rsid w:val="00D27048"/>
    <w:rsid w:val="00D37A97"/>
    <w:rsid w:val="00D52A9D"/>
    <w:rsid w:val="00D55AAD"/>
    <w:rsid w:val="00D62D63"/>
    <w:rsid w:val="00D747AE"/>
    <w:rsid w:val="00D77367"/>
    <w:rsid w:val="00D846DD"/>
    <w:rsid w:val="00D9226C"/>
    <w:rsid w:val="00DA20BD"/>
    <w:rsid w:val="00DE50DB"/>
    <w:rsid w:val="00DE713E"/>
    <w:rsid w:val="00DF6AE1"/>
    <w:rsid w:val="00E16269"/>
    <w:rsid w:val="00E326B1"/>
    <w:rsid w:val="00E4086C"/>
    <w:rsid w:val="00E46FD5"/>
    <w:rsid w:val="00E544BB"/>
    <w:rsid w:val="00E56545"/>
    <w:rsid w:val="00E60679"/>
    <w:rsid w:val="00E724E6"/>
    <w:rsid w:val="00E8495C"/>
    <w:rsid w:val="00E84C89"/>
    <w:rsid w:val="00E962FF"/>
    <w:rsid w:val="00EA5D4F"/>
    <w:rsid w:val="00EB6C56"/>
    <w:rsid w:val="00ED54E0"/>
    <w:rsid w:val="00EE1448"/>
    <w:rsid w:val="00EF4AC5"/>
    <w:rsid w:val="00F2289F"/>
    <w:rsid w:val="00F30B48"/>
    <w:rsid w:val="00F32397"/>
    <w:rsid w:val="00F3533F"/>
    <w:rsid w:val="00F40595"/>
    <w:rsid w:val="00F6061F"/>
    <w:rsid w:val="00F64A35"/>
    <w:rsid w:val="00F71498"/>
    <w:rsid w:val="00F72C8D"/>
    <w:rsid w:val="00F82743"/>
    <w:rsid w:val="00FA5EBC"/>
    <w:rsid w:val="00FB1A4D"/>
    <w:rsid w:val="00FC6D14"/>
    <w:rsid w:val="00FD224A"/>
    <w:rsid w:val="00FD7477"/>
    <w:rsid w:val="00FF263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71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5" w:unhideWhenUsed="1" w:qFormat="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3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F64A35"/>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64A35"/>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64A35"/>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64A35"/>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64A35"/>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64A35"/>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64A3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64A3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64A3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F64A35"/>
    <w:pPr>
      <w:spacing w:before="480" w:after="240"/>
      <w:contextualSpacing/>
      <w:jc w:val="center"/>
    </w:pPr>
    <w:rPr>
      <w:rFonts w:eastAsiaTheme="majorEastAsia" w:cstheme="majorBidi"/>
      <w:b/>
      <w:caps/>
      <w:color w:val="006283"/>
      <w:kern w:val="28"/>
      <w:szCs w:val="52"/>
    </w:rPr>
  </w:style>
  <w:style w:type="paragraph" w:styleId="BodyText">
    <w:name w:val="Body Text"/>
    <w:basedOn w:val="Normal"/>
    <w:link w:val="BodyTextChar"/>
    <w:uiPriority w:val="1"/>
    <w:qFormat/>
    <w:rsid w:val="00F64A35"/>
    <w:pPr>
      <w:numPr>
        <w:ilvl w:val="6"/>
        <w:numId w:val="6"/>
      </w:numPr>
      <w:spacing w:after="240"/>
    </w:pPr>
  </w:style>
  <w:style w:type="paragraph" w:styleId="BodyText2">
    <w:name w:val="Body Text 2"/>
    <w:basedOn w:val="Normal"/>
    <w:link w:val="BodyText2Char"/>
    <w:uiPriority w:val="1"/>
    <w:qFormat/>
    <w:rsid w:val="00F64A35"/>
    <w:pPr>
      <w:numPr>
        <w:ilvl w:val="7"/>
        <w:numId w:val="6"/>
      </w:numPr>
      <w:spacing w:after="240"/>
    </w:pPr>
  </w:style>
  <w:style w:type="paragraph" w:styleId="BodyText3">
    <w:name w:val="Body Text 3"/>
    <w:basedOn w:val="Normal"/>
    <w:link w:val="BodyText3Char"/>
    <w:uiPriority w:val="1"/>
    <w:qFormat/>
    <w:rsid w:val="00F64A35"/>
    <w:pPr>
      <w:numPr>
        <w:ilvl w:val="8"/>
        <w:numId w:val="6"/>
      </w:numPr>
      <w:spacing w:after="240"/>
    </w:pPr>
    <w:rPr>
      <w:szCs w:val="16"/>
    </w:rPr>
  </w:style>
  <w:style w:type="numbering" w:customStyle="1" w:styleId="LegalHeadings">
    <w:name w:val="LegalHeadings"/>
    <w:uiPriority w:val="99"/>
    <w:rsid w:val="00F64A35"/>
    <w:pPr>
      <w:numPr>
        <w:numId w:val="1"/>
      </w:numPr>
    </w:pPr>
  </w:style>
  <w:style w:type="paragraph" w:styleId="ListBullet">
    <w:name w:val="List Bullet"/>
    <w:basedOn w:val="Normal"/>
    <w:uiPriority w:val="1"/>
    <w:rsid w:val="00F64A35"/>
    <w:pPr>
      <w:numPr>
        <w:numId w:val="8"/>
      </w:numPr>
      <w:tabs>
        <w:tab w:val="left" w:pos="567"/>
      </w:tabs>
      <w:spacing w:after="240"/>
      <w:contextualSpacing/>
    </w:pPr>
  </w:style>
  <w:style w:type="paragraph" w:styleId="ListBullet2">
    <w:name w:val="List Bullet 2"/>
    <w:basedOn w:val="Normal"/>
    <w:uiPriority w:val="1"/>
    <w:rsid w:val="00F64A35"/>
    <w:pPr>
      <w:numPr>
        <w:ilvl w:val="1"/>
        <w:numId w:val="8"/>
      </w:numPr>
      <w:tabs>
        <w:tab w:val="left" w:pos="1134"/>
      </w:tabs>
      <w:spacing w:after="240"/>
      <w:contextualSpacing/>
    </w:pPr>
  </w:style>
  <w:style w:type="paragraph" w:styleId="ListBullet3">
    <w:name w:val="List Bullet 3"/>
    <w:basedOn w:val="Normal"/>
    <w:uiPriority w:val="1"/>
    <w:rsid w:val="00F64A35"/>
    <w:pPr>
      <w:numPr>
        <w:ilvl w:val="2"/>
        <w:numId w:val="8"/>
      </w:numPr>
      <w:tabs>
        <w:tab w:val="left" w:pos="1701"/>
      </w:tabs>
      <w:spacing w:after="240"/>
      <w:contextualSpacing/>
    </w:pPr>
  </w:style>
  <w:style w:type="paragraph" w:styleId="ListBullet4">
    <w:name w:val="List Bullet 4"/>
    <w:basedOn w:val="Normal"/>
    <w:uiPriority w:val="1"/>
    <w:rsid w:val="00F64A35"/>
    <w:pPr>
      <w:numPr>
        <w:ilvl w:val="3"/>
        <w:numId w:val="8"/>
      </w:numPr>
      <w:tabs>
        <w:tab w:val="left" w:pos="2268"/>
      </w:tabs>
      <w:spacing w:after="240"/>
      <w:contextualSpacing/>
    </w:pPr>
  </w:style>
  <w:style w:type="paragraph" w:styleId="ListBullet5">
    <w:name w:val="List Bullet 5"/>
    <w:basedOn w:val="Normal"/>
    <w:uiPriority w:val="1"/>
    <w:rsid w:val="00F64A35"/>
    <w:pPr>
      <w:numPr>
        <w:ilvl w:val="4"/>
        <w:numId w:val="8"/>
      </w:numPr>
      <w:tabs>
        <w:tab w:val="left" w:pos="2835"/>
      </w:tabs>
      <w:spacing w:after="240"/>
      <w:contextualSpacing/>
    </w:pPr>
  </w:style>
  <w:style w:type="numbering" w:customStyle="1" w:styleId="ListBullets">
    <w:name w:val="ListBullets"/>
    <w:uiPriority w:val="99"/>
    <w:rsid w:val="00F64A35"/>
    <w:pPr>
      <w:numPr>
        <w:numId w:val="49"/>
      </w:numPr>
    </w:pPr>
  </w:style>
  <w:style w:type="paragraph" w:customStyle="1" w:styleId="Answer">
    <w:name w:val="Answer"/>
    <w:basedOn w:val="Normal"/>
    <w:link w:val="AnswerChar"/>
    <w:uiPriority w:val="6"/>
    <w:qFormat/>
    <w:rsid w:val="00F64A35"/>
    <w:pPr>
      <w:spacing w:after="240"/>
      <w:ind w:left="1077"/>
    </w:pPr>
    <w:rPr>
      <w:rFonts w:eastAsia="Calibri" w:cs="Times New Roman"/>
    </w:rPr>
  </w:style>
  <w:style w:type="paragraph" w:styleId="Caption">
    <w:name w:val="caption"/>
    <w:basedOn w:val="Normal"/>
    <w:next w:val="Normal"/>
    <w:uiPriority w:val="6"/>
    <w:qFormat/>
    <w:rsid w:val="00F64A3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64A35"/>
    <w:rPr>
      <w:vertAlign w:val="superscript"/>
      <w:lang w:val="en-GB"/>
    </w:rPr>
  </w:style>
  <w:style w:type="paragraph" w:styleId="FootnoteText">
    <w:name w:val="footnote text"/>
    <w:basedOn w:val="Normal"/>
    <w:link w:val="FootnoteTextChar"/>
    <w:uiPriority w:val="5"/>
    <w:rsid w:val="00F64A35"/>
    <w:pPr>
      <w:ind w:firstLine="567"/>
      <w:jc w:val="left"/>
    </w:pPr>
    <w:rPr>
      <w:rFonts w:eastAsia="Calibri" w:cs="Times New Roman"/>
      <w:sz w:val="16"/>
      <w:szCs w:val="18"/>
      <w:lang w:eastAsia="en-GB"/>
    </w:rPr>
  </w:style>
  <w:style w:type="paragraph" w:styleId="EndnoteText">
    <w:name w:val="endnote text"/>
    <w:basedOn w:val="FootnoteText"/>
    <w:link w:val="EndnoteTextChar"/>
    <w:uiPriority w:val="49"/>
    <w:rsid w:val="00F64A35"/>
    <w:rPr>
      <w:szCs w:val="20"/>
    </w:rPr>
  </w:style>
  <w:style w:type="paragraph" w:customStyle="1" w:styleId="FollowUp">
    <w:name w:val="FollowUp"/>
    <w:basedOn w:val="Normal"/>
    <w:link w:val="FollowUpChar"/>
    <w:uiPriority w:val="6"/>
    <w:qFormat/>
    <w:rsid w:val="00F64A35"/>
    <w:pPr>
      <w:spacing w:after="240"/>
      <w:ind w:left="720"/>
    </w:pPr>
    <w:rPr>
      <w:rFonts w:eastAsia="Calibri" w:cs="Times New Roman"/>
      <w:i/>
    </w:rPr>
  </w:style>
  <w:style w:type="paragraph" w:styleId="Footer">
    <w:name w:val="footer"/>
    <w:basedOn w:val="Normal"/>
    <w:link w:val="FooterChar"/>
    <w:uiPriority w:val="3"/>
    <w:rsid w:val="00F64A35"/>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F64A35"/>
    <w:pPr>
      <w:ind w:left="567" w:right="567" w:firstLine="0"/>
    </w:pPr>
  </w:style>
  <w:style w:type="character" w:styleId="FootnoteReference">
    <w:name w:val="footnote reference"/>
    <w:uiPriority w:val="5"/>
    <w:rsid w:val="00F64A35"/>
    <w:rPr>
      <w:vertAlign w:val="superscript"/>
      <w:lang w:val="en-GB"/>
    </w:rPr>
  </w:style>
  <w:style w:type="paragraph" w:styleId="Header">
    <w:name w:val="header"/>
    <w:basedOn w:val="Normal"/>
    <w:link w:val="HeaderChar"/>
    <w:uiPriority w:val="3"/>
    <w:rsid w:val="00F64A35"/>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F64A3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64A3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64A3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64A3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64A3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64A3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64A3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64A3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64A3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64A3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64A3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64A3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64A3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64A3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64A3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64A3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64A3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64A35"/>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64A35"/>
    <w:rPr>
      <w:rFonts w:ascii="Tahoma" w:hAnsi="Tahoma" w:cs="Tahoma"/>
      <w:sz w:val="16"/>
      <w:szCs w:val="16"/>
    </w:rPr>
  </w:style>
  <w:style w:type="paragraph" w:styleId="Subtitle">
    <w:name w:val="Subtitle"/>
    <w:basedOn w:val="Normal"/>
    <w:next w:val="Normal"/>
    <w:link w:val="SubtitleChar"/>
    <w:uiPriority w:val="6"/>
    <w:qFormat/>
    <w:rsid w:val="00F64A35"/>
    <w:pPr>
      <w:numPr>
        <w:ilvl w:val="1"/>
      </w:numPr>
    </w:pPr>
    <w:rPr>
      <w:rFonts w:eastAsiaTheme="majorEastAsia" w:cstheme="majorBidi"/>
      <w:b/>
      <w:iCs/>
      <w:szCs w:val="24"/>
    </w:rPr>
  </w:style>
  <w:style w:type="paragraph" w:customStyle="1" w:styleId="SummaryHeader">
    <w:name w:val="SummaryHeader"/>
    <w:basedOn w:val="Normal"/>
    <w:uiPriority w:val="4"/>
    <w:qFormat/>
    <w:rsid w:val="00F64A3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64A35"/>
    <w:pPr>
      <w:spacing w:after="240"/>
      <w:outlineLvl w:val="1"/>
    </w:pPr>
    <w:rPr>
      <w:b/>
      <w:color w:val="006283"/>
    </w:rPr>
  </w:style>
  <w:style w:type="paragraph" w:customStyle="1" w:styleId="SummaryText">
    <w:name w:val="SummaryText"/>
    <w:basedOn w:val="Normal"/>
    <w:uiPriority w:val="4"/>
    <w:qFormat/>
    <w:rsid w:val="00F64A35"/>
    <w:pPr>
      <w:numPr>
        <w:numId w:val="3"/>
      </w:numPr>
      <w:spacing w:after="240"/>
      <w:ind w:left="0" w:firstLine="0"/>
    </w:pPr>
    <w:rPr>
      <w:rFonts w:eastAsia="Calibri" w:cs="Times New Roman"/>
    </w:rPr>
  </w:style>
  <w:style w:type="paragraph" w:styleId="ListParagraph">
    <w:name w:val="List Paragraph"/>
    <w:basedOn w:val="Normal"/>
    <w:uiPriority w:val="59"/>
    <w:qFormat/>
    <w:rsid w:val="00F64A35"/>
    <w:pPr>
      <w:ind w:left="720"/>
      <w:contextualSpacing/>
    </w:pPr>
  </w:style>
  <w:style w:type="table" w:customStyle="1" w:styleId="WTOBox1">
    <w:name w:val="WTOBox1"/>
    <w:basedOn w:val="TableNormal"/>
    <w:uiPriority w:val="99"/>
    <w:rsid w:val="00F64A35"/>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64A35"/>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64A3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6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64A35"/>
    <w:pPr>
      <w:tabs>
        <w:tab w:val="left" w:pos="851"/>
      </w:tabs>
      <w:ind w:left="851" w:hanging="851"/>
      <w:jc w:val="left"/>
    </w:pPr>
    <w:rPr>
      <w:sz w:val="16"/>
    </w:rPr>
  </w:style>
  <w:style w:type="character" w:styleId="Hyperlink">
    <w:name w:val="Hyperlink"/>
    <w:basedOn w:val="DefaultParagraphFont"/>
    <w:uiPriority w:val="99"/>
    <w:unhideWhenUsed/>
    <w:rsid w:val="00F64A35"/>
    <w:rPr>
      <w:color w:val="0000FF" w:themeColor="hyperlink"/>
      <w:u w:val="single"/>
      <w:lang w:val="en-GB"/>
    </w:rPr>
  </w:style>
  <w:style w:type="paragraph" w:styleId="Bibliography">
    <w:name w:val="Bibliography"/>
    <w:basedOn w:val="Normal"/>
    <w:next w:val="Normal"/>
    <w:uiPriority w:val="49"/>
    <w:semiHidden/>
    <w:unhideWhenUsed/>
    <w:rsid w:val="00F64A35"/>
  </w:style>
  <w:style w:type="paragraph" w:styleId="BlockText">
    <w:name w:val="Block Text"/>
    <w:basedOn w:val="Normal"/>
    <w:uiPriority w:val="99"/>
    <w:semiHidden/>
    <w:unhideWhenUsed/>
    <w:rsid w:val="00F64A3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64A35"/>
    <w:pPr>
      <w:numPr>
        <w:ilvl w:val="0"/>
        <w:numId w:val="0"/>
      </w:numPr>
      <w:spacing w:after="0"/>
      <w:ind w:firstLine="360"/>
    </w:pPr>
  </w:style>
  <w:style w:type="paragraph" w:styleId="BodyTextIndent">
    <w:name w:val="Body Text Indent"/>
    <w:basedOn w:val="Normal"/>
    <w:link w:val="BodyTextIndentChar"/>
    <w:uiPriority w:val="99"/>
    <w:semiHidden/>
    <w:unhideWhenUsed/>
    <w:rsid w:val="00F64A35"/>
    <w:pPr>
      <w:spacing w:after="120"/>
      <w:ind w:left="283"/>
    </w:pPr>
  </w:style>
  <w:style w:type="paragraph" w:styleId="BodyTextFirstIndent2">
    <w:name w:val="Body Text First Indent 2"/>
    <w:basedOn w:val="BodyTextIndent"/>
    <w:link w:val="BodyTextFirstIndent2Char"/>
    <w:uiPriority w:val="99"/>
    <w:semiHidden/>
    <w:unhideWhenUsed/>
    <w:rsid w:val="00F64A35"/>
    <w:pPr>
      <w:spacing w:after="0"/>
      <w:ind w:left="360" w:firstLine="360"/>
    </w:pPr>
  </w:style>
  <w:style w:type="paragraph" w:styleId="BodyTextIndent2">
    <w:name w:val="Body Text Indent 2"/>
    <w:basedOn w:val="Normal"/>
    <w:link w:val="BodyTextIndent2Char"/>
    <w:uiPriority w:val="99"/>
    <w:semiHidden/>
    <w:unhideWhenUsed/>
    <w:rsid w:val="00F64A35"/>
    <w:pPr>
      <w:spacing w:after="120" w:line="480" w:lineRule="auto"/>
      <w:ind w:left="283"/>
    </w:pPr>
  </w:style>
  <w:style w:type="paragraph" w:styleId="BodyTextIndent3">
    <w:name w:val="Body Text Indent 3"/>
    <w:basedOn w:val="Normal"/>
    <w:link w:val="BodyTextIndent3Char"/>
    <w:uiPriority w:val="99"/>
    <w:semiHidden/>
    <w:unhideWhenUsed/>
    <w:rsid w:val="00F64A35"/>
    <w:pPr>
      <w:spacing w:after="120"/>
      <w:ind w:left="283"/>
    </w:pPr>
    <w:rPr>
      <w:sz w:val="16"/>
      <w:szCs w:val="16"/>
    </w:rPr>
  </w:style>
  <w:style w:type="character" w:styleId="BookTitle">
    <w:name w:val="Book Title"/>
    <w:basedOn w:val="DefaultParagraphFont"/>
    <w:uiPriority w:val="99"/>
    <w:qFormat/>
    <w:rsid w:val="00F64A35"/>
    <w:rPr>
      <w:b/>
      <w:bCs/>
      <w:smallCaps/>
      <w:spacing w:val="5"/>
      <w:lang w:val="en-GB"/>
    </w:rPr>
  </w:style>
  <w:style w:type="paragraph" w:styleId="Closing">
    <w:name w:val="Closing"/>
    <w:basedOn w:val="Normal"/>
    <w:link w:val="ClosingChar"/>
    <w:uiPriority w:val="99"/>
    <w:semiHidden/>
    <w:unhideWhenUsed/>
    <w:rsid w:val="00F64A35"/>
    <w:pPr>
      <w:ind w:left="4252"/>
    </w:pPr>
  </w:style>
  <w:style w:type="character" w:styleId="CommentReference">
    <w:name w:val="annotation reference"/>
    <w:basedOn w:val="DefaultParagraphFont"/>
    <w:uiPriority w:val="99"/>
    <w:semiHidden/>
    <w:unhideWhenUsed/>
    <w:rsid w:val="00F64A35"/>
    <w:rPr>
      <w:sz w:val="16"/>
      <w:szCs w:val="16"/>
      <w:lang w:val="en-GB"/>
    </w:rPr>
  </w:style>
  <w:style w:type="paragraph" w:styleId="CommentText">
    <w:name w:val="annotation text"/>
    <w:basedOn w:val="Normal"/>
    <w:link w:val="CommentTextChar"/>
    <w:uiPriority w:val="99"/>
    <w:unhideWhenUsed/>
    <w:rsid w:val="00F64A35"/>
    <w:rPr>
      <w:sz w:val="20"/>
      <w:szCs w:val="20"/>
    </w:rPr>
  </w:style>
  <w:style w:type="paragraph" w:styleId="CommentSubject">
    <w:name w:val="annotation subject"/>
    <w:basedOn w:val="CommentText"/>
    <w:next w:val="CommentText"/>
    <w:link w:val="CommentSubjectChar"/>
    <w:uiPriority w:val="99"/>
    <w:unhideWhenUsed/>
    <w:rsid w:val="00F64A35"/>
    <w:rPr>
      <w:b/>
      <w:bCs/>
    </w:rPr>
  </w:style>
  <w:style w:type="paragraph" w:styleId="Date">
    <w:name w:val="Date"/>
    <w:basedOn w:val="Normal"/>
    <w:next w:val="Normal"/>
    <w:link w:val="DateChar"/>
    <w:uiPriority w:val="99"/>
    <w:semiHidden/>
    <w:unhideWhenUsed/>
    <w:rsid w:val="00F64A35"/>
  </w:style>
  <w:style w:type="paragraph" w:styleId="DocumentMap">
    <w:name w:val="Document Map"/>
    <w:basedOn w:val="Normal"/>
    <w:link w:val="DocumentMapChar"/>
    <w:uiPriority w:val="99"/>
    <w:semiHidden/>
    <w:unhideWhenUsed/>
    <w:rsid w:val="00F64A35"/>
    <w:rPr>
      <w:rFonts w:ascii="Tahoma" w:hAnsi="Tahoma" w:cs="Tahoma"/>
      <w:sz w:val="16"/>
      <w:szCs w:val="16"/>
    </w:rPr>
  </w:style>
  <w:style w:type="paragraph" w:styleId="E-mailSignature">
    <w:name w:val="E-mail Signature"/>
    <w:basedOn w:val="Normal"/>
    <w:link w:val="E-mailSignatureChar"/>
    <w:uiPriority w:val="99"/>
    <w:semiHidden/>
    <w:unhideWhenUsed/>
    <w:rsid w:val="00F64A35"/>
  </w:style>
  <w:style w:type="character" w:styleId="Emphasis">
    <w:name w:val="Emphasis"/>
    <w:basedOn w:val="DefaultParagraphFont"/>
    <w:uiPriority w:val="99"/>
    <w:qFormat/>
    <w:rsid w:val="00F64A35"/>
    <w:rPr>
      <w:i/>
      <w:iCs/>
      <w:lang w:val="en-GB"/>
    </w:rPr>
  </w:style>
  <w:style w:type="paragraph" w:styleId="EnvelopeAddress">
    <w:name w:val="envelope address"/>
    <w:basedOn w:val="Normal"/>
    <w:uiPriority w:val="99"/>
    <w:semiHidden/>
    <w:unhideWhenUsed/>
    <w:rsid w:val="00F64A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A3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64A35"/>
    <w:rPr>
      <w:color w:val="800080" w:themeColor="followedHyperlink"/>
      <w:u w:val="single"/>
      <w:lang w:val="en-GB"/>
    </w:rPr>
  </w:style>
  <w:style w:type="character" w:styleId="HTMLAcronym">
    <w:name w:val="HTML Acronym"/>
    <w:basedOn w:val="DefaultParagraphFont"/>
    <w:uiPriority w:val="99"/>
    <w:semiHidden/>
    <w:unhideWhenUsed/>
    <w:rsid w:val="00F64A35"/>
    <w:rPr>
      <w:lang w:val="en-GB"/>
    </w:rPr>
  </w:style>
  <w:style w:type="paragraph" w:styleId="HTMLAddress">
    <w:name w:val="HTML Address"/>
    <w:basedOn w:val="Normal"/>
    <w:link w:val="HTMLAddressChar"/>
    <w:uiPriority w:val="99"/>
    <w:semiHidden/>
    <w:unhideWhenUsed/>
    <w:rsid w:val="00F64A35"/>
    <w:rPr>
      <w:i/>
      <w:iCs/>
    </w:rPr>
  </w:style>
  <w:style w:type="character" w:styleId="HTMLCite">
    <w:name w:val="HTML Cite"/>
    <w:basedOn w:val="DefaultParagraphFont"/>
    <w:uiPriority w:val="99"/>
    <w:semiHidden/>
    <w:unhideWhenUsed/>
    <w:rsid w:val="00F64A35"/>
    <w:rPr>
      <w:i/>
      <w:iCs/>
      <w:lang w:val="en-GB"/>
    </w:rPr>
  </w:style>
  <w:style w:type="character" w:styleId="HTMLCode">
    <w:name w:val="HTML Code"/>
    <w:basedOn w:val="DefaultParagraphFont"/>
    <w:uiPriority w:val="99"/>
    <w:semiHidden/>
    <w:unhideWhenUsed/>
    <w:rsid w:val="00F64A35"/>
    <w:rPr>
      <w:rFonts w:ascii="Consolas" w:hAnsi="Consolas" w:cs="Consolas"/>
      <w:sz w:val="20"/>
      <w:szCs w:val="20"/>
      <w:lang w:val="en-GB"/>
    </w:rPr>
  </w:style>
  <w:style w:type="character" w:styleId="HTMLDefinition">
    <w:name w:val="HTML Definition"/>
    <w:basedOn w:val="DefaultParagraphFont"/>
    <w:uiPriority w:val="99"/>
    <w:semiHidden/>
    <w:unhideWhenUsed/>
    <w:rsid w:val="00F64A35"/>
    <w:rPr>
      <w:i/>
      <w:iCs/>
      <w:lang w:val="en-GB"/>
    </w:rPr>
  </w:style>
  <w:style w:type="character" w:styleId="HTMLKeyboard">
    <w:name w:val="HTML Keyboard"/>
    <w:basedOn w:val="DefaultParagraphFont"/>
    <w:uiPriority w:val="99"/>
    <w:semiHidden/>
    <w:unhideWhenUsed/>
    <w:rsid w:val="00F64A35"/>
    <w:rPr>
      <w:rFonts w:ascii="Consolas" w:hAnsi="Consolas" w:cs="Consolas"/>
      <w:sz w:val="20"/>
      <w:szCs w:val="20"/>
      <w:lang w:val="en-GB"/>
    </w:rPr>
  </w:style>
  <w:style w:type="paragraph" w:styleId="HTMLPreformatted">
    <w:name w:val="HTML Preformatted"/>
    <w:basedOn w:val="Normal"/>
    <w:link w:val="HTMLPreformattedChar"/>
    <w:uiPriority w:val="99"/>
    <w:unhideWhenUsed/>
    <w:rsid w:val="00F64A35"/>
    <w:rPr>
      <w:rFonts w:ascii="Consolas" w:hAnsi="Consolas" w:cs="Consolas"/>
      <w:sz w:val="20"/>
      <w:szCs w:val="20"/>
    </w:rPr>
  </w:style>
  <w:style w:type="character" w:styleId="HTMLSample">
    <w:name w:val="HTML Sample"/>
    <w:basedOn w:val="DefaultParagraphFont"/>
    <w:uiPriority w:val="99"/>
    <w:semiHidden/>
    <w:unhideWhenUsed/>
    <w:rsid w:val="00F64A35"/>
    <w:rPr>
      <w:rFonts w:ascii="Consolas" w:hAnsi="Consolas" w:cs="Consolas"/>
      <w:sz w:val="24"/>
      <w:szCs w:val="24"/>
      <w:lang w:val="en-GB"/>
    </w:rPr>
  </w:style>
  <w:style w:type="character" w:styleId="HTMLTypewriter">
    <w:name w:val="HTML Typewriter"/>
    <w:basedOn w:val="DefaultParagraphFont"/>
    <w:uiPriority w:val="99"/>
    <w:semiHidden/>
    <w:unhideWhenUsed/>
    <w:rsid w:val="00F64A35"/>
    <w:rPr>
      <w:rFonts w:ascii="Consolas" w:hAnsi="Consolas" w:cs="Consolas"/>
      <w:sz w:val="20"/>
      <w:szCs w:val="20"/>
      <w:lang w:val="en-GB"/>
    </w:rPr>
  </w:style>
  <w:style w:type="character" w:styleId="HTMLVariable">
    <w:name w:val="HTML Variable"/>
    <w:basedOn w:val="DefaultParagraphFont"/>
    <w:uiPriority w:val="99"/>
    <w:semiHidden/>
    <w:unhideWhenUsed/>
    <w:rsid w:val="00F64A35"/>
    <w:rPr>
      <w:i/>
      <w:iCs/>
      <w:lang w:val="en-GB"/>
    </w:rPr>
  </w:style>
  <w:style w:type="paragraph" w:styleId="Index1">
    <w:name w:val="index 1"/>
    <w:basedOn w:val="Normal"/>
    <w:next w:val="Normal"/>
    <w:uiPriority w:val="99"/>
    <w:semiHidden/>
    <w:unhideWhenUsed/>
    <w:rsid w:val="00F64A35"/>
    <w:pPr>
      <w:ind w:left="180" w:hanging="180"/>
    </w:pPr>
  </w:style>
  <w:style w:type="paragraph" w:styleId="Index2">
    <w:name w:val="index 2"/>
    <w:basedOn w:val="Normal"/>
    <w:next w:val="Normal"/>
    <w:uiPriority w:val="99"/>
    <w:semiHidden/>
    <w:unhideWhenUsed/>
    <w:rsid w:val="00F64A35"/>
    <w:pPr>
      <w:ind w:left="360" w:hanging="180"/>
    </w:pPr>
  </w:style>
  <w:style w:type="paragraph" w:styleId="Index3">
    <w:name w:val="index 3"/>
    <w:basedOn w:val="Normal"/>
    <w:next w:val="Normal"/>
    <w:uiPriority w:val="99"/>
    <w:semiHidden/>
    <w:unhideWhenUsed/>
    <w:rsid w:val="00F64A35"/>
    <w:pPr>
      <w:ind w:left="540" w:hanging="180"/>
    </w:pPr>
  </w:style>
  <w:style w:type="paragraph" w:styleId="Index4">
    <w:name w:val="index 4"/>
    <w:basedOn w:val="Normal"/>
    <w:next w:val="Normal"/>
    <w:uiPriority w:val="99"/>
    <w:semiHidden/>
    <w:unhideWhenUsed/>
    <w:rsid w:val="00F64A35"/>
    <w:pPr>
      <w:ind w:left="720" w:hanging="180"/>
    </w:pPr>
  </w:style>
  <w:style w:type="paragraph" w:styleId="Index5">
    <w:name w:val="index 5"/>
    <w:basedOn w:val="Normal"/>
    <w:next w:val="Normal"/>
    <w:uiPriority w:val="99"/>
    <w:semiHidden/>
    <w:unhideWhenUsed/>
    <w:rsid w:val="00F64A35"/>
    <w:pPr>
      <w:ind w:left="900" w:hanging="180"/>
    </w:pPr>
  </w:style>
  <w:style w:type="paragraph" w:styleId="Index6">
    <w:name w:val="index 6"/>
    <w:basedOn w:val="Normal"/>
    <w:next w:val="Normal"/>
    <w:uiPriority w:val="99"/>
    <w:semiHidden/>
    <w:unhideWhenUsed/>
    <w:rsid w:val="00F64A35"/>
    <w:pPr>
      <w:ind w:left="1080" w:hanging="180"/>
    </w:pPr>
  </w:style>
  <w:style w:type="paragraph" w:styleId="Index7">
    <w:name w:val="index 7"/>
    <w:basedOn w:val="Normal"/>
    <w:next w:val="Normal"/>
    <w:uiPriority w:val="99"/>
    <w:semiHidden/>
    <w:unhideWhenUsed/>
    <w:rsid w:val="00F64A35"/>
    <w:pPr>
      <w:ind w:left="1260" w:hanging="180"/>
    </w:pPr>
  </w:style>
  <w:style w:type="paragraph" w:styleId="Index8">
    <w:name w:val="index 8"/>
    <w:basedOn w:val="Normal"/>
    <w:next w:val="Normal"/>
    <w:uiPriority w:val="99"/>
    <w:semiHidden/>
    <w:unhideWhenUsed/>
    <w:rsid w:val="00F64A35"/>
    <w:pPr>
      <w:ind w:left="1440" w:hanging="180"/>
    </w:pPr>
  </w:style>
  <w:style w:type="paragraph" w:styleId="Index9">
    <w:name w:val="index 9"/>
    <w:basedOn w:val="Normal"/>
    <w:next w:val="Normal"/>
    <w:uiPriority w:val="99"/>
    <w:semiHidden/>
    <w:unhideWhenUsed/>
    <w:rsid w:val="00F64A35"/>
    <w:pPr>
      <w:ind w:left="1620" w:hanging="180"/>
    </w:pPr>
  </w:style>
  <w:style w:type="paragraph" w:styleId="IndexHeading">
    <w:name w:val="index heading"/>
    <w:basedOn w:val="Normal"/>
    <w:next w:val="Index1"/>
    <w:uiPriority w:val="99"/>
    <w:semiHidden/>
    <w:unhideWhenUsed/>
    <w:rsid w:val="00F64A35"/>
    <w:rPr>
      <w:rFonts w:asciiTheme="majorHAnsi" w:eastAsiaTheme="majorEastAsia" w:hAnsiTheme="majorHAnsi" w:cstheme="majorBidi"/>
      <w:b/>
      <w:bCs/>
    </w:rPr>
  </w:style>
  <w:style w:type="character" w:styleId="IntenseEmphasis">
    <w:name w:val="Intense Emphasis"/>
    <w:basedOn w:val="DefaultParagraphFont"/>
    <w:uiPriority w:val="99"/>
    <w:qFormat/>
    <w:rsid w:val="00F64A35"/>
    <w:rPr>
      <w:b/>
      <w:bCs/>
      <w:i/>
      <w:iCs/>
      <w:color w:val="4F81BD" w:themeColor="accent1"/>
      <w:lang w:val="en-GB"/>
    </w:rPr>
  </w:style>
  <w:style w:type="paragraph" w:styleId="IntenseQuote">
    <w:name w:val="Intense Quote"/>
    <w:basedOn w:val="Normal"/>
    <w:next w:val="Normal"/>
    <w:link w:val="IntenseQuoteChar"/>
    <w:uiPriority w:val="59"/>
    <w:qFormat/>
    <w:rsid w:val="00F64A35"/>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qFormat/>
    <w:rsid w:val="00F64A35"/>
    <w:rPr>
      <w:b/>
      <w:bCs/>
      <w:smallCaps/>
      <w:color w:val="C0504D" w:themeColor="accent2"/>
      <w:spacing w:val="5"/>
      <w:u w:val="single"/>
      <w:lang w:val="en-GB"/>
    </w:rPr>
  </w:style>
  <w:style w:type="character" w:styleId="LineNumber">
    <w:name w:val="line number"/>
    <w:basedOn w:val="DefaultParagraphFont"/>
    <w:uiPriority w:val="99"/>
    <w:semiHidden/>
    <w:unhideWhenUsed/>
    <w:rsid w:val="00F64A35"/>
    <w:rPr>
      <w:lang w:val="en-GB"/>
    </w:rPr>
  </w:style>
  <w:style w:type="paragraph" w:styleId="List">
    <w:name w:val="List"/>
    <w:basedOn w:val="Normal"/>
    <w:uiPriority w:val="99"/>
    <w:semiHidden/>
    <w:unhideWhenUsed/>
    <w:rsid w:val="00F64A35"/>
    <w:pPr>
      <w:ind w:left="283" w:hanging="283"/>
      <w:contextualSpacing/>
    </w:pPr>
  </w:style>
  <w:style w:type="paragraph" w:styleId="List2">
    <w:name w:val="List 2"/>
    <w:basedOn w:val="Normal"/>
    <w:uiPriority w:val="99"/>
    <w:semiHidden/>
    <w:unhideWhenUsed/>
    <w:rsid w:val="00F64A35"/>
    <w:pPr>
      <w:ind w:left="566" w:hanging="283"/>
      <w:contextualSpacing/>
    </w:pPr>
  </w:style>
  <w:style w:type="paragraph" w:styleId="List3">
    <w:name w:val="List 3"/>
    <w:basedOn w:val="Normal"/>
    <w:uiPriority w:val="99"/>
    <w:semiHidden/>
    <w:unhideWhenUsed/>
    <w:rsid w:val="00F64A35"/>
    <w:pPr>
      <w:ind w:left="849" w:hanging="283"/>
      <w:contextualSpacing/>
    </w:pPr>
  </w:style>
  <w:style w:type="paragraph" w:styleId="List4">
    <w:name w:val="List 4"/>
    <w:basedOn w:val="Normal"/>
    <w:uiPriority w:val="99"/>
    <w:semiHidden/>
    <w:unhideWhenUsed/>
    <w:rsid w:val="00F64A35"/>
    <w:pPr>
      <w:ind w:left="1132" w:hanging="283"/>
      <w:contextualSpacing/>
    </w:pPr>
  </w:style>
  <w:style w:type="paragraph" w:styleId="List5">
    <w:name w:val="List 5"/>
    <w:basedOn w:val="Normal"/>
    <w:uiPriority w:val="99"/>
    <w:semiHidden/>
    <w:unhideWhenUsed/>
    <w:rsid w:val="00F64A35"/>
    <w:pPr>
      <w:ind w:left="1415" w:hanging="283"/>
      <w:contextualSpacing/>
    </w:pPr>
  </w:style>
  <w:style w:type="paragraph" w:styleId="ListContinue">
    <w:name w:val="List Continue"/>
    <w:basedOn w:val="Normal"/>
    <w:uiPriority w:val="99"/>
    <w:semiHidden/>
    <w:unhideWhenUsed/>
    <w:rsid w:val="00F64A35"/>
    <w:pPr>
      <w:spacing w:after="120"/>
      <w:ind w:left="283"/>
      <w:contextualSpacing/>
    </w:pPr>
  </w:style>
  <w:style w:type="paragraph" w:styleId="ListContinue2">
    <w:name w:val="List Continue 2"/>
    <w:basedOn w:val="Normal"/>
    <w:uiPriority w:val="99"/>
    <w:semiHidden/>
    <w:unhideWhenUsed/>
    <w:rsid w:val="00F64A35"/>
    <w:pPr>
      <w:spacing w:after="120"/>
      <w:ind w:left="566"/>
      <w:contextualSpacing/>
    </w:pPr>
  </w:style>
  <w:style w:type="paragraph" w:styleId="ListContinue3">
    <w:name w:val="List Continue 3"/>
    <w:basedOn w:val="Normal"/>
    <w:uiPriority w:val="99"/>
    <w:semiHidden/>
    <w:unhideWhenUsed/>
    <w:rsid w:val="00F64A35"/>
    <w:pPr>
      <w:spacing w:after="120"/>
      <w:ind w:left="849"/>
      <w:contextualSpacing/>
    </w:pPr>
  </w:style>
  <w:style w:type="paragraph" w:styleId="ListContinue4">
    <w:name w:val="List Continue 4"/>
    <w:basedOn w:val="Normal"/>
    <w:uiPriority w:val="99"/>
    <w:semiHidden/>
    <w:unhideWhenUsed/>
    <w:rsid w:val="00F64A35"/>
    <w:pPr>
      <w:spacing w:after="120"/>
      <w:ind w:left="1132"/>
      <w:contextualSpacing/>
    </w:pPr>
  </w:style>
  <w:style w:type="paragraph" w:styleId="ListContinue5">
    <w:name w:val="List Continue 5"/>
    <w:basedOn w:val="Normal"/>
    <w:uiPriority w:val="99"/>
    <w:semiHidden/>
    <w:unhideWhenUsed/>
    <w:rsid w:val="00F64A35"/>
    <w:pPr>
      <w:spacing w:after="120"/>
      <w:ind w:left="1415"/>
      <w:contextualSpacing/>
    </w:pPr>
  </w:style>
  <w:style w:type="paragraph" w:styleId="ListNumber">
    <w:name w:val="List Number"/>
    <w:basedOn w:val="Normal"/>
    <w:uiPriority w:val="49"/>
    <w:semiHidden/>
    <w:unhideWhenUsed/>
    <w:rsid w:val="00F64A35"/>
    <w:pPr>
      <w:numPr>
        <w:numId w:val="4"/>
      </w:numPr>
      <w:contextualSpacing/>
    </w:pPr>
  </w:style>
  <w:style w:type="paragraph" w:styleId="ListNumber2">
    <w:name w:val="List Number 2"/>
    <w:basedOn w:val="Normal"/>
    <w:uiPriority w:val="49"/>
    <w:semiHidden/>
    <w:unhideWhenUsed/>
    <w:rsid w:val="00F64A35"/>
    <w:pPr>
      <w:numPr>
        <w:numId w:val="5"/>
      </w:numPr>
      <w:contextualSpacing/>
    </w:pPr>
  </w:style>
  <w:style w:type="paragraph" w:styleId="ListNumber3">
    <w:name w:val="List Number 3"/>
    <w:basedOn w:val="Normal"/>
    <w:uiPriority w:val="49"/>
    <w:semiHidden/>
    <w:unhideWhenUsed/>
    <w:rsid w:val="00F64A35"/>
    <w:pPr>
      <w:contextualSpacing/>
    </w:pPr>
  </w:style>
  <w:style w:type="paragraph" w:styleId="ListNumber4">
    <w:name w:val="List Number 4"/>
    <w:basedOn w:val="Normal"/>
    <w:uiPriority w:val="49"/>
    <w:semiHidden/>
    <w:unhideWhenUsed/>
    <w:rsid w:val="00F64A35"/>
    <w:pPr>
      <w:numPr>
        <w:numId w:val="7"/>
      </w:numPr>
      <w:contextualSpacing/>
    </w:pPr>
  </w:style>
  <w:style w:type="paragraph" w:styleId="ListNumber5">
    <w:name w:val="List Number 5"/>
    <w:basedOn w:val="Normal"/>
    <w:uiPriority w:val="49"/>
    <w:semiHidden/>
    <w:unhideWhenUsed/>
    <w:rsid w:val="00F64A35"/>
    <w:pPr>
      <w:contextualSpacing/>
    </w:pPr>
  </w:style>
  <w:style w:type="paragraph" w:styleId="MacroText">
    <w:name w:val="macro"/>
    <w:link w:val="MacroTextChar"/>
    <w:uiPriority w:val="99"/>
    <w:semiHidden/>
    <w:unhideWhenUsed/>
    <w:rsid w:val="00F64A3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MessageHeader">
    <w:name w:val="Message Header"/>
    <w:basedOn w:val="Normal"/>
    <w:link w:val="MessageHeaderChar"/>
    <w:uiPriority w:val="99"/>
    <w:semiHidden/>
    <w:unhideWhenUsed/>
    <w:rsid w:val="00F64A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qFormat/>
    <w:rsid w:val="00F64A35"/>
    <w:pPr>
      <w:spacing w:after="0" w:line="240" w:lineRule="auto"/>
      <w:jc w:val="both"/>
    </w:pPr>
    <w:rPr>
      <w:rFonts w:ascii="Verdana" w:hAnsi="Verdana"/>
      <w:sz w:val="18"/>
    </w:rPr>
  </w:style>
  <w:style w:type="paragraph" w:styleId="NormalWeb">
    <w:name w:val="Normal (Web)"/>
    <w:basedOn w:val="Normal"/>
    <w:uiPriority w:val="99"/>
    <w:semiHidden/>
    <w:unhideWhenUsed/>
    <w:rsid w:val="00F64A35"/>
    <w:rPr>
      <w:rFonts w:ascii="Times New Roman" w:hAnsi="Times New Roman" w:cs="Times New Roman"/>
      <w:sz w:val="24"/>
      <w:szCs w:val="24"/>
    </w:rPr>
  </w:style>
  <w:style w:type="paragraph" w:styleId="NormalIndent">
    <w:name w:val="Normal Indent"/>
    <w:basedOn w:val="Normal"/>
    <w:uiPriority w:val="99"/>
    <w:unhideWhenUsed/>
    <w:rsid w:val="00F64A35"/>
    <w:pPr>
      <w:ind w:left="567"/>
    </w:pPr>
  </w:style>
  <w:style w:type="paragraph" w:styleId="NoteHeading">
    <w:name w:val="Note Heading"/>
    <w:basedOn w:val="Normal"/>
    <w:next w:val="Normal"/>
    <w:link w:val="NoteHeadingChar"/>
    <w:uiPriority w:val="99"/>
    <w:semiHidden/>
    <w:unhideWhenUsed/>
    <w:rsid w:val="00F64A35"/>
  </w:style>
  <w:style w:type="character" w:styleId="PageNumber">
    <w:name w:val="page number"/>
    <w:basedOn w:val="DefaultParagraphFont"/>
    <w:uiPriority w:val="99"/>
    <w:semiHidden/>
    <w:unhideWhenUsed/>
    <w:rsid w:val="00F64A35"/>
    <w:rPr>
      <w:lang w:val="en-GB"/>
    </w:rPr>
  </w:style>
  <w:style w:type="character" w:styleId="PlaceholderText">
    <w:name w:val="Placeholder Text"/>
    <w:basedOn w:val="DefaultParagraphFont"/>
    <w:uiPriority w:val="99"/>
    <w:semiHidden/>
    <w:rsid w:val="00F64A35"/>
    <w:rPr>
      <w:color w:val="808080"/>
      <w:lang w:val="en-GB"/>
    </w:rPr>
  </w:style>
  <w:style w:type="paragraph" w:styleId="PlainText">
    <w:name w:val="Plain Text"/>
    <w:basedOn w:val="Normal"/>
    <w:link w:val="PlainTextChar"/>
    <w:uiPriority w:val="99"/>
    <w:unhideWhenUsed/>
    <w:rsid w:val="00F64A35"/>
    <w:rPr>
      <w:rFonts w:ascii="Consolas" w:hAnsi="Consolas" w:cs="Consolas"/>
      <w:sz w:val="21"/>
      <w:szCs w:val="21"/>
    </w:rPr>
  </w:style>
  <w:style w:type="paragraph" w:styleId="Quote">
    <w:name w:val="Quote"/>
    <w:basedOn w:val="Normal"/>
    <w:next w:val="Normal"/>
    <w:link w:val="QuoteChar"/>
    <w:uiPriority w:val="59"/>
    <w:qFormat/>
    <w:rsid w:val="00F64A35"/>
    <w:rPr>
      <w:i/>
      <w:iCs/>
      <w:color w:val="000000" w:themeColor="text1"/>
    </w:rPr>
  </w:style>
  <w:style w:type="paragraph" w:styleId="Salutation">
    <w:name w:val="Salutation"/>
    <w:basedOn w:val="Normal"/>
    <w:next w:val="Normal"/>
    <w:link w:val="SalutationChar"/>
    <w:uiPriority w:val="99"/>
    <w:semiHidden/>
    <w:unhideWhenUsed/>
    <w:rsid w:val="00F64A35"/>
  </w:style>
  <w:style w:type="paragraph" w:styleId="Signature">
    <w:name w:val="Signature"/>
    <w:basedOn w:val="Normal"/>
    <w:link w:val="SignatureChar"/>
    <w:uiPriority w:val="99"/>
    <w:semiHidden/>
    <w:unhideWhenUsed/>
    <w:rsid w:val="00F64A35"/>
    <w:pPr>
      <w:ind w:left="4252"/>
    </w:pPr>
  </w:style>
  <w:style w:type="character" w:styleId="Strong">
    <w:name w:val="Strong"/>
    <w:basedOn w:val="DefaultParagraphFont"/>
    <w:uiPriority w:val="99"/>
    <w:qFormat/>
    <w:rsid w:val="00F64A35"/>
    <w:rPr>
      <w:b/>
      <w:bCs/>
      <w:lang w:val="en-GB"/>
    </w:rPr>
  </w:style>
  <w:style w:type="character" w:styleId="SubtleEmphasis">
    <w:name w:val="Subtle Emphasis"/>
    <w:basedOn w:val="DefaultParagraphFont"/>
    <w:uiPriority w:val="99"/>
    <w:qFormat/>
    <w:rsid w:val="00F64A35"/>
    <w:rPr>
      <w:i/>
      <w:iCs/>
      <w:color w:val="808080" w:themeColor="text1" w:themeTint="7F"/>
      <w:lang w:val="en-GB"/>
    </w:rPr>
  </w:style>
  <w:style w:type="character" w:styleId="SubtleReference">
    <w:name w:val="Subtle Reference"/>
    <w:basedOn w:val="DefaultParagraphFont"/>
    <w:uiPriority w:val="99"/>
    <w:qFormat/>
    <w:rsid w:val="00F64A35"/>
    <w:rPr>
      <w:smallCaps/>
      <w:color w:val="C0504D" w:themeColor="accent2"/>
      <w:u w:val="single"/>
      <w:lang w:val="en-GB"/>
    </w:rPr>
  </w:style>
  <w:style w:type="paragraph" w:styleId="TOAHeading">
    <w:name w:val="toa heading"/>
    <w:basedOn w:val="Normal"/>
    <w:next w:val="Normal"/>
    <w:uiPriority w:val="39"/>
    <w:unhideWhenUsed/>
    <w:rsid w:val="00F64A35"/>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BD6FCF"/>
    <w:rPr>
      <w:color w:val="605E5C"/>
      <w:shd w:val="clear" w:color="auto" w:fill="E1DFDD"/>
      <w:lang w:val="en-GB"/>
    </w:rPr>
  </w:style>
  <w:style w:type="paragraph" w:styleId="Revision">
    <w:name w:val="Revision"/>
    <w:hidden/>
    <w:uiPriority w:val="99"/>
    <w:rsid w:val="00A441FF"/>
    <w:pPr>
      <w:spacing w:after="0" w:line="240" w:lineRule="auto"/>
    </w:pPr>
    <w:rPr>
      <w:rFonts w:ascii="Times New Roman" w:eastAsia="Times New Roman" w:hAnsi="Times New Roman" w:cs="Times New Roman"/>
      <w:szCs w:val="20"/>
      <w:lang w:val="es-ES" w:eastAsia="en-GB"/>
    </w:rPr>
  </w:style>
  <w:style w:type="table" w:styleId="LightList">
    <w:name w:val="Light List"/>
    <w:basedOn w:val="TableNormal"/>
    <w:uiPriority w:val="61"/>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
    <w:name w:val="Light Grid"/>
    <w:basedOn w:val="TableNormal"/>
    <w:uiPriority w:val="62"/>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Verdana" w:eastAsia="Times New Roman" w:hAnsi="Verdan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Verdana" w:eastAsia="Times New Roman" w:hAnsi="Verdan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Verdana" w:eastAsia="Times New Roman" w:hAnsi="Verdan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Verdana" w:eastAsia="Times New Roman" w:hAnsi="Verdan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Verdana" w:eastAsia="Times New Roman" w:hAnsi="Verdan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Verdana" w:eastAsia="Times New Roman" w:hAnsi="Verdan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Verdana" w:eastAsia="Times New Roman" w:hAnsi="Verdan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Verdana" w:eastAsia="Times New Roman" w:hAnsi="Verdan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Grid1">
    <w:name w:val="Medium Grid 1"/>
    <w:basedOn w:val="TableNormal"/>
    <w:uiPriority w:val="67"/>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olorfulGrid">
    <w:name w:val="Colorful Grid"/>
    <w:basedOn w:val="TableNormal"/>
    <w:uiPriority w:val="73"/>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Accent2">
    <w:name w:val="Light List Accent 2"/>
    <w:basedOn w:val="TableNormal"/>
    <w:uiPriority w:val="61"/>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1">
    <w:name w:val="Medium List 1"/>
    <w:basedOn w:val="TableNormal"/>
    <w:uiPriority w:val="65"/>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8" w:space="0" w:color="C0504D"/>
        <w:bottom w:val="single" w:sz="8" w:space="0" w:color="C0504D"/>
      </w:tblBorders>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8" w:space="0" w:color="8064A2"/>
        <w:bottom w:val="single" w:sz="8" w:space="0" w:color="8064A2"/>
      </w:tblBorders>
    </w:tblPr>
    <w:tblStylePr w:type="firstRow">
      <w:rPr>
        <w:rFonts w:ascii="Verdana" w:eastAsia="Times New Roman" w:hAnsi="Verdan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8" w:space="0" w:color="4BACC6"/>
        <w:bottom w:val="single" w:sz="8" w:space="0" w:color="4BACC6"/>
      </w:tblBorders>
    </w:tblPr>
    <w:tblStylePr w:type="firstRow">
      <w:rPr>
        <w:rFonts w:ascii="Verdana" w:eastAsia="Times New Roman" w:hAnsi="Verdan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8" w:space="0" w:color="F79646"/>
        <w:bottom w:val="single" w:sz="8" w:space="0" w:color="F79646"/>
      </w:tblBorders>
    </w:tblPr>
    <w:tblStylePr w:type="firstRow">
      <w:rPr>
        <w:rFonts w:ascii="Verdana" w:eastAsia="Times New Roman" w:hAnsi="Verdan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441FF"/>
    <w:pPr>
      <w:spacing w:after="0" w:line="240" w:lineRule="auto"/>
    </w:pPr>
    <w:rPr>
      <w:rFonts w:ascii="Verdana" w:eastAsia="Times New Roman" w:hAnsi="Verdana" w:cs="Times New Roman"/>
      <w:color w:val="000000"/>
      <w:sz w:val="24"/>
      <w:szCs w:val="24"/>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DarkList">
    <w:name w:val="Dark List"/>
    <w:basedOn w:val="TableNormal"/>
    <w:uiPriority w:val="70"/>
    <w:rsid w:val="00A441FF"/>
    <w:pPr>
      <w:spacing w:after="0" w:line="240" w:lineRule="auto"/>
    </w:pPr>
    <w:rPr>
      <w:rFonts w:ascii="Verdana" w:eastAsia="Verdana" w:hAnsi="Verdana" w:cs="Times New Roman"/>
      <w:color w:val="FFFFFF"/>
      <w:sz w:val="24"/>
      <w:szCs w:val="24"/>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441FF"/>
    <w:pPr>
      <w:spacing w:after="0" w:line="240" w:lineRule="auto"/>
    </w:pPr>
    <w:rPr>
      <w:rFonts w:ascii="Verdana" w:eastAsia="Verdana" w:hAnsi="Verdana" w:cs="Times New Roman"/>
      <w:color w:val="FFFFFF"/>
      <w:sz w:val="24"/>
      <w:szCs w:val="24"/>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441FF"/>
    <w:pPr>
      <w:spacing w:after="0" w:line="240" w:lineRule="auto"/>
    </w:pPr>
    <w:rPr>
      <w:rFonts w:ascii="Verdana" w:eastAsia="Verdana" w:hAnsi="Verdana" w:cs="Times New Roman"/>
      <w:color w:val="FFFFFF"/>
      <w:sz w:val="24"/>
      <w:szCs w:val="24"/>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441FF"/>
    <w:pPr>
      <w:spacing w:after="0" w:line="240" w:lineRule="auto"/>
    </w:pPr>
    <w:rPr>
      <w:rFonts w:ascii="Verdana" w:eastAsia="Verdana" w:hAnsi="Verdana" w:cs="Times New Roman"/>
      <w:color w:val="FFFFFF"/>
      <w:sz w:val="24"/>
      <w:szCs w:val="24"/>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441FF"/>
    <w:pPr>
      <w:spacing w:after="0" w:line="240" w:lineRule="auto"/>
    </w:pPr>
    <w:rPr>
      <w:rFonts w:ascii="Verdana" w:eastAsia="Verdana" w:hAnsi="Verdana" w:cs="Times New Roman"/>
      <w:color w:val="FFFFFF"/>
      <w:sz w:val="24"/>
      <w:szCs w:val="24"/>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441FF"/>
    <w:pPr>
      <w:spacing w:after="0" w:line="240" w:lineRule="auto"/>
    </w:pPr>
    <w:rPr>
      <w:rFonts w:ascii="Verdana" w:eastAsia="Verdana" w:hAnsi="Verdana" w:cs="Times New Roman"/>
      <w:color w:val="FFFFFF"/>
      <w:sz w:val="24"/>
      <w:szCs w:val="24"/>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441FF"/>
    <w:pPr>
      <w:spacing w:after="0" w:line="240" w:lineRule="auto"/>
    </w:pPr>
    <w:rPr>
      <w:rFonts w:ascii="Verdana" w:eastAsia="Verdana" w:hAnsi="Verdana" w:cs="Times New Roman"/>
      <w:color w:val="FFFFFF"/>
      <w:sz w:val="24"/>
      <w:szCs w:val="24"/>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A441FF"/>
    <w:pPr>
      <w:spacing w:after="0" w:line="240" w:lineRule="auto"/>
    </w:pPr>
    <w:rPr>
      <w:rFonts w:ascii="Verdana" w:eastAsia="Verdana" w:hAnsi="Verdana" w:cs="Times New Roman"/>
      <w:color w:val="000000"/>
      <w:sz w:val="24"/>
      <w:szCs w:val="24"/>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441FF"/>
    <w:pPr>
      <w:spacing w:after="0" w:line="240" w:lineRule="auto"/>
    </w:pPr>
    <w:rPr>
      <w:rFonts w:ascii="Verdana" w:eastAsia="Verdana" w:hAnsi="Verdana" w:cs="Times New Roman"/>
      <w:color w:val="000000"/>
      <w:sz w:val="24"/>
      <w:szCs w:val="24"/>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441FF"/>
    <w:pPr>
      <w:spacing w:after="0" w:line="240" w:lineRule="auto"/>
    </w:pPr>
    <w:rPr>
      <w:rFonts w:ascii="Verdana" w:eastAsia="Verdana" w:hAnsi="Verdana" w:cs="Times New Roman"/>
      <w:color w:val="000000"/>
      <w:sz w:val="24"/>
      <w:szCs w:val="24"/>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441FF"/>
    <w:pPr>
      <w:spacing w:after="0" w:line="240" w:lineRule="auto"/>
    </w:pPr>
    <w:rPr>
      <w:rFonts w:ascii="Verdana" w:eastAsia="Verdana" w:hAnsi="Verdana" w:cs="Times New Roman"/>
      <w:color w:val="000000"/>
      <w:sz w:val="24"/>
      <w:szCs w:val="24"/>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441FF"/>
    <w:pPr>
      <w:spacing w:after="0" w:line="240" w:lineRule="auto"/>
    </w:pPr>
    <w:rPr>
      <w:rFonts w:ascii="Verdana" w:eastAsia="Verdana" w:hAnsi="Verdana" w:cs="Times New Roman"/>
      <w:color w:val="000000"/>
      <w:sz w:val="24"/>
      <w:szCs w:val="24"/>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441FF"/>
    <w:pPr>
      <w:spacing w:after="0" w:line="240" w:lineRule="auto"/>
    </w:pPr>
    <w:rPr>
      <w:rFonts w:ascii="Verdana" w:eastAsia="Verdana" w:hAnsi="Verdana" w:cs="Times New Roman"/>
      <w:color w:val="000000"/>
      <w:sz w:val="24"/>
      <w:szCs w:val="24"/>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441FF"/>
    <w:pPr>
      <w:spacing w:after="0" w:line="240" w:lineRule="auto"/>
    </w:pPr>
    <w:rPr>
      <w:rFonts w:ascii="Verdana" w:eastAsia="Verdana" w:hAnsi="Verdana" w:cs="Times New Roman"/>
      <w:color w:val="000000"/>
      <w:sz w:val="24"/>
      <w:szCs w:val="24"/>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
    <w:name w:val="Light Shading"/>
    <w:basedOn w:val="TableNormal"/>
    <w:uiPriority w:val="60"/>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441FF"/>
    <w:pPr>
      <w:spacing w:after="0" w:line="240" w:lineRule="auto"/>
    </w:pPr>
    <w:rPr>
      <w:rFonts w:ascii="Verdana" w:eastAsia="Verdana" w:hAnsi="Verdana" w:cs="Times New Roman"/>
      <w:color w:val="365F91"/>
      <w:sz w:val="24"/>
      <w:szCs w:val="24"/>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441FF"/>
    <w:pPr>
      <w:spacing w:after="0" w:line="240" w:lineRule="auto"/>
    </w:pPr>
    <w:rPr>
      <w:rFonts w:ascii="Verdana" w:eastAsia="Verdana" w:hAnsi="Verdana" w:cs="Times New Roman"/>
      <w:color w:val="943634"/>
      <w:sz w:val="24"/>
      <w:szCs w:val="2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441FF"/>
    <w:pPr>
      <w:spacing w:after="0" w:line="240" w:lineRule="auto"/>
    </w:pPr>
    <w:rPr>
      <w:rFonts w:ascii="Verdana" w:eastAsia="Verdana" w:hAnsi="Verdana" w:cs="Times New Roman"/>
      <w:color w:val="76923C"/>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441FF"/>
    <w:pPr>
      <w:spacing w:after="0" w:line="240" w:lineRule="auto"/>
    </w:pPr>
    <w:rPr>
      <w:rFonts w:ascii="Verdana" w:eastAsia="Verdana" w:hAnsi="Verdana" w:cs="Times New Roman"/>
      <w:color w:val="5F497A"/>
      <w:sz w:val="24"/>
      <w:szCs w:val="24"/>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441FF"/>
    <w:pPr>
      <w:spacing w:after="0" w:line="240" w:lineRule="auto"/>
    </w:pPr>
    <w:rPr>
      <w:rFonts w:ascii="Verdana" w:eastAsia="Verdana" w:hAnsi="Verdana" w:cs="Times New Roman"/>
      <w:color w:val="31849B"/>
      <w:sz w:val="24"/>
      <w:szCs w:val="24"/>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441FF"/>
    <w:pPr>
      <w:spacing w:after="0" w:line="240" w:lineRule="auto"/>
    </w:pPr>
    <w:rPr>
      <w:rFonts w:ascii="Verdana" w:eastAsia="Verdana" w:hAnsi="Verdana" w:cs="Times New Roman"/>
      <w:color w:val="E36C0A"/>
      <w:sz w:val="24"/>
      <w:szCs w:val="24"/>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1">
    <w:name w:val="Medium Shading 1"/>
    <w:basedOn w:val="TableNormal"/>
    <w:uiPriority w:val="63"/>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441FF"/>
    <w:pPr>
      <w:spacing w:after="0" w:line="240" w:lineRule="auto"/>
    </w:pPr>
    <w:rPr>
      <w:rFonts w:ascii="Verdana" w:eastAsia="Verdana" w:hAnsi="Verdana" w:cs="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441FF"/>
    <w:pPr>
      <w:spacing w:after="0" w:line="240" w:lineRule="auto"/>
    </w:pPr>
    <w:rPr>
      <w:rFonts w:ascii="Verdana" w:eastAsia="Verdana" w:hAnsi="Verdana" w:cs="Times New Roman"/>
      <w:color w:val="000000"/>
      <w:sz w:val="24"/>
      <w:szCs w:val="24"/>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TableSimple1">
    <w:name w:val="Table Simple 1"/>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441FF"/>
    <w:pPr>
      <w:spacing w:after="0" w:line="240" w:lineRule="auto"/>
      <w:jc w:val="both"/>
    </w:pPr>
    <w:rPr>
      <w:rFonts w:ascii="Verdana" w:eastAsia="Verdana" w:hAnsi="Verdana" w:cs="Times New Roman"/>
      <w:color w:val="000080"/>
      <w:sz w:val="24"/>
      <w:szCs w:val="24"/>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441FF"/>
    <w:pPr>
      <w:spacing w:after="0" w:line="240" w:lineRule="auto"/>
      <w:jc w:val="both"/>
    </w:pPr>
    <w:rPr>
      <w:rFonts w:ascii="Verdana" w:eastAsia="Verdana" w:hAnsi="Verdana" w:cs="Times New Roman"/>
      <w:b/>
      <w:bCs/>
      <w:sz w:val="24"/>
      <w:szCs w:val="24"/>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441FF"/>
    <w:pPr>
      <w:spacing w:after="0" w:line="240" w:lineRule="auto"/>
      <w:jc w:val="both"/>
    </w:pPr>
    <w:rPr>
      <w:rFonts w:ascii="Verdana" w:eastAsia="Verdana" w:hAnsi="Verdana" w:cs="Times New Roman"/>
      <w:b/>
      <w:bCs/>
      <w:sz w:val="24"/>
      <w:szCs w:val="24"/>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441FF"/>
    <w:pPr>
      <w:spacing w:after="0" w:line="240" w:lineRule="auto"/>
      <w:jc w:val="both"/>
    </w:pPr>
    <w:rPr>
      <w:rFonts w:ascii="Verdana" w:eastAsia="Verdana" w:hAnsi="Verdana" w:cs="Times New Roman"/>
      <w:b/>
      <w:bCs/>
      <w:sz w:val="24"/>
      <w:szCs w:val="24"/>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441FF"/>
    <w:pPr>
      <w:spacing w:after="0" w:line="240" w:lineRule="auto"/>
      <w:jc w:val="both"/>
    </w:pPr>
    <w:rPr>
      <w:rFonts w:ascii="Verdana" w:eastAsia="Verdana" w:hAnsi="Verdana" w:cs="Times New Roman"/>
      <w:b/>
      <w:bCs/>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441FF"/>
    <w:pPr>
      <w:spacing w:after="0" w:line="240" w:lineRule="auto"/>
      <w:jc w:val="both"/>
    </w:pPr>
    <w:rPr>
      <w:rFonts w:ascii="Verdana" w:eastAsia="Verdana" w:hAnsi="Verdana" w:cs="Times New Roman"/>
      <w:color w:val="FFFFFF"/>
      <w:sz w:val="24"/>
      <w:szCs w:val="24"/>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441FF"/>
    <w:pPr>
      <w:spacing w:after="0" w:line="240" w:lineRule="auto"/>
      <w:jc w:val="both"/>
    </w:pPr>
    <w:rPr>
      <w:rFonts w:ascii="Verdana" w:eastAsia="Verdana" w:hAnsi="Verdana" w:cs="Times New Roman"/>
      <w:sz w:val="24"/>
      <w:szCs w:val="24"/>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ashtag">
    <w:name w:val="Hashtag"/>
    <w:uiPriority w:val="99"/>
    <w:semiHidden/>
    <w:unhideWhenUsed/>
    <w:rsid w:val="00A441FF"/>
    <w:rPr>
      <w:color w:val="2B579A"/>
      <w:shd w:val="clear" w:color="auto" w:fill="E6E6E6"/>
      <w:lang w:val="en-GB"/>
    </w:rPr>
  </w:style>
  <w:style w:type="character" w:styleId="SmartHyperlink">
    <w:name w:val="Smart Hyperlink"/>
    <w:uiPriority w:val="99"/>
    <w:semiHidden/>
    <w:unhideWhenUsed/>
    <w:rsid w:val="00A441FF"/>
    <w:rPr>
      <w:u w:val="dotted"/>
      <w:lang w:val="en-GB"/>
    </w:rPr>
  </w:style>
  <w:style w:type="table" w:styleId="TableGridLight">
    <w:name w:val="Grid Table Light"/>
    <w:basedOn w:val="TableNormal"/>
    <w:uiPriority w:val="40"/>
    <w:rsid w:val="00A441FF"/>
    <w:pPr>
      <w:spacing w:after="0" w:line="240" w:lineRule="auto"/>
    </w:pPr>
    <w:rPr>
      <w:rFonts w:ascii="Verdana" w:eastAsia="Verdana" w:hAnsi="Verdana" w:cs="Times New Roman"/>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Mention">
    <w:name w:val="Mention"/>
    <w:uiPriority w:val="99"/>
    <w:semiHidden/>
    <w:unhideWhenUsed/>
    <w:rsid w:val="00A441FF"/>
    <w:rPr>
      <w:color w:val="2B579A"/>
      <w:shd w:val="clear" w:color="auto" w:fill="E6E6E6"/>
      <w:lang w:val="en-GB"/>
    </w:rPr>
  </w:style>
  <w:style w:type="table" w:styleId="GridTable1Light">
    <w:name w:val="Grid Table 1 Light"/>
    <w:basedOn w:val="TableNormal"/>
    <w:uiPriority w:val="46"/>
    <w:rsid w:val="00A441FF"/>
    <w:pPr>
      <w:spacing w:after="0" w:line="240" w:lineRule="auto"/>
    </w:pPr>
    <w:rPr>
      <w:rFonts w:ascii="Verdana" w:eastAsia="Verdana" w:hAnsi="Verdana" w:cs="Times New Roman"/>
      <w:lang w:val="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441FF"/>
    <w:pPr>
      <w:spacing w:after="0" w:line="240" w:lineRule="auto"/>
    </w:pPr>
    <w:rPr>
      <w:rFonts w:ascii="Verdana" w:eastAsia="Verdana" w:hAnsi="Verdana" w:cs="Times New Roman"/>
      <w:lang w:val="es-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441FF"/>
    <w:pPr>
      <w:spacing w:after="0" w:line="240" w:lineRule="auto"/>
    </w:pPr>
    <w:rPr>
      <w:rFonts w:ascii="Verdana" w:eastAsia="Verdana" w:hAnsi="Verdana" w:cs="Times New Roman"/>
      <w:lang w:val="es-E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441FF"/>
    <w:pPr>
      <w:spacing w:after="0" w:line="240" w:lineRule="auto"/>
    </w:pPr>
    <w:rPr>
      <w:rFonts w:ascii="Verdana" w:eastAsia="Verdana" w:hAnsi="Verdana" w:cs="Times New Roman"/>
      <w:lang w:val="es-E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441FF"/>
    <w:pPr>
      <w:spacing w:after="0" w:line="240" w:lineRule="auto"/>
    </w:pPr>
    <w:rPr>
      <w:rFonts w:ascii="Verdana" w:eastAsia="Verdana" w:hAnsi="Verdana" w:cs="Times New Roman"/>
      <w:lang w:val="es-E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441FF"/>
    <w:pPr>
      <w:spacing w:after="0" w:line="240" w:lineRule="auto"/>
    </w:pPr>
    <w:rPr>
      <w:rFonts w:ascii="Verdana" w:eastAsia="Verdana" w:hAnsi="Verdana" w:cs="Times New Roman"/>
      <w:lang w:val="es-E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441FF"/>
    <w:pPr>
      <w:spacing w:after="0" w:line="240" w:lineRule="auto"/>
    </w:pPr>
    <w:rPr>
      <w:rFonts w:ascii="Verdana" w:eastAsia="Verdana" w:hAnsi="Verdana" w:cs="Times New Roman"/>
      <w:lang w:val="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GridTable2">
    <w:name w:val="Grid Table 2"/>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2-Accent2">
    <w:name w:val="Grid Table 2 Accent 2"/>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2-Accent3">
    <w:name w:val="Grid Table 2 Accent 3"/>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2-Accent4">
    <w:name w:val="Grid Table 2 Accent 4"/>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2-Accent5">
    <w:name w:val="Grid Table 2 Accent 5"/>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2-Accent6">
    <w:name w:val="Grid Table 2 Accent 6"/>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3">
    <w:name w:val="Grid Table 3"/>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GridTable3-Accent2">
    <w:name w:val="Grid Table 3 Accent 2"/>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3-Accent3">
    <w:name w:val="Grid Table 3 Accent 3"/>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GridTable3-Accent4">
    <w:name w:val="Grid Table 3 Accent 4"/>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GridTable3-Accent5">
    <w:name w:val="Grid Table 3 Accent 5"/>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GridTable3-Accent6">
    <w:name w:val="Grid Table 3 Accent 6"/>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GridTable4">
    <w:name w:val="Grid Table 4"/>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2">
    <w:name w:val="Grid Table 4 Accent 2"/>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4-Accent3">
    <w:name w:val="Grid Table 4 Accent 3"/>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4-Accent4">
    <w:name w:val="Grid Table 4 Accent 4"/>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4-Accent5">
    <w:name w:val="Grid Table 4 Accent 5"/>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6">
    <w:name w:val="Grid Table 4 Accent 6"/>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5Dark">
    <w:name w:val="Grid Table 5 Dark"/>
    <w:basedOn w:val="TableNormal"/>
    <w:uiPriority w:val="50"/>
    <w:rsid w:val="00A441FF"/>
    <w:pPr>
      <w:spacing w:after="0" w:line="240" w:lineRule="auto"/>
    </w:pPr>
    <w:rPr>
      <w:rFonts w:ascii="Verdana" w:eastAsia="Verdana" w:hAnsi="Verdana"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A441FF"/>
    <w:pPr>
      <w:spacing w:after="0" w:line="240" w:lineRule="auto"/>
    </w:pPr>
    <w:rPr>
      <w:rFonts w:ascii="Verdana" w:eastAsia="Verdana" w:hAnsi="Verdana"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5Dark-Accent2">
    <w:name w:val="Grid Table 5 Dark Accent 2"/>
    <w:basedOn w:val="TableNormal"/>
    <w:uiPriority w:val="50"/>
    <w:rsid w:val="00A441FF"/>
    <w:pPr>
      <w:spacing w:after="0" w:line="240" w:lineRule="auto"/>
    </w:pPr>
    <w:rPr>
      <w:rFonts w:ascii="Verdana" w:eastAsia="Verdana" w:hAnsi="Verdana"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GridTable5Dark-Accent3">
    <w:name w:val="Grid Table 5 Dark Accent 3"/>
    <w:basedOn w:val="TableNormal"/>
    <w:uiPriority w:val="50"/>
    <w:rsid w:val="00A441FF"/>
    <w:pPr>
      <w:spacing w:after="0" w:line="240" w:lineRule="auto"/>
    </w:pPr>
    <w:rPr>
      <w:rFonts w:ascii="Verdana" w:eastAsia="Verdana" w:hAnsi="Verdana"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GridTable5Dark-Accent4">
    <w:name w:val="Grid Table 5 Dark Accent 4"/>
    <w:basedOn w:val="TableNormal"/>
    <w:uiPriority w:val="50"/>
    <w:rsid w:val="00A441FF"/>
    <w:pPr>
      <w:spacing w:after="0" w:line="240" w:lineRule="auto"/>
    </w:pPr>
    <w:rPr>
      <w:rFonts w:ascii="Verdana" w:eastAsia="Verdana" w:hAnsi="Verdana"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styleId="GridTable5Dark-Accent5">
    <w:name w:val="Grid Table 5 Dark Accent 5"/>
    <w:basedOn w:val="TableNormal"/>
    <w:uiPriority w:val="50"/>
    <w:rsid w:val="00A441FF"/>
    <w:pPr>
      <w:spacing w:after="0" w:line="240" w:lineRule="auto"/>
    </w:pPr>
    <w:rPr>
      <w:rFonts w:ascii="Verdana" w:eastAsia="Verdana" w:hAnsi="Verdana"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GridTable5Dark-Accent6">
    <w:name w:val="Grid Table 5 Dark Accent 6"/>
    <w:basedOn w:val="TableNormal"/>
    <w:uiPriority w:val="50"/>
    <w:rsid w:val="00A441FF"/>
    <w:pPr>
      <w:spacing w:after="0" w:line="240" w:lineRule="auto"/>
    </w:pPr>
    <w:rPr>
      <w:rFonts w:ascii="Verdana" w:eastAsia="Verdana" w:hAnsi="Verdana"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GridTable6Colorful">
    <w:name w:val="Grid Table 6 Colorful"/>
    <w:basedOn w:val="TableNormal"/>
    <w:uiPriority w:val="51"/>
    <w:rsid w:val="00A441FF"/>
    <w:pPr>
      <w:spacing w:after="0" w:line="240" w:lineRule="auto"/>
    </w:pPr>
    <w:rPr>
      <w:rFonts w:ascii="Verdana" w:eastAsia="Verdana" w:hAnsi="Verdana" w:cs="Times New Roman"/>
      <w:color w:val="000000"/>
      <w:lang w:val="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A441FF"/>
    <w:pPr>
      <w:spacing w:after="0" w:line="240" w:lineRule="auto"/>
    </w:pPr>
    <w:rPr>
      <w:rFonts w:ascii="Verdana" w:eastAsia="Verdana" w:hAnsi="Verdana" w:cs="Times New Roman"/>
      <w:color w:val="365F91"/>
      <w:lang w:val="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6Colorful-Accent2">
    <w:name w:val="Grid Table 6 Colorful Accent 2"/>
    <w:basedOn w:val="TableNormal"/>
    <w:uiPriority w:val="51"/>
    <w:rsid w:val="00A441FF"/>
    <w:pPr>
      <w:spacing w:after="0" w:line="240" w:lineRule="auto"/>
    </w:pPr>
    <w:rPr>
      <w:rFonts w:ascii="Verdana" w:eastAsia="Verdana" w:hAnsi="Verdana" w:cs="Times New Roman"/>
      <w:color w:val="943634"/>
      <w:lang w:val="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6Colorful-Accent3">
    <w:name w:val="Grid Table 6 Colorful Accent 3"/>
    <w:basedOn w:val="TableNormal"/>
    <w:uiPriority w:val="51"/>
    <w:rsid w:val="00A441FF"/>
    <w:pPr>
      <w:spacing w:after="0" w:line="240" w:lineRule="auto"/>
    </w:pPr>
    <w:rPr>
      <w:rFonts w:ascii="Verdana" w:eastAsia="Verdana" w:hAnsi="Verdana" w:cs="Times New Roman"/>
      <w:color w:val="76923C"/>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4">
    <w:name w:val="Grid Table 6 Colorful Accent 4"/>
    <w:basedOn w:val="TableNormal"/>
    <w:uiPriority w:val="51"/>
    <w:rsid w:val="00A441FF"/>
    <w:pPr>
      <w:spacing w:after="0" w:line="240" w:lineRule="auto"/>
    </w:pPr>
    <w:rPr>
      <w:rFonts w:ascii="Verdana" w:eastAsia="Verdana" w:hAnsi="Verdana" w:cs="Times New Roman"/>
      <w:color w:val="5F497A"/>
      <w:lang w:val="es-E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6Colorful-Accent5">
    <w:name w:val="Grid Table 6 Colorful Accent 5"/>
    <w:basedOn w:val="TableNormal"/>
    <w:uiPriority w:val="51"/>
    <w:rsid w:val="00A441FF"/>
    <w:pPr>
      <w:spacing w:after="0" w:line="240" w:lineRule="auto"/>
    </w:pPr>
    <w:rPr>
      <w:rFonts w:ascii="Verdana" w:eastAsia="Verdana" w:hAnsi="Verdana" w:cs="Times New Roman"/>
      <w:color w:val="31849B"/>
      <w:lang w:val="es-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6Colorful-Accent6">
    <w:name w:val="Grid Table 6 Colorful Accent 6"/>
    <w:basedOn w:val="TableNormal"/>
    <w:uiPriority w:val="51"/>
    <w:rsid w:val="00A441FF"/>
    <w:pPr>
      <w:spacing w:after="0" w:line="240" w:lineRule="auto"/>
    </w:pPr>
    <w:rPr>
      <w:rFonts w:ascii="Verdana" w:eastAsia="Verdana" w:hAnsi="Verdana" w:cs="Times New Roman"/>
      <w:color w:val="E36C0A"/>
      <w:lang w:val="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7Colorful">
    <w:name w:val="Grid Table 7 Colorful"/>
    <w:basedOn w:val="TableNormal"/>
    <w:uiPriority w:val="52"/>
    <w:rsid w:val="00A441FF"/>
    <w:pPr>
      <w:spacing w:after="0" w:line="240" w:lineRule="auto"/>
    </w:pPr>
    <w:rPr>
      <w:rFonts w:ascii="Verdana" w:eastAsia="Verdana" w:hAnsi="Verdana" w:cs="Times New Roman"/>
      <w:color w:val="000000"/>
      <w:lang w:val="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A441FF"/>
    <w:pPr>
      <w:spacing w:after="0" w:line="240" w:lineRule="auto"/>
    </w:pPr>
    <w:rPr>
      <w:rFonts w:ascii="Verdana" w:eastAsia="Verdana" w:hAnsi="Verdana" w:cs="Times New Roman"/>
      <w:color w:val="365F91"/>
      <w:lang w:val="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GridTable7Colorful-Accent2">
    <w:name w:val="Grid Table 7 Colorful Accent 2"/>
    <w:basedOn w:val="TableNormal"/>
    <w:uiPriority w:val="52"/>
    <w:rsid w:val="00A441FF"/>
    <w:pPr>
      <w:spacing w:after="0" w:line="240" w:lineRule="auto"/>
    </w:pPr>
    <w:rPr>
      <w:rFonts w:ascii="Verdana" w:eastAsia="Verdana" w:hAnsi="Verdana" w:cs="Times New Roman"/>
      <w:color w:val="943634"/>
      <w:lang w:val="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7Colorful-Accent3">
    <w:name w:val="Grid Table 7 Colorful Accent 3"/>
    <w:basedOn w:val="TableNormal"/>
    <w:uiPriority w:val="52"/>
    <w:rsid w:val="00A441FF"/>
    <w:pPr>
      <w:spacing w:after="0" w:line="240" w:lineRule="auto"/>
    </w:pPr>
    <w:rPr>
      <w:rFonts w:ascii="Verdana" w:eastAsia="Verdana" w:hAnsi="Verdana" w:cs="Times New Roman"/>
      <w:color w:val="76923C"/>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GridTable7Colorful-Accent4">
    <w:name w:val="Grid Table 7 Colorful Accent 4"/>
    <w:basedOn w:val="TableNormal"/>
    <w:uiPriority w:val="52"/>
    <w:rsid w:val="00A441FF"/>
    <w:pPr>
      <w:spacing w:after="0" w:line="240" w:lineRule="auto"/>
    </w:pPr>
    <w:rPr>
      <w:rFonts w:ascii="Verdana" w:eastAsia="Verdana" w:hAnsi="Verdana" w:cs="Times New Roman"/>
      <w:color w:val="5F497A"/>
      <w:lang w:val="es-E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GridTable7Colorful-Accent5">
    <w:name w:val="Grid Table 7 Colorful Accent 5"/>
    <w:basedOn w:val="TableNormal"/>
    <w:uiPriority w:val="52"/>
    <w:rsid w:val="00A441FF"/>
    <w:pPr>
      <w:spacing w:after="0" w:line="240" w:lineRule="auto"/>
    </w:pPr>
    <w:rPr>
      <w:rFonts w:ascii="Verdana" w:eastAsia="Verdana" w:hAnsi="Verdana" w:cs="Times New Roman"/>
      <w:color w:val="31849B"/>
      <w:lang w:val="es-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GridTable7Colorful-Accent6">
    <w:name w:val="Grid Table 7 Colorful Accent 6"/>
    <w:basedOn w:val="TableNormal"/>
    <w:uiPriority w:val="52"/>
    <w:rsid w:val="00A441FF"/>
    <w:pPr>
      <w:spacing w:after="0" w:line="240" w:lineRule="auto"/>
    </w:pPr>
    <w:rPr>
      <w:rFonts w:ascii="Verdana" w:eastAsia="Verdana" w:hAnsi="Verdana" w:cs="Times New Roman"/>
      <w:color w:val="E36C0A"/>
      <w:lang w:val="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ListTable1Light">
    <w:name w:val="List Table 1 Light"/>
    <w:basedOn w:val="TableNormal"/>
    <w:uiPriority w:val="46"/>
    <w:rsid w:val="00A441FF"/>
    <w:pPr>
      <w:spacing w:after="0" w:line="240" w:lineRule="auto"/>
    </w:pPr>
    <w:rPr>
      <w:rFonts w:ascii="Verdana" w:eastAsia="Verdana" w:hAnsi="Verdana" w:cs="Times New Roman"/>
      <w:lang w:val="es-E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A441FF"/>
    <w:pPr>
      <w:spacing w:after="0" w:line="240" w:lineRule="auto"/>
    </w:pPr>
    <w:rPr>
      <w:rFonts w:ascii="Verdana" w:eastAsia="Verdana" w:hAnsi="Verdana" w:cs="Times New Roman"/>
      <w:lang w:val="es-E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2">
    <w:name w:val="List Table 1 Light Accent 2"/>
    <w:basedOn w:val="TableNormal"/>
    <w:uiPriority w:val="46"/>
    <w:rsid w:val="00A441FF"/>
    <w:pPr>
      <w:spacing w:after="0" w:line="240" w:lineRule="auto"/>
    </w:pPr>
    <w:rPr>
      <w:rFonts w:ascii="Verdana" w:eastAsia="Verdana" w:hAnsi="Verdana" w:cs="Times New Roman"/>
      <w:lang w:val="es-ES"/>
    </w:rPr>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1Light-Accent3">
    <w:name w:val="List Table 1 Light Accent 3"/>
    <w:basedOn w:val="TableNormal"/>
    <w:uiPriority w:val="46"/>
    <w:rsid w:val="00A441FF"/>
    <w:pPr>
      <w:spacing w:after="0" w:line="240" w:lineRule="auto"/>
    </w:pPr>
    <w:rPr>
      <w:rFonts w:ascii="Verdana" w:eastAsia="Verdana" w:hAnsi="Verdana" w:cs="Times New Roman"/>
      <w:lang w:val="es-ES"/>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1Light-Accent4">
    <w:name w:val="List Table 1 Light Accent 4"/>
    <w:basedOn w:val="TableNormal"/>
    <w:uiPriority w:val="46"/>
    <w:rsid w:val="00A441FF"/>
    <w:pPr>
      <w:spacing w:after="0" w:line="240" w:lineRule="auto"/>
    </w:pPr>
    <w:rPr>
      <w:rFonts w:ascii="Verdana" w:eastAsia="Verdana" w:hAnsi="Verdana" w:cs="Times New Roman"/>
      <w:lang w:val="es-E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1Light-Accent5">
    <w:name w:val="List Table 1 Light Accent 5"/>
    <w:basedOn w:val="TableNormal"/>
    <w:uiPriority w:val="46"/>
    <w:rsid w:val="00A441FF"/>
    <w:pPr>
      <w:spacing w:after="0" w:line="240" w:lineRule="auto"/>
    </w:pPr>
    <w:rPr>
      <w:rFonts w:ascii="Verdana" w:eastAsia="Verdana" w:hAnsi="Verdana" w:cs="Times New Roman"/>
      <w:lang w:val="es-ES"/>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1Light-Accent6">
    <w:name w:val="List Table 1 Light Accent 6"/>
    <w:basedOn w:val="TableNormal"/>
    <w:uiPriority w:val="46"/>
    <w:rsid w:val="00A441FF"/>
    <w:pPr>
      <w:spacing w:after="0" w:line="240" w:lineRule="auto"/>
    </w:pPr>
    <w:rPr>
      <w:rFonts w:ascii="Verdana" w:eastAsia="Verdana" w:hAnsi="Verdana" w:cs="Times New Roman"/>
      <w:lang w:val="es-ES"/>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2">
    <w:name w:val="List Table 2"/>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2-Accent2">
    <w:name w:val="List Table 2 Accent 2"/>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2-Accent3">
    <w:name w:val="List Table 2 Accent 3"/>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2-Accent4">
    <w:name w:val="List Table 2 Accent 4"/>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2-Accent5">
    <w:name w:val="List Table 2 Accent 5"/>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2-Accent6">
    <w:name w:val="List Table 2 Accent 6"/>
    <w:basedOn w:val="TableNormal"/>
    <w:uiPriority w:val="47"/>
    <w:rsid w:val="00A441FF"/>
    <w:pPr>
      <w:spacing w:after="0" w:line="240" w:lineRule="auto"/>
    </w:pPr>
    <w:rPr>
      <w:rFonts w:ascii="Verdana" w:eastAsia="Verdana" w:hAnsi="Verdana" w:cs="Times New Roman"/>
      <w:lang w:val="es-ES"/>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3">
    <w:name w:val="List Table 3"/>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2">
    <w:name w:val="List Table 3 Accent 2"/>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styleId="ListTable3-Accent3">
    <w:name w:val="List Table 3 Accent 3"/>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ListTable3-Accent4">
    <w:name w:val="List Table 3 Accent 4"/>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styleId="ListTable3-Accent5">
    <w:name w:val="List Table 3 Accent 5"/>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ListTable3-Accent6">
    <w:name w:val="List Table 3 Accent 6"/>
    <w:basedOn w:val="TableNormal"/>
    <w:uiPriority w:val="48"/>
    <w:rsid w:val="00A441FF"/>
    <w:pPr>
      <w:spacing w:after="0" w:line="240" w:lineRule="auto"/>
    </w:pPr>
    <w:rPr>
      <w:rFonts w:ascii="Verdana" w:eastAsia="Verdana" w:hAnsi="Verdana" w:cs="Times New Roman"/>
      <w:lang w:val="es-E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ListTable4">
    <w:name w:val="List Table 4"/>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4-Accent2">
    <w:name w:val="List Table 4 Accent 2"/>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4-Accent3">
    <w:name w:val="List Table 4 Accent 3"/>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4-Accent4">
    <w:name w:val="List Table 4 Accent 4"/>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4-Accent5">
    <w:name w:val="List Table 4 Accent 5"/>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4-Accent6">
    <w:name w:val="List Table 4 Accent 6"/>
    <w:basedOn w:val="TableNormal"/>
    <w:uiPriority w:val="49"/>
    <w:rsid w:val="00A441FF"/>
    <w:pPr>
      <w:spacing w:after="0" w:line="240" w:lineRule="auto"/>
    </w:pPr>
    <w:rPr>
      <w:rFonts w:ascii="Verdana" w:eastAsia="Verdana" w:hAnsi="Verdana" w:cs="Times New Roman"/>
      <w:lang w:val="es-E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5Dark">
    <w:name w:val="List Table 5 Dark"/>
    <w:basedOn w:val="TableNormal"/>
    <w:uiPriority w:val="50"/>
    <w:rsid w:val="00A441FF"/>
    <w:pPr>
      <w:spacing w:after="0" w:line="240" w:lineRule="auto"/>
    </w:pPr>
    <w:rPr>
      <w:rFonts w:ascii="Verdana" w:eastAsia="Verdana" w:hAnsi="Verdana" w:cs="Times New Roman"/>
      <w:color w:val="FFFFFF"/>
      <w:lang w:val="es-E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441FF"/>
    <w:pPr>
      <w:spacing w:after="0" w:line="240" w:lineRule="auto"/>
    </w:pPr>
    <w:rPr>
      <w:rFonts w:ascii="Verdana" w:eastAsia="Verdana" w:hAnsi="Verdana" w:cs="Times New Roman"/>
      <w:color w:val="FFFFFF"/>
      <w:lang w:val="es-ES"/>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441FF"/>
    <w:pPr>
      <w:spacing w:after="0" w:line="240" w:lineRule="auto"/>
    </w:pPr>
    <w:rPr>
      <w:rFonts w:ascii="Verdana" w:eastAsia="Verdana" w:hAnsi="Verdana" w:cs="Times New Roman"/>
      <w:color w:val="FFFFFF"/>
      <w:lang w:val="es-ES"/>
    </w:rPr>
    <w:tblPr>
      <w:tblStyleRowBandSize w:val="1"/>
      <w:tblStyleColBandSize w:val="1"/>
      <w:tblBorders>
        <w:top w:val="single" w:sz="24" w:space="0" w:color="C0504D"/>
        <w:left w:val="single" w:sz="24" w:space="0" w:color="C0504D"/>
        <w:bottom w:val="single" w:sz="24" w:space="0" w:color="C0504D"/>
        <w:right w:val="single" w:sz="24" w:space="0" w:color="C0504D"/>
      </w:tblBorders>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441FF"/>
    <w:pPr>
      <w:spacing w:after="0" w:line="240" w:lineRule="auto"/>
    </w:pPr>
    <w:rPr>
      <w:rFonts w:ascii="Verdana" w:eastAsia="Verdana" w:hAnsi="Verdana" w:cs="Times New Roman"/>
      <w:color w:val="FFFFFF"/>
      <w:lang w:val="es-ES"/>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441FF"/>
    <w:pPr>
      <w:spacing w:after="0" w:line="240" w:lineRule="auto"/>
    </w:pPr>
    <w:rPr>
      <w:rFonts w:ascii="Verdana" w:eastAsia="Verdana" w:hAnsi="Verdana" w:cs="Times New Roman"/>
      <w:color w:val="FFFFFF"/>
      <w:lang w:val="es-ES"/>
    </w:rPr>
    <w:tblPr>
      <w:tblStyleRowBandSize w:val="1"/>
      <w:tblStyleColBandSize w:val="1"/>
      <w:tblBorders>
        <w:top w:val="single" w:sz="24" w:space="0" w:color="8064A2"/>
        <w:left w:val="single" w:sz="24" w:space="0" w:color="8064A2"/>
        <w:bottom w:val="single" w:sz="24" w:space="0" w:color="8064A2"/>
        <w:right w:val="single" w:sz="24" w:space="0" w:color="8064A2"/>
      </w:tblBorders>
    </w:tblPr>
    <w:tcPr>
      <w:shd w:val="clear" w:color="auto" w:fill="8064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441FF"/>
    <w:pPr>
      <w:spacing w:after="0" w:line="240" w:lineRule="auto"/>
    </w:pPr>
    <w:rPr>
      <w:rFonts w:ascii="Verdana" w:eastAsia="Verdana" w:hAnsi="Verdana" w:cs="Times New Roman"/>
      <w:color w:val="FFFFFF"/>
      <w:lang w:val="es-ES"/>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441FF"/>
    <w:pPr>
      <w:spacing w:after="0" w:line="240" w:lineRule="auto"/>
    </w:pPr>
    <w:rPr>
      <w:rFonts w:ascii="Verdana" w:eastAsia="Verdana" w:hAnsi="Verdana" w:cs="Times New Roman"/>
      <w:color w:val="FFFFFF"/>
      <w:lang w:val="es-ES"/>
    </w:rPr>
    <w:tblPr>
      <w:tblStyleRowBandSize w:val="1"/>
      <w:tblStyleColBandSize w:val="1"/>
      <w:tblBorders>
        <w:top w:val="single" w:sz="24" w:space="0" w:color="F79646"/>
        <w:left w:val="single" w:sz="24" w:space="0" w:color="F79646"/>
        <w:bottom w:val="single" w:sz="24" w:space="0" w:color="F79646"/>
        <w:right w:val="single" w:sz="24" w:space="0" w:color="F79646"/>
      </w:tblBorders>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441FF"/>
    <w:pPr>
      <w:spacing w:after="0" w:line="240" w:lineRule="auto"/>
    </w:pPr>
    <w:rPr>
      <w:rFonts w:ascii="Verdana" w:eastAsia="Verdana" w:hAnsi="Verdana" w:cs="Times New Roman"/>
      <w:color w:val="000000"/>
      <w:lang w:val="es-E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A441FF"/>
    <w:pPr>
      <w:spacing w:after="0" w:line="240" w:lineRule="auto"/>
    </w:pPr>
    <w:rPr>
      <w:rFonts w:ascii="Verdana" w:eastAsia="Verdana" w:hAnsi="Verdana" w:cs="Times New Roman"/>
      <w:color w:val="365F91"/>
      <w:lang w:val="es-ES"/>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6Colorful-Accent2">
    <w:name w:val="List Table 6 Colorful Accent 2"/>
    <w:basedOn w:val="TableNormal"/>
    <w:uiPriority w:val="51"/>
    <w:rsid w:val="00A441FF"/>
    <w:pPr>
      <w:spacing w:after="0" w:line="240" w:lineRule="auto"/>
    </w:pPr>
    <w:rPr>
      <w:rFonts w:ascii="Verdana" w:eastAsia="Verdana" w:hAnsi="Verdana" w:cs="Times New Roman"/>
      <w:color w:val="943634"/>
      <w:lang w:val="es-ES"/>
    </w:rPr>
    <w:tblPr>
      <w:tblStyleRowBandSize w:val="1"/>
      <w:tblStyleColBandSize w:val="1"/>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6Colorful-Accent3">
    <w:name w:val="List Table 6 Colorful Accent 3"/>
    <w:basedOn w:val="TableNormal"/>
    <w:uiPriority w:val="51"/>
    <w:rsid w:val="00A441FF"/>
    <w:pPr>
      <w:spacing w:after="0" w:line="240" w:lineRule="auto"/>
    </w:pPr>
    <w:rPr>
      <w:rFonts w:ascii="Verdana" w:eastAsia="Verdana" w:hAnsi="Verdana" w:cs="Times New Roman"/>
      <w:color w:val="76923C"/>
      <w:lang w:val="es-ES"/>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6Colorful-Accent4">
    <w:name w:val="List Table 6 Colorful Accent 4"/>
    <w:basedOn w:val="TableNormal"/>
    <w:uiPriority w:val="51"/>
    <w:rsid w:val="00A441FF"/>
    <w:pPr>
      <w:spacing w:after="0" w:line="240" w:lineRule="auto"/>
    </w:pPr>
    <w:rPr>
      <w:rFonts w:ascii="Verdana" w:eastAsia="Verdana" w:hAnsi="Verdana" w:cs="Times New Roman"/>
      <w:color w:val="5F497A"/>
      <w:lang w:val="es-ES"/>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6Colorful-Accent5">
    <w:name w:val="List Table 6 Colorful Accent 5"/>
    <w:basedOn w:val="TableNormal"/>
    <w:uiPriority w:val="51"/>
    <w:rsid w:val="00A441FF"/>
    <w:pPr>
      <w:spacing w:after="0" w:line="240" w:lineRule="auto"/>
    </w:pPr>
    <w:rPr>
      <w:rFonts w:ascii="Verdana" w:eastAsia="Verdana" w:hAnsi="Verdana" w:cs="Times New Roman"/>
      <w:color w:val="31849B"/>
      <w:lang w:val="es-ES"/>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6Colorful-Accent6">
    <w:name w:val="List Table 6 Colorful Accent 6"/>
    <w:basedOn w:val="TableNormal"/>
    <w:uiPriority w:val="51"/>
    <w:rsid w:val="00A441FF"/>
    <w:pPr>
      <w:spacing w:after="0" w:line="240" w:lineRule="auto"/>
    </w:pPr>
    <w:rPr>
      <w:rFonts w:ascii="Verdana" w:eastAsia="Verdana" w:hAnsi="Verdana" w:cs="Times New Roman"/>
      <w:color w:val="E36C0A"/>
      <w:lang w:val="es-ES"/>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7Colorful">
    <w:name w:val="List Table 7 Colorful"/>
    <w:basedOn w:val="TableNormal"/>
    <w:uiPriority w:val="52"/>
    <w:rsid w:val="00A441FF"/>
    <w:pPr>
      <w:spacing w:after="0" w:line="240" w:lineRule="auto"/>
    </w:pPr>
    <w:rPr>
      <w:rFonts w:ascii="Verdana" w:eastAsia="Verdana" w:hAnsi="Verdana" w:cs="Times New Roman"/>
      <w:color w:val="000000"/>
      <w:lang w:val="es-ES"/>
    </w:rPr>
    <w:tblPr>
      <w:tblStyleRowBandSize w:val="1"/>
      <w:tblStyleColBandSize w:val="1"/>
    </w:tblPr>
    <w:tblStylePr w:type="firstRow">
      <w:rPr>
        <w:rFonts w:ascii="Verdana" w:eastAsia="Times New Roman" w:hAnsi="Verdana" w:cs="Times New Roman"/>
        <w:i/>
        <w:iCs/>
        <w:sz w:val="26"/>
      </w:rPr>
      <w:tblPr/>
      <w:tcPr>
        <w:tcBorders>
          <w:bottom w:val="single" w:sz="4" w:space="0" w:color="000000"/>
        </w:tcBorders>
        <w:shd w:val="clear" w:color="auto" w:fill="FFFFFF"/>
      </w:tcPr>
    </w:tblStylePr>
    <w:tblStylePr w:type="lastRow">
      <w:rPr>
        <w:rFonts w:ascii="Verdana" w:eastAsia="Times New Roman" w:hAnsi="Verdana" w:cs="Times New Roman"/>
        <w:i/>
        <w:iCs/>
        <w:sz w:val="26"/>
      </w:rPr>
      <w:tblPr/>
      <w:tcPr>
        <w:tcBorders>
          <w:top w:val="single" w:sz="4" w:space="0" w:color="000000"/>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000000"/>
        </w:tcBorders>
        <w:shd w:val="clear" w:color="auto" w:fill="FFFFFF"/>
      </w:tcPr>
    </w:tblStylePr>
    <w:tblStylePr w:type="lastCol">
      <w:rPr>
        <w:rFonts w:ascii="Verdana" w:eastAsia="Times New Roman" w:hAnsi="Verdan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441FF"/>
    <w:pPr>
      <w:spacing w:after="0" w:line="240" w:lineRule="auto"/>
    </w:pPr>
    <w:rPr>
      <w:rFonts w:ascii="Verdana" w:eastAsia="Verdana" w:hAnsi="Verdana" w:cs="Times New Roman"/>
      <w:color w:val="365F91"/>
      <w:lang w:val="es-ES"/>
    </w:rPr>
    <w:tblPr>
      <w:tblStyleRowBandSize w:val="1"/>
      <w:tblStyleColBandSize w:val="1"/>
    </w:tblPr>
    <w:tblStylePr w:type="firstRow">
      <w:rPr>
        <w:rFonts w:ascii="Verdana" w:eastAsia="Times New Roman" w:hAnsi="Verdana" w:cs="Times New Roman"/>
        <w:i/>
        <w:iCs/>
        <w:sz w:val="26"/>
      </w:rPr>
      <w:tblPr/>
      <w:tcPr>
        <w:tcBorders>
          <w:bottom w:val="single" w:sz="4" w:space="0" w:color="4F81BD"/>
        </w:tcBorders>
        <w:shd w:val="clear" w:color="auto" w:fill="FFFFFF"/>
      </w:tcPr>
    </w:tblStylePr>
    <w:tblStylePr w:type="lastRow">
      <w:rPr>
        <w:rFonts w:ascii="Verdana" w:eastAsia="Times New Roman" w:hAnsi="Verdana" w:cs="Times New Roman"/>
        <w:i/>
        <w:iCs/>
        <w:sz w:val="26"/>
      </w:rPr>
      <w:tblPr/>
      <w:tcPr>
        <w:tcBorders>
          <w:top w:val="single" w:sz="4" w:space="0" w:color="4F81BD"/>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4F81BD"/>
        </w:tcBorders>
        <w:shd w:val="clear" w:color="auto" w:fill="FFFFFF"/>
      </w:tcPr>
    </w:tblStylePr>
    <w:tblStylePr w:type="lastCol">
      <w:rPr>
        <w:rFonts w:ascii="Verdana" w:eastAsia="Times New Roman" w:hAnsi="Verdan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441FF"/>
    <w:pPr>
      <w:spacing w:after="0" w:line="240" w:lineRule="auto"/>
    </w:pPr>
    <w:rPr>
      <w:rFonts w:ascii="Verdana" w:eastAsia="Verdana" w:hAnsi="Verdana" w:cs="Times New Roman"/>
      <w:color w:val="943634"/>
      <w:lang w:val="es-ES"/>
    </w:rPr>
    <w:tblPr>
      <w:tblStyleRowBandSize w:val="1"/>
      <w:tblStyleColBandSize w:val="1"/>
    </w:tblPr>
    <w:tblStylePr w:type="firstRow">
      <w:rPr>
        <w:rFonts w:ascii="Verdana" w:eastAsia="Times New Roman" w:hAnsi="Verdana" w:cs="Times New Roman"/>
        <w:i/>
        <w:iCs/>
        <w:sz w:val="26"/>
      </w:rPr>
      <w:tblPr/>
      <w:tcPr>
        <w:tcBorders>
          <w:bottom w:val="single" w:sz="4" w:space="0" w:color="C0504D"/>
        </w:tcBorders>
        <w:shd w:val="clear" w:color="auto" w:fill="FFFFFF"/>
      </w:tcPr>
    </w:tblStylePr>
    <w:tblStylePr w:type="lastRow">
      <w:rPr>
        <w:rFonts w:ascii="Verdana" w:eastAsia="Times New Roman" w:hAnsi="Verdana" w:cs="Times New Roman"/>
        <w:i/>
        <w:iCs/>
        <w:sz w:val="26"/>
      </w:rPr>
      <w:tblPr/>
      <w:tcPr>
        <w:tcBorders>
          <w:top w:val="single" w:sz="4" w:space="0" w:color="C0504D"/>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C0504D"/>
        </w:tcBorders>
        <w:shd w:val="clear" w:color="auto" w:fill="FFFFFF"/>
      </w:tcPr>
    </w:tblStylePr>
    <w:tblStylePr w:type="lastCol">
      <w:rPr>
        <w:rFonts w:ascii="Verdana" w:eastAsia="Times New Roman" w:hAnsi="Verdana"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441FF"/>
    <w:pPr>
      <w:spacing w:after="0" w:line="240" w:lineRule="auto"/>
    </w:pPr>
    <w:rPr>
      <w:rFonts w:ascii="Verdana" w:eastAsia="Verdana" w:hAnsi="Verdana" w:cs="Times New Roman"/>
      <w:color w:val="76923C"/>
      <w:lang w:val="es-ES"/>
    </w:rPr>
    <w:tblPr>
      <w:tblStyleRowBandSize w:val="1"/>
      <w:tblStyleColBandSize w:val="1"/>
    </w:tblPr>
    <w:tblStylePr w:type="firstRow">
      <w:rPr>
        <w:rFonts w:ascii="Verdana" w:eastAsia="Times New Roman" w:hAnsi="Verdana" w:cs="Times New Roman"/>
        <w:i/>
        <w:iCs/>
        <w:sz w:val="26"/>
      </w:rPr>
      <w:tblPr/>
      <w:tcPr>
        <w:tcBorders>
          <w:bottom w:val="single" w:sz="4" w:space="0" w:color="9BBB59"/>
        </w:tcBorders>
        <w:shd w:val="clear" w:color="auto" w:fill="FFFFFF"/>
      </w:tcPr>
    </w:tblStylePr>
    <w:tblStylePr w:type="lastRow">
      <w:rPr>
        <w:rFonts w:ascii="Verdana" w:eastAsia="Times New Roman" w:hAnsi="Verdana" w:cs="Times New Roman"/>
        <w:i/>
        <w:iCs/>
        <w:sz w:val="26"/>
      </w:rPr>
      <w:tblPr/>
      <w:tcPr>
        <w:tcBorders>
          <w:top w:val="single" w:sz="4" w:space="0" w:color="9BBB59"/>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9BBB59"/>
        </w:tcBorders>
        <w:shd w:val="clear" w:color="auto" w:fill="FFFFFF"/>
      </w:tcPr>
    </w:tblStylePr>
    <w:tblStylePr w:type="lastCol">
      <w:rPr>
        <w:rFonts w:ascii="Verdana" w:eastAsia="Times New Roman" w:hAnsi="Verdana" w:cs="Times New Roman"/>
        <w:i/>
        <w:iCs/>
        <w:sz w:val="26"/>
      </w:rPr>
      <w:tblPr/>
      <w:tcPr>
        <w:tcBorders>
          <w:left w:val="single" w:sz="4" w:space="0" w:color="9BBB59"/>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441FF"/>
    <w:pPr>
      <w:spacing w:after="0" w:line="240" w:lineRule="auto"/>
    </w:pPr>
    <w:rPr>
      <w:rFonts w:ascii="Verdana" w:eastAsia="Verdana" w:hAnsi="Verdana" w:cs="Times New Roman"/>
      <w:color w:val="5F497A"/>
      <w:lang w:val="es-ES"/>
    </w:rPr>
    <w:tblPr>
      <w:tblStyleRowBandSize w:val="1"/>
      <w:tblStyleColBandSize w:val="1"/>
    </w:tblPr>
    <w:tblStylePr w:type="firstRow">
      <w:rPr>
        <w:rFonts w:ascii="Verdana" w:eastAsia="Times New Roman" w:hAnsi="Verdana" w:cs="Times New Roman"/>
        <w:i/>
        <w:iCs/>
        <w:sz w:val="26"/>
      </w:rPr>
      <w:tblPr/>
      <w:tcPr>
        <w:tcBorders>
          <w:bottom w:val="single" w:sz="4" w:space="0" w:color="8064A2"/>
        </w:tcBorders>
        <w:shd w:val="clear" w:color="auto" w:fill="FFFFFF"/>
      </w:tcPr>
    </w:tblStylePr>
    <w:tblStylePr w:type="lastRow">
      <w:rPr>
        <w:rFonts w:ascii="Verdana" w:eastAsia="Times New Roman" w:hAnsi="Verdana" w:cs="Times New Roman"/>
        <w:i/>
        <w:iCs/>
        <w:sz w:val="26"/>
      </w:rPr>
      <w:tblPr/>
      <w:tcPr>
        <w:tcBorders>
          <w:top w:val="single" w:sz="4" w:space="0" w:color="8064A2"/>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8064A2"/>
        </w:tcBorders>
        <w:shd w:val="clear" w:color="auto" w:fill="FFFFFF"/>
      </w:tcPr>
    </w:tblStylePr>
    <w:tblStylePr w:type="lastCol">
      <w:rPr>
        <w:rFonts w:ascii="Verdana" w:eastAsia="Times New Roman" w:hAnsi="Verdana" w:cs="Times New Roman"/>
        <w:i/>
        <w:iCs/>
        <w:sz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441FF"/>
    <w:pPr>
      <w:spacing w:after="0" w:line="240" w:lineRule="auto"/>
    </w:pPr>
    <w:rPr>
      <w:rFonts w:ascii="Verdana" w:eastAsia="Verdana" w:hAnsi="Verdana" w:cs="Times New Roman"/>
      <w:color w:val="31849B"/>
      <w:lang w:val="es-ES"/>
    </w:rPr>
    <w:tblPr>
      <w:tblStyleRowBandSize w:val="1"/>
      <w:tblStyleColBandSize w:val="1"/>
    </w:tblPr>
    <w:tblStylePr w:type="firstRow">
      <w:rPr>
        <w:rFonts w:ascii="Verdana" w:eastAsia="Times New Roman" w:hAnsi="Verdana" w:cs="Times New Roman"/>
        <w:i/>
        <w:iCs/>
        <w:sz w:val="26"/>
      </w:rPr>
      <w:tblPr/>
      <w:tcPr>
        <w:tcBorders>
          <w:bottom w:val="single" w:sz="4" w:space="0" w:color="4BACC6"/>
        </w:tcBorders>
        <w:shd w:val="clear" w:color="auto" w:fill="FFFFFF"/>
      </w:tcPr>
    </w:tblStylePr>
    <w:tblStylePr w:type="lastRow">
      <w:rPr>
        <w:rFonts w:ascii="Verdana" w:eastAsia="Times New Roman" w:hAnsi="Verdana" w:cs="Times New Roman"/>
        <w:i/>
        <w:iCs/>
        <w:sz w:val="26"/>
      </w:rPr>
      <w:tblPr/>
      <w:tcPr>
        <w:tcBorders>
          <w:top w:val="single" w:sz="4" w:space="0" w:color="4BACC6"/>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4BACC6"/>
        </w:tcBorders>
        <w:shd w:val="clear" w:color="auto" w:fill="FFFFFF"/>
      </w:tcPr>
    </w:tblStylePr>
    <w:tblStylePr w:type="lastCol">
      <w:rPr>
        <w:rFonts w:ascii="Verdana" w:eastAsia="Times New Roman" w:hAnsi="Verdana"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441FF"/>
    <w:pPr>
      <w:spacing w:after="0" w:line="240" w:lineRule="auto"/>
    </w:pPr>
    <w:rPr>
      <w:rFonts w:ascii="Verdana" w:eastAsia="Verdana" w:hAnsi="Verdana" w:cs="Times New Roman"/>
      <w:color w:val="E36C0A"/>
      <w:lang w:val="es-ES"/>
    </w:rPr>
    <w:tblPr>
      <w:tblStyleRowBandSize w:val="1"/>
      <w:tblStyleColBandSize w:val="1"/>
    </w:tblPr>
    <w:tblStylePr w:type="firstRow">
      <w:rPr>
        <w:rFonts w:ascii="Verdana" w:eastAsia="Times New Roman" w:hAnsi="Verdana" w:cs="Times New Roman"/>
        <w:i/>
        <w:iCs/>
        <w:sz w:val="26"/>
      </w:rPr>
      <w:tblPr/>
      <w:tcPr>
        <w:tcBorders>
          <w:bottom w:val="single" w:sz="4" w:space="0" w:color="F79646"/>
        </w:tcBorders>
        <w:shd w:val="clear" w:color="auto" w:fill="FFFFFF"/>
      </w:tcPr>
    </w:tblStylePr>
    <w:tblStylePr w:type="lastRow">
      <w:rPr>
        <w:rFonts w:ascii="Verdana" w:eastAsia="Times New Roman" w:hAnsi="Verdana" w:cs="Times New Roman"/>
        <w:i/>
        <w:iCs/>
        <w:sz w:val="26"/>
      </w:rPr>
      <w:tblPr/>
      <w:tcPr>
        <w:tcBorders>
          <w:top w:val="single" w:sz="4" w:space="0" w:color="F79646"/>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F79646"/>
        </w:tcBorders>
        <w:shd w:val="clear" w:color="auto" w:fill="FFFFFF"/>
      </w:tcPr>
    </w:tblStylePr>
    <w:tblStylePr w:type="lastCol">
      <w:rPr>
        <w:rFonts w:ascii="Verdana" w:eastAsia="Times New Roman" w:hAnsi="Verdana"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A441FF"/>
    <w:pPr>
      <w:spacing w:after="0" w:line="240" w:lineRule="auto"/>
    </w:pPr>
    <w:rPr>
      <w:rFonts w:ascii="Verdana" w:eastAsia="Verdana" w:hAnsi="Verdana" w:cs="Times New Roman"/>
      <w:lang w:val="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A441FF"/>
    <w:pPr>
      <w:spacing w:after="0" w:line="240" w:lineRule="auto"/>
    </w:pPr>
    <w:rPr>
      <w:rFonts w:ascii="Verdana" w:eastAsia="Verdana" w:hAnsi="Verdana" w:cs="Times New Roman"/>
      <w:lang w:val="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A441FF"/>
    <w:pPr>
      <w:spacing w:after="0" w:line="240" w:lineRule="auto"/>
    </w:pPr>
    <w:rPr>
      <w:rFonts w:ascii="Verdana" w:eastAsia="Verdana" w:hAnsi="Verdana" w:cs="Times New Roman"/>
      <w:lang w:val="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441FF"/>
    <w:pPr>
      <w:spacing w:after="0" w:line="240" w:lineRule="auto"/>
    </w:pPr>
    <w:rPr>
      <w:rFonts w:ascii="Verdana" w:eastAsia="Verdana" w:hAnsi="Verdana" w:cs="Times New Roman"/>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A441FF"/>
    <w:pPr>
      <w:spacing w:after="0" w:line="240" w:lineRule="auto"/>
    </w:pPr>
    <w:rPr>
      <w:rFonts w:ascii="Verdana" w:eastAsia="Verdana" w:hAnsi="Verdana" w:cs="Times New Roman"/>
      <w:lang w:val="es-ES"/>
    </w:rPr>
    <w:tblPr>
      <w:tblStyleRowBandSize w:val="1"/>
      <w:tblStyleColBandSize w:val="1"/>
    </w:tblPr>
    <w:tblStylePr w:type="firstRow">
      <w:rPr>
        <w:rFonts w:ascii="Verdana" w:eastAsia="Times New Roman" w:hAnsi="Verdana" w:cs="Times New Roman"/>
        <w:i/>
        <w:iCs/>
        <w:sz w:val="26"/>
      </w:rPr>
      <w:tblPr/>
      <w:tcPr>
        <w:tcBorders>
          <w:bottom w:val="single" w:sz="4" w:space="0" w:color="7F7F7F"/>
        </w:tcBorders>
        <w:shd w:val="clear" w:color="auto" w:fill="FFFFFF"/>
      </w:tcPr>
    </w:tblStylePr>
    <w:tblStylePr w:type="lastRow">
      <w:rPr>
        <w:rFonts w:ascii="Verdana" w:eastAsia="Times New Roman" w:hAnsi="Verdana" w:cs="Times New Roman"/>
        <w:i/>
        <w:iCs/>
        <w:sz w:val="26"/>
      </w:rPr>
      <w:tblPr/>
      <w:tcPr>
        <w:tcBorders>
          <w:top w:val="single" w:sz="4" w:space="0" w:color="7F7F7F"/>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7F7F7F"/>
        </w:tcBorders>
        <w:shd w:val="clear" w:color="auto" w:fill="FFFFFF"/>
      </w:tcPr>
    </w:tblStylePr>
    <w:tblStylePr w:type="lastCol">
      <w:rPr>
        <w:rFonts w:ascii="Verdana" w:eastAsia="Times New Roman" w:hAnsi="Verdan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Link">
    <w:name w:val="Smart Link"/>
    <w:basedOn w:val="DefaultParagraphFont"/>
    <w:uiPriority w:val="99"/>
    <w:semiHidden/>
    <w:unhideWhenUsed/>
    <w:rsid w:val="00A441FF"/>
    <w:rPr>
      <w:color w:val="0000FF"/>
      <w:u w:val="single"/>
      <w:shd w:val="clear" w:color="auto" w:fill="F3F2F1"/>
      <w:lang w:val="en-GB"/>
    </w:rPr>
  </w:style>
  <w:style w:type="paragraph" w:customStyle="1" w:styleId="summary">
    <w:name w:val="summary"/>
    <w:basedOn w:val="Normal"/>
    <w:uiPriority w:val="99"/>
    <w:semiHidden/>
    <w:rsid w:val="00A441FF"/>
    <w:pPr>
      <w:spacing w:before="100" w:beforeAutospacing="1" w:after="100" w:afterAutospacing="1"/>
      <w:jc w:val="left"/>
    </w:pPr>
    <w:rPr>
      <w:rFonts w:ascii="Times New Roman" w:eastAsia="Times New Roman" w:hAnsi="Times New Roman"/>
      <w:sz w:val="24"/>
      <w:szCs w:val="24"/>
      <w:lang w:eastAsia="en-GB"/>
    </w:rPr>
  </w:style>
  <w:style w:type="paragraph" w:customStyle="1" w:styleId="text">
    <w:name w:val="text"/>
    <w:basedOn w:val="Normal"/>
    <w:uiPriority w:val="99"/>
    <w:rsid w:val="00A441FF"/>
    <w:pPr>
      <w:spacing w:before="100" w:beforeAutospacing="1" w:after="100" w:afterAutospacing="1"/>
      <w:jc w:val="left"/>
    </w:pPr>
    <w:rPr>
      <w:rFonts w:ascii="Times New Roman" w:eastAsia="Times New Roman" w:hAnsi="Times New Roman"/>
      <w:sz w:val="24"/>
      <w:szCs w:val="24"/>
      <w:lang w:eastAsia="en-GB"/>
    </w:rPr>
  </w:style>
  <w:style w:type="character" w:customStyle="1" w:styleId="y2iqfc">
    <w:name w:val="y2iqfc"/>
    <w:basedOn w:val="DefaultParagraphFont"/>
    <w:rsid w:val="00A441FF"/>
    <w:rPr>
      <w:lang w:val="en-GB"/>
    </w:rPr>
  </w:style>
  <w:style w:type="numbering" w:styleId="111111">
    <w:name w:val="Outline List 2"/>
    <w:basedOn w:val="NoList"/>
    <w:semiHidden/>
    <w:rsid w:val="00A441FF"/>
    <w:pPr>
      <w:numPr>
        <w:numId w:val="11"/>
      </w:numPr>
    </w:pPr>
  </w:style>
  <w:style w:type="table" w:customStyle="1" w:styleId="WTOTable111">
    <w:name w:val="WTOTable111"/>
    <w:basedOn w:val="TableNormal"/>
    <w:uiPriority w:val="99"/>
    <w:rsid w:val="00A441FF"/>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Date">
    <w:name w:val="Title Date"/>
    <w:basedOn w:val="Normal"/>
    <w:next w:val="Normal"/>
    <w:uiPriority w:val="5"/>
    <w:qFormat/>
    <w:rsid w:val="00F64A35"/>
    <w:pPr>
      <w:spacing w:after="240"/>
      <w:jc w:val="center"/>
    </w:pPr>
    <w:rPr>
      <w:rFonts w:eastAsia="Calibri" w:cs="Times New Roman"/>
      <w:color w:val="006283"/>
    </w:rPr>
  </w:style>
  <w:style w:type="paragraph" w:customStyle="1" w:styleId="Query">
    <w:name w:val="Query"/>
    <w:qFormat/>
    <w:rsid w:val="00F64A35"/>
    <w:pPr>
      <w:numPr>
        <w:numId w:val="9"/>
      </w:numPr>
      <w:spacing w:before="240"/>
      <w:jc w:val="both"/>
    </w:pPr>
    <w:rPr>
      <w:rFonts w:ascii="Verdana" w:hAnsi="Verdana"/>
      <w:sz w:val="18"/>
      <w:u w:val="single"/>
    </w:rPr>
  </w:style>
  <w:style w:type="table" w:customStyle="1" w:styleId="WTOTable11">
    <w:name w:val="WTOTable11"/>
    <w:basedOn w:val="TableNormal"/>
    <w:uiPriority w:val="99"/>
    <w:rsid w:val="00A441FF"/>
    <w:pPr>
      <w:spacing w:after="0" w:line="240" w:lineRule="auto"/>
    </w:pPr>
    <w:rPr>
      <w:rFonts w:ascii="Verdana" w:eastAsia="Calibri" w:hAnsi="Verdana" w:cs="Times New Roman"/>
      <w:sz w:val="16"/>
      <w:szCs w:val="20"/>
    </w:rPr>
    <w:tblPr>
      <w:tblStyleRowBandSize w:val="1"/>
      <w:tblInd w:w="0" w:type="nil"/>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numbering" w:customStyle="1" w:styleId="ListBullets1">
    <w:name w:val="ListBullets1"/>
    <w:uiPriority w:val="99"/>
    <w:rsid w:val="00A441FF"/>
  </w:style>
  <w:style w:type="character" w:customStyle="1" w:styleId="UnresolvedMention1">
    <w:name w:val="Unresolved Mention1"/>
    <w:basedOn w:val="DefaultParagraphFont"/>
    <w:uiPriority w:val="99"/>
    <w:semiHidden/>
    <w:unhideWhenUsed/>
    <w:rsid w:val="00A441FF"/>
    <w:rPr>
      <w:color w:val="605E5C"/>
      <w:shd w:val="clear" w:color="auto" w:fill="E1DFDD"/>
      <w:lang w:val="en-GB"/>
    </w:rPr>
  </w:style>
  <w:style w:type="character" w:customStyle="1" w:styleId="Hashtag1">
    <w:name w:val="Hashtag1"/>
    <w:basedOn w:val="DefaultParagraphFont"/>
    <w:uiPriority w:val="99"/>
    <w:semiHidden/>
    <w:unhideWhenUsed/>
    <w:rsid w:val="00A441FF"/>
    <w:rPr>
      <w:color w:val="2B579A"/>
      <w:shd w:val="clear" w:color="auto" w:fill="E1DFDD"/>
      <w:lang w:val="en-GB"/>
    </w:rPr>
  </w:style>
  <w:style w:type="character" w:customStyle="1" w:styleId="Mention1">
    <w:name w:val="Mention1"/>
    <w:basedOn w:val="DefaultParagraphFont"/>
    <w:uiPriority w:val="99"/>
    <w:semiHidden/>
    <w:unhideWhenUsed/>
    <w:rsid w:val="00A441FF"/>
    <w:rPr>
      <w:color w:val="2B579A"/>
      <w:shd w:val="clear" w:color="auto" w:fill="E1DFDD"/>
      <w:lang w:val="en-GB"/>
    </w:rPr>
  </w:style>
  <w:style w:type="character" w:customStyle="1" w:styleId="SmartHyperlink1">
    <w:name w:val="Smart Hyperlink1"/>
    <w:basedOn w:val="DefaultParagraphFont"/>
    <w:uiPriority w:val="99"/>
    <w:semiHidden/>
    <w:unhideWhenUsed/>
    <w:rsid w:val="00A441FF"/>
    <w:rPr>
      <w:u w:val="dotted"/>
      <w:lang w:val="en-GB"/>
    </w:rPr>
  </w:style>
  <w:style w:type="character" w:customStyle="1" w:styleId="SmartLink1">
    <w:name w:val="SmartLink1"/>
    <w:basedOn w:val="DefaultParagraphFont"/>
    <w:uiPriority w:val="99"/>
    <w:semiHidden/>
    <w:unhideWhenUsed/>
    <w:rsid w:val="00A441FF"/>
    <w:rPr>
      <w:color w:val="0000FF"/>
      <w:u w:val="single"/>
      <w:shd w:val="clear" w:color="auto" w:fill="F3F2F1"/>
      <w:lang w:val="en-GB"/>
    </w:rPr>
  </w:style>
  <w:style w:type="table" w:customStyle="1" w:styleId="WTOTable12">
    <w:name w:val="WTOTable12"/>
    <w:basedOn w:val="TableNormal"/>
    <w:uiPriority w:val="99"/>
    <w:rsid w:val="00A441FF"/>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table" w:customStyle="1" w:styleId="WTOTable13">
    <w:name w:val="WTOTable13"/>
    <w:basedOn w:val="TableNormal"/>
    <w:uiPriority w:val="99"/>
    <w:rsid w:val="00A441FF"/>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numbering" w:customStyle="1" w:styleId="NoList1">
    <w:name w:val="No List1"/>
    <w:next w:val="NoList"/>
    <w:uiPriority w:val="99"/>
    <w:semiHidden/>
    <w:unhideWhenUsed/>
    <w:rsid w:val="00A441FF"/>
  </w:style>
  <w:style w:type="table" w:customStyle="1" w:styleId="WTOTable21">
    <w:name w:val="WTOTable21"/>
    <w:basedOn w:val="TableNormal"/>
    <w:uiPriority w:val="99"/>
    <w:rsid w:val="00A441FF"/>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table" w:customStyle="1" w:styleId="WTOBox11">
    <w:name w:val="WTOBox11"/>
    <w:basedOn w:val="TableNormal"/>
    <w:uiPriority w:val="99"/>
    <w:rsid w:val="00A441FF"/>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4">
    <w:name w:val="WTOTable14"/>
    <w:basedOn w:val="TableNormal"/>
    <w:uiPriority w:val="99"/>
    <w:rsid w:val="00A441FF"/>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TableGrid10">
    <w:name w:val="Table Grid1"/>
    <w:basedOn w:val="TableNormal"/>
    <w:next w:val="TableGrid"/>
    <w:uiPriority w:val="59"/>
    <w:rsid w:val="00A441F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led">
    <w:name w:val="labelled"/>
    <w:basedOn w:val="Normal"/>
    <w:rsid w:val="00A441FF"/>
    <w:pPr>
      <w:spacing w:before="100" w:beforeAutospacing="1" w:after="100" w:afterAutospacing="1"/>
      <w:jc w:val="left"/>
    </w:pPr>
    <w:rPr>
      <w:rFonts w:ascii="Times New Roman" w:eastAsia="Times New Roman" w:hAnsi="Times New Roman" w:cs="Times New Roman"/>
      <w:sz w:val="24"/>
      <w:szCs w:val="24"/>
      <w:lang w:eastAsia="en-NZ"/>
    </w:rPr>
  </w:style>
  <w:style w:type="character" w:customStyle="1" w:styleId="label">
    <w:name w:val="label"/>
    <w:rsid w:val="00A441FF"/>
    <w:rPr>
      <w:lang w:val="en-GB"/>
    </w:rPr>
  </w:style>
  <w:style w:type="character" w:customStyle="1" w:styleId="spc">
    <w:name w:val="spc"/>
    <w:rsid w:val="00A441FF"/>
    <w:rPr>
      <w:lang w:val="en-GB"/>
    </w:rPr>
  </w:style>
  <w:style w:type="character" w:customStyle="1" w:styleId="Heading1Char">
    <w:name w:val="Heading 1 Char"/>
    <w:basedOn w:val="DefaultParagraphFont"/>
    <w:link w:val="Heading1"/>
    <w:uiPriority w:val="2"/>
    <w:rsid w:val="00F64A35"/>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F64A35"/>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F64A35"/>
    <w:rPr>
      <w:rFonts w:ascii="Verdana" w:eastAsiaTheme="majorEastAsia" w:hAnsi="Verdana" w:cstheme="majorBidi"/>
      <w:b/>
      <w:bCs/>
      <w:color w:val="006283"/>
      <w:sz w:val="18"/>
      <w:lang w:val="en-GB"/>
    </w:rPr>
  </w:style>
  <w:style w:type="character" w:customStyle="1" w:styleId="Heading4Char">
    <w:name w:val="Heading 4 Char"/>
    <w:basedOn w:val="DefaultParagraphFont"/>
    <w:link w:val="Heading4"/>
    <w:uiPriority w:val="2"/>
    <w:rsid w:val="00F64A35"/>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uiPriority w:val="2"/>
    <w:rsid w:val="00F64A35"/>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F64A35"/>
    <w:rPr>
      <w:rFonts w:ascii="Verdana" w:eastAsiaTheme="majorEastAsia" w:hAnsi="Verdana" w:cstheme="majorBidi"/>
      <w:b/>
      <w:iCs/>
      <w:color w:val="006283"/>
      <w:sz w:val="18"/>
      <w:lang w:val="en-GB"/>
    </w:rPr>
  </w:style>
  <w:style w:type="character" w:customStyle="1" w:styleId="Heading7Char">
    <w:name w:val="Heading 7 Char"/>
    <w:basedOn w:val="DefaultParagraphFont"/>
    <w:link w:val="Heading7"/>
    <w:uiPriority w:val="2"/>
    <w:rsid w:val="00F64A35"/>
    <w:rPr>
      <w:rFonts w:ascii="Verdana" w:eastAsiaTheme="majorEastAsia" w:hAnsi="Verdana" w:cstheme="majorBidi"/>
      <w:b/>
      <w:iCs/>
      <w:color w:val="006283"/>
      <w:sz w:val="18"/>
      <w:lang w:val="en-GB"/>
    </w:rPr>
  </w:style>
  <w:style w:type="character" w:customStyle="1" w:styleId="Heading8Char">
    <w:name w:val="Heading 8 Char"/>
    <w:basedOn w:val="DefaultParagraphFont"/>
    <w:link w:val="Heading8"/>
    <w:uiPriority w:val="2"/>
    <w:rsid w:val="00F64A35"/>
    <w:rPr>
      <w:rFonts w:ascii="Verdana" w:eastAsiaTheme="majorEastAsia" w:hAnsi="Verdana" w:cstheme="majorBidi"/>
      <w:b/>
      <w:i/>
      <w:color w:val="006283"/>
      <w:sz w:val="18"/>
      <w:szCs w:val="20"/>
      <w:lang w:val="en-GB"/>
    </w:rPr>
  </w:style>
  <w:style w:type="character" w:customStyle="1" w:styleId="Heading9Char">
    <w:name w:val="Heading 9 Char"/>
    <w:basedOn w:val="DefaultParagraphFont"/>
    <w:link w:val="Heading9"/>
    <w:uiPriority w:val="2"/>
    <w:rsid w:val="00F64A35"/>
    <w:rPr>
      <w:rFonts w:ascii="Verdana" w:eastAsiaTheme="majorEastAsia" w:hAnsi="Verdana" w:cstheme="majorBidi"/>
      <w:b/>
      <w:iCs/>
      <w:color w:val="006283"/>
      <w:sz w:val="18"/>
      <w:szCs w:val="20"/>
      <w:u w:val="single"/>
      <w:lang w:val="en-GB"/>
    </w:rPr>
  </w:style>
  <w:style w:type="character" w:customStyle="1" w:styleId="TitleChar">
    <w:name w:val="Title Char"/>
    <w:basedOn w:val="DefaultParagraphFont"/>
    <w:link w:val="Title"/>
    <w:uiPriority w:val="5"/>
    <w:rsid w:val="00F64A35"/>
    <w:rPr>
      <w:rFonts w:ascii="Verdana" w:eastAsiaTheme="majorEastAsia" w:hAnsi="Verdana" w:cstheme="majorBidi"/>
      <w:b/>
      <w:caps/>
      <w:color w:val="006283"/>
      <w:kern w:val="28"/>
      <w:sz w:val="18"/>
      <w:szCs w:val="52"/>
      <w:lang w:val="en-GB"/>
    </w:rPr>
  </w:style>
  <w:style w:type="character" w:customStyle="1" w:styleId="BodyTextChar">
    <w:name w:val="Body Text Char"/>
    <w:basedOn w:val="DefaultParagraphFont"/>
    <w:link w:val="BodyText"/>
    <w:uiPriority w:val="1"/>
    <w:rsid w:val="00F64A35"/>
    <w:rPr>
      <w:rFonts w:ascii="Verdana" w:hAnsi="Verdana"/>
      <w:sz w:val="18"/>
      <w:lang w:val="en-GB"/>
    </w:rPr>
  </w:style>
  <w:style w:type="character" w:customStyle="1" w:styleId="BodyText2Char">
    <w:name w:val="Body Text 2 Char"/>
    <w:basedOn w:val="DefaultParagraphFont"/>
    <w:link w:val="BodyText2"/>
    <w:uiPriority w:val="1"/>
    <w:rsid w:val="00F64A35"/>
    <w:rPr>
      <w:rFonts w:ascii="Verdana" w:hAnsi="Verdana"/>
      <w:sz w:val="18"/>
      <w:lang w:val="en-GB"/>
    </w:rPr>
  </w:style>
  <w:style w:type="character" w:customStyle="1" w:styleId="BodyText3Char">
    <w:name w:val="Body Text 3 Char"/>
    <w:basedOn w:val="DefaultParagraphFont"/>
    <w:link w:val="BodyText3"/>
    <w:uiPriority w:val="1"/>
    <w:rsid w:val="00F64A35"/>
    <w:rPr>
      <w:rFonts w:ascii="Verdana" w:hAnsi="Verdana"/>
      <w:sz w:val="18"/>
      <w:szCs w:val="16"/>
      <w:lang w:val="en-GB"/>
    </w:rPr>
  </w:style>
  <w:style w:type="character" w:customStyle="1" w:styleId="AnswerChar">
    <w:name w:val="Answer Char"/>
    <w:link w:val="Answer"/>
    <w:uiPriority w:val="6"/>
    <w:rsid w:val="00F64A35"/>
    <w:rPr>
      <w:rFonts w:ascii="Verdana" w:eastAsia="Calibri" w:hAnsi="Verdana" w:cs="Times New Roman"/>
      <w:sz w:val="18"/>
    </w:rPr>
  </w:style>
  <w:style w:type="character" w:customStyle="1" w:styleId="FootnoteTextChar">
    <w:name w:val="Footnote Text Char"/>
    <w:link w:val="FootnoteText"/>
    <w:uiPriority w:val="5"/>
    <w:rsid w:val="00F64A35"/>
    <w:rPr>
      <w:rFonts w:ascii="Verdana" w:eastAsia="Calibri" w:hAnsi="Verdana" w:cs="Times New Roman"/>
      <w:sz w:val="16"/>
      <w:szCs w:val="18"/>
      <w:lang w:eastAsia="en-GB"/>
    </w:rPr>
  </w:style>
  <w:style w:type="character" w:customStyle="1" w:styleId="EndnoteTextChar">
    <w:name w:val="Endnote Text Char"/>
    <w:link w:val="EndnoteText"/>
    <w:uiPriority w:val="49"/>
    <w:rsid w:val="00F64A35"/>
    <w:rPr>
      <w:rFonts w:ascii="Verdana" w:eastAsia="Calibri" w:hAnsi="Verdana" w:cs="Times New Roman"/>
      <w:sz w:val="16"/>
      <w:szCs w:val="20"/>
      <w:lang w:eastAsia="en-GB"/>
    </w:rPr>
  </w:style>
  <w:style w:type="character" w:customStyle="1" w:styleId="FollowUpChar">
    <w:name w:val="FollowUp Char"/>
    <w:link w:val="FollowUp"/>
    <w:uiPriority w:val="6"/>
    <w:rsid w:val="00F64A35"/>
    <w:rPr>
      <w:rFonts w:ascii="Verdana" w:eastAsia="Calibri" w:hAnsi="Verdana" w:cs="Times New Roman"/>
      <w:i/>
      <w:sz w:val="18"/>
    </w:rPr>
  </w:style>
  <w:style w:type="character" w:customStyle="1" w:styleId="FooterChar">
    <w:name w:val="Footer Char"/>
    <w:link w:val="Footer"/>
    <w:uiPriority w:val="3"/>
    <w:rsid w:val="00F64A35"/>
    <w:rPr>
      <w:rFonts w:ascii="Verdana" w:eastAsia="Calibri" w:hAnsi="Verdana" w:cs="Times New Roman"/>
      <w:sz w:val="18"/>
      <w:szCs w:val="18"/>
      <w:lang w:eastAsia="en-GB"/>
    </w:rPr>
  </w:style>
  <w:style w:type="character" w:customStyle="1" w:styleId="HeaderChar">
    <w:name w:val="Header Char"/>
    <w:link w:val="Header"/>
    <w:uiPriority w:val="3"/>
    <w:rsid w:val="00F64A35"/>
    <w:rPr>
      <w:rFonts w:ascii="Verdana" w:eastAsia="Calibri" w:hAnsi="Verdana" w:cs="Times New Roman"/>
      <w:sz w:val="18"/>
      <w:szCs w:val="18"/>
      <w:lang w:eastAsia="en-GB"/>
    </w:rPr>
  </w:style>
  <w:style w:type="character" w:customStyle="1" w:styleId="BalloonTextChar">
    <w:name w:val="Balloon Text Char"/>
    <w:basedOn w:val="DefaultParagraphFont"/>
    <w:link w:val="BalloonText"/>
    <w:uiPriority w:val="99"/>
    <w:semiHidden/>
    <w:rsid w:val="00F64A35"/>
    <w:rPr>
      <w:rFonts w:ascii="Tahoma" w:hAnsi="Tahoma" w:cs="Tahoma"/>
      <w:sz w:val="16"/>
      <w:szCs w:val="16"/>
      <w:lang w:val="en-GB"/>
    </w:rPr>
  </w:style>
  <w:style w:type="character" w:customStyle="1" w:styleId="SubtitleChar">
    <w:name w:val="Subtitle Char"/>
    <w:basedOn w:val="DefaultParagraphFont"/>
    <w:link w:val="Subtitle"/>
    <w:uiPriority w:val="6"/>
    <w:rsid w:val="00F64A35"/>
    <w:rPr>
      <w:rFonts w:ascii="Verdana" w:eastAsiaTheme="majorEastAsia" w:hAnsi="Verdana" w:cstheme="majorBidi"/>
      <w:b/>
      <w:iCs/>
      <w:sz w:val="18"/>
      <w:szCs w:val="24"/>
      <w:lang w:val="en-GB"/>
    </w:rPr>
  </w:style>
  <w:style w:type="character" w:customStyle="1" w:styleId="BodyTextFirstIndentChar">
    <w:name w:val="Body Text First Indent Char"/>
    <w:basedOn w:val="BodyTextChar"/>
    <w:link w:val="BodyTextFirstIndent"/>
    <w:uiPriority w:val="99"/>
    <w:semiHidden/>
    <w:rsid w:val="00F64A35"/>
    <w:rPr>
      <w:rFonts w:ascii="Verdana" w:hAnsi="Verdana"/>
      <w:sz w:val="18"/>
      <w:lang w:val="en-GB"/>
    </w:rPr>
  </w:style>
  <w:style w:type="character" w:customStyle="1" w:styleId="BodyTextIndentChar">
    <w:name w:val="Body Text Indent Char"/>
    <w:basedOn w:val="DefaultParagraphFont"/>
    <w:link w:val="BodyTextIndent"/>
    <w:uiPriority w:val="99"/>
    <w:semiHidden/>
    <w:rsid w:val="00F64A35"/>
    <w:rPr>
      <w:rFonts w:ascii="Verdana" w:hAnsi="Verdana"/>
      <w:sz w:val="18"/>
      <w:lang w:val="en-GB"/>
    </w:rPr>
  </w:style>
  <w:style w:type="character" w:customStyle="1" w:styleId="BodyTextFirstIndent2Char">
    <w:name w:val="Body Text First Indent 2 Char"/>
    <w:basedOn w:val="BodyTextIndentChar"/>
    <w:link w:val="BodyTextFirstIndent2"/>
    <w:uiPriority w:val="99"/>
    <w:semiHidden/>
    <w:rsid w:val="00F64A35"/>
    <w:rPr>
      <w:rFonts w:ascii="Verdana" w:hAnsi="Verdana"/>
      <w:sz w:val="18"/>
      <w:lang w:val="en-GB"/>
    </w:rPr>
  </w:style>
  <w:style w:type="character" w:customStyle="1" w:styleId="BodyTextIndent2Char">
    <w:name w:val="Body Text Indent 2 Char"/>
    <w:basedOn w:val="DefaultParagraphFont"/>
    <w:link w:val="BodyTextIndent2"/>
    <w:uiPriority w:val="99"/>
    <w:semiHidden/>
    <w:rsid w:val="00F64A35"/>
    <w:rPr>
      <w:rFonts w:ascii="Verdana" w:hAnsi="Verdana"/>
      <w:sz w:val="18"/>
      <w:lang w:val="en-GB"/>
    </w:rPr>
  </w:style>
  <w:style w:type="character" w:customStyle="1" w:styleId="BodyTextIndent3Char">
    <w:name w:val="Body Text Indent 3 Char"/>
    <w:basedOn w:val="DefaultParagraphFont"/>
    <w:link w:val="BodyTextIndent3"/>
    <w:uiPriority w:val="99"/>
    <w:semiHidden/>
    <w:rsid w:val="00F64A35"/>
    <w:rPr>
      <w:rFonts w:ascii="Verdana" w:hAnsi="Verdana"/>
      <w:sz w:val="16"/>
      <w:szCs w:val="16"/>
      <w:lang w:val="en-GB"/>
    </w:rPr>
  </w:style>
  <w:style w:type="character" w:customStyle="1" w:styleId="ClosingChar">
    <w:name w:val="Closing Char"/>
    <w:basedOn w:val="DefaultParagraphFont"/>
    <w:link w:val="Closing"/>
    <w:uiPriority w:val="99"/>
    <w:semiHidden/>
    <w:rsid w:val="00F64A35"/>
    <w:rPr>
      <w:rFonts w:ascii="Verdana" w:hAnsi="Verdana"/>
      <w:sz w:val="18"/>
      <w:lang w:val="en-GB"/>
    </w:rPr>
  </w:style>
  <w:style w:type="character" w:customStyle="1" w:styleId="CommentTextChar">
    <w:name w:val="Comment Text Char"/>
    <w:basedOn w:val="DefaultParagraphFont"/>
    <w:link w:val="CommentText"/>
    <w:uiPriority w:val="99"/>
    <w:rsid w:val="00F64A35"/>
    <w:rPr>
      <w:rFonts w:ascii="Verdana" w:hAnsi="Verdana"/>
      <w:sz w:val="20"/>
      <w:szCs w:val="20"/>
      <w:lang w:val="en-GB"/>
    </w:rPr>
  </w:style>
  <w:style w:type="character" w:customStyle="1" w:styleId="CommentSubjectChar">
    <w:name w:val="Comment Subject Char"/>
    <w:basedOn w:val="CommentTextChar"/>
    <w:link w:val="CommentSubject"/>
    <w:uiPriority w:val="99"/>
    <w:rsid w:val="00F64A35"/>
    <w:rPr>
      <w:rFonts w:ascii="Verdana" w:hAnsi="Verdana"/>
      <w:b/>
      <w:bCs/>
      <w:sz w:val="20"/>
      <w:szCs w:val="20"/>
      <w:lang w:val="en-GB"/>
    </w:rPr>
  </w:style>
  <w:style w:type="character" w:customStyle="1" w:styleId="DateChar">
    <w:name w:val="Date Char"/>
    <w:basedOn w:val="DefaultParagraphFont"/>
    <w:link w:val="Date"/>
    <w:uiPriority w:val="99"/>
    <w:semiHidden/>
    <w:rsid w:val="00F64A35"/>
    <w:rPr>
      <w:rFonts w:ascii="Verdana" w:hAnsi="Verdana"/>
      <w:sz w:val="18"/>
      <w:lang w:val="en-GB"/>
    </w:rPr>
  </w:style>
  <w:style w:type="character" w:customStyle="1" w:styleId="DocumentMapChar">
    <w:name w:val="Document Map Char"/>
    <w:basedOn w:val="DefaultParagraphFont"/>
    <w:link w:val="DocumentMap"/>
    <w:uiPriority w:val="99"/>
    <w:semiHidden/>
    <w:rsid w:val="00F64A35"/>
    <w:rPr>
      <w:rFonts w:ascii="Tahoma" w:hAnsi="Tahoma" w:cs="Tahoma"/>
      <w:sz w:val="16"/>
      <w:szCs w:val="16"/>
      <w:lang w:val="en-GB"/>
    </w:rPr>
  </w:style>
  <w:style w:type="character" w:customStyle="1" w:styleId="E-mailSignatureChar">
    <w:name w:val="E-mail Signature Char"/>
    <w:basedOn w:val="DefaultParagraphFont"/>
    <w:link w:val="E-mailSignature"/>
    <w:uiPriority w:val="99"/>
    <w:semiHidden/>
    <w:rsid w:val="00F64A35"/>
    <w:rPr>
      <w:rFonts w:ascii="Verdana" w:hAnsi="Verdana"/>
      <w:sz w:val="18"/>
      <w:lang w:val="en-GB"/>
    </w:rPr>
  </w:style>
  <w:style w:type="character" w:customStyle="1" w:styleId="HTMLAddressChar">
    <w:name w:val="HTML Address Char"/>
    <w:basedOn w:val="DefaultParagraphFont"/>
    <w:link w:val="HTMLAddress"/>
    <w:uiPriority w:val="99"/>
    <w:semiHidden/>
    <w:rsid w:val="00F64A35"/>
    <w:rPr>
      <w:rFonts w:ascii="Verdana" w:hAnsi="Verdana"/>
      <w:i/>
      <w:iCs/>
      <w:sz w:val="18"/>
      <w:lang w:val="en-GB"/>
    </w:rPr>
  </w:style>
  <w:style w:type="character" w:customStyle="1" w:styleId="HTMLPreformattedChar">
    <w:name w:val="HTML Preformatted Char"/>
    <w:basedOn w:val="DefaultParagraphFont"/>
    <w:link w:val="HTMLPreformatted"/>
    <w:uiPriority w:val="99"/>
    <w:rsid w:val="00F64A35"/>
    <w:rPr>
      <w:rFonts w:ascii="Consolas" w:hAnsi="Consolas" w:cs="Consolas"/>
      <w:sz w:val="20"/>
      <w:szCs w:val="20"/>
      <w:lang w:val="en-GB"/>
    </w:rPr>
  </w:style>
  <w:style w:type="character" w:customStyle="1" w:styleId="IntenseQuoteChar">
    <w:name w:val="Intense Quote Char"/>
    <w:basedOn w:val="DefaultParagraphFont"/>
    <w:link w:val="IntenseQuote"/>
    <w:uiPriority w:val="59"/>
    <w:rsid w:val="00F64A35"/>
    <w:rPr>
      <w:rFonts w:ascii="Verdana" w:hAnsi="Verdana"/>
      <w:b/>
      <w:bCs/>
      <w:i/>
      <w:iCs/>
      <w:color w:val="4F81BD" w:themeColor="accent1"/>
      <w:sz w:val="18"/>
      <w:lang w:val="en-GB"/>
    </w:rPr>
  </w:style>
  <w:style w:type="character" w:customStyle="1" w:styleId="MacroTextChar">
    <w:name w:val="Macro Text Char"/>
    <w:basedOn w:val="DefaultParagraphFont"/>
    <w:link w:val="MacroText"/>
    <w:uiPriority w:val="99"/>
    <w:semiHidden/>
    <w:rsid w:val="00F64A35"/>
    <w:rPr>
      <w:rFonts w:ascii="Consolas" w:hAnsi="Consolas" w:cs="Consolas"/>
      <w:sz w:val="20"/>
      <w:szCs w:val="20"/>
      <w:lang w:val="en-GB"/>
    </w:rPr>
  </w:style>
  <w:style w:type="character" w:customStyle="1" w:styleId="MessageHeaderChar">
    <w:name w:val="Message Header Char"/>
    <w:basedOn w:val="DefaultParagraphFont"/>
    <w:link w:val="MessageHeader"/>
    <w:uiPriority w:val="99"/>
    <w:semiHidden/>
    <w:rsid w:val="00F64A35"/>
    <w:rPr>
      <w:rFonts w:asciiTheme="majorHAnsi" w:eastAsiaTheme="majorEastAsia" w:hAnsiTheme="majorHAnsi" w:cstheme="majorBidi"/>
      <w:sz w:val="24"/>
      <w:szCs w:val="24"/>
      <w:shd w:val="pct20" w:color="auto" w:fill="auto"/>
      <w:lang w:val="en-GB"/>
    </w:rPr>
  </w:style>
  <w:style w:type="character" w:customStyle="1" w:styleId="NoteHeadingChar">
    <w:name w:val="Note Heading Char"/>
    <w:basedOn w:val="DefaultParagraphFont"/>
    <w:link w:val="NoteHeading"/>
    <w:uiPriority w:val="99"/>
    <w:semiHidden/>
    <w:rsid w:val="00F64A35"/>
    <w:rPr>
      <w:rFonts w:ascii="Verdana" w:hAnsi="Verdana"/>
      <w:sz w:val="18"/>
      <w:lang w:val="en-GB"/>
    </w:rPr>
  </w:style>
  <w:style w:type="character" w:customStyle="1" w:styleId="PlainTextChar">
    <w:name w:val="Plain Text Char"/>
    <w:basedOn w:val="DefaultParagraphFont"/>
    <w:link w:val="PlainText"/>
    <w:uiPriority w:val="99"/>
    <w:rsid w:val="00F64A35"/>
    <w:rPr>
      <w:rFonts w:ascii="Consolas" w:hAnsi="Consolas" w:cs="Consolas"/>
      <w:sz w:val="21"/>
      <w:szCs w:val="21"/>
      <w:lang w:val="en-GB"/>
    </w:rPr>
  </w:style>
  <w:style w:type="character" w:customStyle="1" w:styleId="QuoteChar">
    <w:name w:val="Quote Char"/>
    <w:basedOn w:val="DefaultParagraphFont"/>
    <w:link w:val="Quote"/>
    <w:uiPriority w:val="59"/>
    <w:rsid w:val="00F64A35"/>
    <w:rPr>
      <w:rFonts w:ascii="Verdana" w:hAnsi="Verdana"/>
      <w:i/>
      <w:iCs/>
      <w:color w:val="000000" w:themeColor="text1"/>
      <w:sz w:val="18"/>
      <w:lang w:val="en-GB"/>
    </w:rPr>
  </w:style>
  <w:style w:type="character" w:customStyle="1" w:styleId="SalutationChar">
    <w:name w:val="Salutation Char"/>
    <w:basedOn w:val="DefaultParagraphFont"/>
    <w:link w:val="Salutation"/>
    <w:uiPriority w:val="99"/>
    <w:semiHidden/>
    <w:rsid w:val="00F64A35"/>
    <w:rPr>
      <w:rFonts w:ascii="Verdana" w:hAnsi="Verdana"/>
      <w:sz w:val="18"/>
      <w:lang w:val="en-GB"/>
    </w:rPr>
  </w:style>
  <w:style w:type="character" w:customStyle="1" w:styleId="SignatureChar">
    <w:name w:val="Signature Char"/>
    <w:basedOn w:val="DefaultParagraphFont"/>
    <w:link w:val="Signature"/>
    <w:uiPriority w:val="99"/>
    <w:semiHidden/>
    <w:rsid w:val="00F64A35"/>
    <w:rPr>
      <w:rFonts w:ascii="Verdana" w:hAnsi="Verdana"/>
      <w:sz w:val="18"/>
      <w:lang w:val="en-GB"/>
    </w:rPr>
  </w:style>
  <w:style w:type="character" w:customStyle="1" w:styleId="normaltextrun">
    <w:name w:val="normaltextrun"/>
    <w:basedOn w:val="DefaultParagraphFont"/>
    <w:rsid w:val="003E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035191">
      <w:bodyDiv w:val="1"/>
      <w:marLeft w:val="0"/>
      <w:marRight w:val="0"/>
      <w:marTop w:val="0"/>
      <w:marBottom w:val="0"/>
      <w:divBdr>
        <w:top w:val="none" w:sz="0" w:space="0" w:color="auto"/>
        <w:left w:val="none" w:sz="0" w:space="0" w:color="auto"/>
        <w:bottom w:val="none" w:sz="0" w:space="0" w:color="auto"/>
        <w:right w:val="none" w:sz="0" w:space="0" w:color="auto"/>
      </w:divBdr>
    </w:div>
    <w:div w:id="1719164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treasury.govt.nz/" TargetMode="External"/><Relationship Id="rId26" Type="http://schemas.openxmlformats.org/officeDocument/2006/relationships/hyperlink" Target="https://www.stats.govt.nz/topics/balance-of-payments" TargetMode="External"/><Relationship Id="rId39" Type="http://schemas.openxmlformats.org/officeDocument/2006/relationships/hyperlink" Target="https://www.stats.govt.nz/information-releases/balance-of-payments-and-international-investment-position-year-ended-31-march-2021" TargetMode="External"/><Relationship Id="rId3" Type="http://schemas.openxmlformats.org/officeDocument/2006/relationships/numbering" Target="numbering.xml"/><Relationship Id="rId21" Type="http://schemas.openxmlformats.org/officeDocument/2006/relationships/hyperlink" Target="https://www.stats.govt.nz/topics/balance-of-payments" TargetMode="External"/><Relationship Id="rId34" Type="http://schemas.openxmlformats.org/officeDocument/2006/relationships/hyperlink" Target="https://www.mbie.govt.nz/business-and-employment/business/trade-and-tariffs/trade-remedies/trade-remedy-investigations/" TargetMode="External"/><Relationship Id="rId42" Type="http://schemas.openxmlformats.org/officeDocument/2006/relationships/hyperlink" Target="https://www.rbnz.govt.nz/regulation-and-supervision/banks/register" TargetMode="External"/><Relationship Id="rId47" Type="http://schemas.openxmlformats.org/officeDocument/2006/relationships/header" Target="header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rbnz.govt.nz/" TargetMode="External"/><Relationship Id="rId25" Type="http://schemas.openxmlformats.org/officeDocument/2006/relationships/hyperlink" Target="https://www.stats.govt.nz/topics/balance-of-payments" TargetMode="External"/><Relationship Id="rId33" Type="http://schemas.openxmlformats.org/officeDocument/2006/relationships/hyperlink" Target="http://www.legislation.govt.nz/act/public/1996/0027/latest/DLM377337.html" TargetMode="External"/><Relationship Id="rId38" Type="http://schemas.openxmlformats.org/officeDocument/2006/relationships/image" Target="media/image9.emf"/><Relationship Id="rId46"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s://www.stats.govt.nz/" TargetMode="External"/><Relationship Id="rId20" Type="http://schemas.openxmlformats.org/officeDocument/2006/relationships/image" Target="media/image3.emf"/><Relationship Id="rId29" Type="http://schemas.openxmlformats.org/officeDocument/2006/relationships/hyperlink" Target="https://www.customs.govt.nz/covid-19/businesses/customs-duties/" TargetMode="External"/><Relationship Id="rId41" Type="http://schemas.openxmlformats.org/officeDocument/2006/relationships/hyperlink" Target="https://www.legislation.govt.nz/act/public/2018/0002/latest/whole.html?search=ad_act__dairy____25_ac%40bn%40rn%40dn%40apub%40aloc%40apri%40apro%40aimp%40bgov%40bloc%40bpri%40bmem%40rpub%40rimp_ac%40ainf%40anif%40bcur%40rinf%40rnif_a_aw_se&amp;p=1"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tats.govt.nz/topics/balance-of-payments" TargetMode="External"/><Relationship Id="rId32" Type="http://schemas.openxmlformats.org/officeDocument/2006/relationships/image" Target="media/image8.emf"/><Relationship Id="rId37" Type="http://schemas.openxmlformats.org/officeDocument/2006/relationships/hyperlink" Target="http://www.callaghaninnovation.govt.nz/what-we-do/funding-and-grants" TargetMode="External"/><Relationship Id="rId40" Type="http://schemas.openxmlformats.org/officeDocument/2006/relationships/hyperlink" Target="https://www.customs.govt.nz/about-us/statistics/non-drug-interceptions/goods-intercepted/" TargetMode="Externa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hyperlink" Target="https://www.legislation.govt.nz/regulation/public/2020/0099/latest/LMS345433.html" TargetMode="External"/><Relationship Id="rId36" Type="http://schemas.openxmlformats.org/officeDocument/2006/relationships/hyperlink" Target="http://www.legislation.govt.nz/act/public/1996/0027/latest/DLM377337.html" TargetMode="External"/><Relationship Id="rId49"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s://www.imf.org/en/Data" TargetMode="External"/><Relationship Id="rId31" Type="http://schemas.openxmlformats.org/officeDocument/2006/relationships/image" Target="media/image7.emf"/><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hyperlink" Target="https://www.legislation.govt.nz/act/public/2018/0004/latest/whole.html" TargetMode="External"/><Relationship Id="rId30" Type="http://schemas.openxmlformats.org/officeDocument/2006/relationships/image" Target="media/image6.emf"/><Relationship Id="rId35" Type="http://schemas.openxmlformats.org/officeDocument/2006/relationships/hyperlink" Target="https://www.mbie.govt.nz/business-and-employment/business/trade-and-tariffs/trade-remedies/imported-goods-subject-to-anti-dumping-and-countervailing-duties/" TargetMode="External"/><Relationship Id="rId43" Type="http://schemas.openxmlformats.org/officeDocument/2006/relationships/hyperlink" Target="https://comcom.govt.nz/__data/assets/pdf_file/0030/247377/2020-Annual-Telecommunications-Monitoring-Report-Revised-version-16-March-2021.pdf" TargetMode="External"/><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mfat.govt.nz/en/trade/free-trade-agreements/free-trade-agreements-under-negotiation/new-zealand-united-kingdom-free-trade-agreement/" TargetMode="External"/><Relationship Id="rId21" Type="http://schemas.openxmlformats.org/officeDocument/2006/relationships/hyperlink" Target="https://www.treaties.mfat.govt.nz/search/details/t/1402" TargetMode="External"/><Relationship Id="rId42" Type="http://schemas.openxmlformats.org/officeDocument/2006/relationships/hyperlink" Target="https://www.beehive.govt.nz/release/covid-19-response-new-zealand-and-singapore-launch-initiative-ensure-free-flow-essential" TargetMode="External"/><Relationship Id="rId63" Type="http://schemas.openxmlformats.org/officeDocument/2006/relationships/hyperlink" Target="https://www.mpi.govt.nz/legal/legislation-standards-and-reviews/redesign-of-animal-products-and-wine-regulations-and-notices/" TargetMode="External"/><Relationship Id="rId84" Type="http://schemas.openxmlformats.org/officeDocument/2006/relationships/hyperlink" Target="http://www.comcom.govt.nz/regulated-industries/" TargetMode="External"/><Relationship Id="rId138" Type="http://schemas.openxmlformats.org/officeDocument/2006/relationships/hyperlink" Target="https://www.courtsofnz.govt.nz/assets/cases/2017/sccil.pdf" TargetMode="External"/><Relationship Id="rId159" Type="http://schemas.openxmlformats.org/officeDocument/2006/relationships/hyperlink" Target="https://www.oecd.org/publications/agricultural-policy-monitoring-and-evaluation-22217371.htm" TargetMode="External"/><Relationship Id="rId170" Type="http://schemas.openxmlformats.org/officeDocument/2006/relationships/hyperlink" Target="https://www.mpi.govt.nz/funding-rural-support/environment-and-natural-resources/he-waka-eke-noa/" TargetMode="External"/><Relationship Id="rId191" Type="http://schemas.openxmlformats.org/officeDocument/2006/relationships/hyperlink" Target="https://www.fma.govt.nz/compliance/role/fap-new-regime/about-the-changes/" TargetMode="External"/><Relationship Id="rId205" Type="http://schemas.openxmlformats.org/officeDocument/2006/relationships/hyperlink" Target="https://www.ncsc.govt.nz/ticsa/" TargetMode="External"/><Relationship Id="rId107" Type="http://schemas.openxmlformats.org/officeDocument/2006/relationships/hyperlink" Target="https://www.callaghaninnovation.govt.nz/about-us/our-role" TargetMode="External"/><Relationship Id="rId11" Type="http://schemas.openxmlformats.org/officeDocument/2006/relationships/hyperlink" Target="https://www.rbnz.govt.nz/monetary-policy/history-of-policy-targets-agreements" TargetMode="External"/><Relationship Id="rId32" Type="http://schemas.openxmlformats.org/officeDocument/2006/relationships/hyperlink" Target="http://www.tsw.govt.nz/prod/external/application/login/app.html" TargetMode="External"/><Relationship Id="rId37" Type="http://schemas.openxmlformats.org/officeDocument/2006/relationships/hyperlink" Target="https://tfadatabase.org/members/new-zealand" TargetMode="External"/><Relationship Id="rId53" Type="http://schemas.openxmlformats.org/officeDocument/2006/relationships/hyperlink" Target="https://www.doingbusiness.org/content/dam/doingBusiness/country/n/new-zealand/NZL.pdf" TargetMode="External"/><Relationship Id="rId58" Type="http://schemas.openxmlformats.org/officeDocument/2006/relationships/hyperlink" Target="https://www.nzte.govt.nz/page/exporting-with-nzte" TargetMode="External"/><Relationship Id="rId74" Type="http://schemas.openxmlformats.org/officeDocument/2006/relationships/hyperlink" Target="https://one.oecd.org/document/DAF/COMP/AR(2019)25/en/pdf" TargetMode="External"/><Relationship Id="rId79" Type="http://schemas.openxmlformats.org/officeDocument/2006/relationships/hyperlink" Target="https://www.legislation.govt.nz/act/public/2020/0060/latest/LMS321426.html" TargetMode="External"/><Relationship Id="rId102" Type="http://schemas.openxmlformats.org/officeDocument/2006/relationships/hyperlink" Target="https://www.mbie.govt.nz/dmsdocument/4028-what-we-know-and-dont-know-about-economic-growth-in-new-zealand" TargetMode="External"/><Relationship Id="rId123" Type="http://schemas.openxmlformats.org/officeDocument/2006/relationships/hyperlink" Target="https://www.tpk.govt.nz/en/a-matou-kaupapa/te-ao-maori/wai-262-te-pae-tawhiti" TargetMode="External"/><Relationship Id="rId128" Type="http://schemas.openxmlformats.org/officeDocument/2006/relationships/hyperlink" Target="https://www.iponz.govt.nz/about-iponz/iponz-fees-review-and-consultation/" TargetMode="External"/><Relationship Id="rId144" Type="http://schemas.openxmlformats.org/officeDocument/2006/relationships/hyperlink" Target="https://www.justice.govt.nz/tribunals/copyright/" TargetMode="External"/><Relationship Id="rId149" Type="http://schemas.openxmlformats.org/officeDocument/2006/relationships/hyperlink" Target="http://illicittradeindex.eiu.com/" TargetMode="External"/><Relationship Id="rId5" Type="http://schemas.openxmlformats.org/officeDocument/2006/relationships/hyperlink" Target="http://hdr.undp.org/en/content/human-development-index-hdi" TargetMode="External"/><Relationship Id="rId90" Type="http://schemas.openxmlformats.org/officeDocument/2006/relationships/hyperlink" Target="https://www.procurement.govt.nz/assets/procurement-property/documents/broader-outcomes/supporting-maori-pasifika-and-regional-businesses.pdf" TargetMode="External"/><Relationship Id="rId95" Type="http://schemas.openxmlformats.org/officeDocument/2006/relationships/hyperlink" Target="https://www.mbie.govt.nz/dmsdocument/1499-research-science-and-innovation-system-performance-report-2018" TargetMode="External"/><Relationship Id="rId160" Type="http://schemas.openxmlformats.org/officeDocument/2006/relationships/hyperlink" Target="https://www.mpi.govt.nz/dmsdocument/41031-Fit-for-a-Better-World-Accelerating-our-economic-potential" TargetMode="External"/><Relationship Id="rId165" Type="http://schemas.openxmlformats.org/officeDocument/2006/relationships/hyperlink" Target="https://www.mpi.govt.nz/dmsdocument/44833-Aquatic-Environment-and-Biodiversity-Annual-Review-AEBR-201920-A-summary-of-environmental-interactions-between-the-seafood-sector-and-the-aquatic-environment" TargetMode="External"/><Relationship Id="rId181" Type="http://schemas.openxmlformats.org/officeDocument/2006/relationships/hyperlink" Target="https://www.rbnz.govt.nz/financial-stability/overview-of-the-new-zealand-financial-system/the-banking-system" TargetMode="External"/><Relationship Id="rId186" Type="http://schemas.openxmlformats.org/officeDocument/2006/relationships/hyperlink" Target="https://www.rbnz.govt.nz/regulation-and-supervision/banks/prudential-requirements/information-relating-to-the-capital-adequacy-framework-in-new-zealand" TargetMode="External"/><Relationship Id="rId211" Type="http://schemas.openxmlformats.org/officeDocument/2006/relationships/hyperlink" Target="https://www.treaties.mfat.govt.nz/" TargetMode="External"/><Relationship Id="rId22" Type="http://schemas.openxmlformats.org/officeDocument/2006/relationships/hyperlink" Target="https://www.mfat.govt.nz/vn/trade/free-trade-agreements/free-trade-agreements-in-force/asean-australia-new-zealand-free-trade-agreement-aanzfta/upgrading-aanzfta/" TargetMode="External"/><Relationship Id="rId27" Type="http://schemas.openxmlformats.org/officeDocument/2006/relationships/hyperlink" Target="https://investmentpolicy.unctad.org/international-investment-agreements/countries/150/new-zealand" TargetMode="External"/><Relationship Id="rId43" Type="http://schemas.openxmlformats.org/officeDocument/2006/relationships/hyperlink" Target="https://www.customs.govt.nz/business/tariffs/tariff-concessions" TargetMode="External"/><Relationship Id="rId48" Type="http://schemas.openxmlformats.org/officeDocument/2006/relationships/hyperlink" Target="https://www.customs.govt.nz/about-us/news/important-notices/new-health-promotion-agency-hpa-levy-rates-for-alcohol-from-1-july-2021/" TargetMode="External"/><Relationship Id="rId64" Type="http://schemas.openxmlformats.org/officeDocument/2006/relationships/hyperlink" Target="https://www.mpi.govt.nz/consultations/proposals-to-strengthen-food-recalls-and-risk-based-plans-and-programmes/" TargetMode="External"/><Relationship Id="rId69" Type="http://schemas.openxmlformats.org/officeDocument/2006/relationships/hyperlink" Target="https://www.mpi.govt.nz/food-business/food-safety-rules/" TargetMode="External"/><Relationship Id="rId113" Type="http://schemas.openxmlformats.org/officeDocument/2006/relationships/hyperlink" Target="https://www.iponz.govt.nz/assets/pdf/about-iponz/iponz-year-in-review-201920.pdf" TargetMode="External"/><Relationship Id="rId118" Type="http://schemas.openxmlformats.org/officeDocument/2006/relationships/hyperlink" Target="https://www.gov.uk/government/collections/uk-new-zealand-free-trade-agreement" TargetMode="External"/><Relationship Id="rId134" Type="http://schemas.openxmlformats.org/officeDocument/2006/relationships/hyperlink" Target="https://www.parliament.nz/en/pb/bills-and-laws/bills-proposed-laws/document/BILL_111271/plant-variety-rights-bill" TargetMode="External"/><Relationship Id="rId139" Type="http://schemas.openxmlformats.org/officeDocument/2006/relationships/hyperlink" Target="https://www.iponz.govt.nz/about-ip/geographical-indications/register/?sort=alphabet" TargetMode="External"/><Relationship Id="rId80" Type="http://schemas.openxmlformats.org/officeDocument/2006/relationships/hyperlink" Target="https://comcom.govt.nz/about-us/our-role/competition-studies/market-study-into-retail-grocery-sectoComr" TargetMode="External"/><Relationship Id="rId85" Type="http://schemas.openxmlformats.org/officeDocument/2006/relationships/hyperlink" Target="https://www.treasury.govt.nz/information-and-services/commercial-portfolio-and-advice/commercial-portfolio" TargetMode="External"/><Relationship Id="rId150" Type="http://schemas.openxmlformats.org/officeDocument/2006/relationships/hyperlink" Target="https://www.courtsofnz.govt.nz/assets/cases/2020/2020-NZSC-120.pdf" TargetMode="External"/><Relationship Id="rId155" Type="http://schemas.openxmlformats.org/officeDocument/2006/relationships/hyperlink" Target="https://www.legislation.govt.nz/act/public/2020/0008/latest/whole.html" TargetMode="External"/><Relationship Id="rId171" Type="http://schemas.openxmlformats.org/officeDocument/2006/relationships/hyperlink" Target="https://www.mpi.govt.nz/funding-rural-support/environment-and-natural-resources/he-waka-eke-noa/" TargetMode="External"/><Relationship Id="rId176" Type="http://schemas.openxmlformats.org/officeDocument/2006/relationships/hyperlink" Target="https://www.mbie.govt.nz/assets/electricity-price-review-final-report.pdf" TargetMode="External"/><Relationship Id="rId192" Type="http://schemas.openxmlformats.org/officeDocument/2006/relationships/hyperlink" Target="https://www.mbie.govt.nz/business-and-employment/business/financial-markets-regulation/international-financial-reforms/" TargetMode="External"/><Relationship Id="rId197" Type="http://schemas.openxmlformats.org/officeDocument/2006/relationships/hyperlink" Target="https://comcom.govt.nz/__data/assets/pdf_file/0022/177331/Mobile-Market-Study-Findings-report-26-September-2019.PDF" TargetMode="External"/><Relationship Id="rId206" Type="http://schemas.openxmlformats.org/officeDocument/2006/relationships/hyperlink" Target="https://www.digital.govt.nz/assets/Digital-government/Strategy/Towards-a-Digital-Strategy-for-Aotearoa-discussion-document.pdf" TargetMode="External"/><Relationship Id="rId201" Type="http://schemas.openxmlformats.org/officeDocument/2006/relationships/hyperlink" Target="https://www.mbie.govt.nz/science-and-technology/it-communications-and-broadband/fast-broadband/broadband-and-mobile-programmes/" TargetMode="External"/><Relationship Id="rId12" Type="http://schemas.openxmlformats.org/officeDocument/2006/relationships/hyperlink" Target="https://www.rbnz.govt.nz/-/media/ReserveBank/Files/Publications/Monetary%20policy%20statements/2021/mpsaug21.pdf?revision=3627c6fa-6462-453a-af85-06e62f47705c" TargetMode="External"/><Relationship Id="rId17" Type="http://schemas.openxmlformats.org/officeDocument/2006/relationships/hyperlink" Target="https://www.business.govt.nz/covid-19/financial-support-for-businesses/" TargetMode="External"/><Relationship Id="rId33" Type="http://schemas.openxmlformats.org/officeDocument/2006/relationships/hyperlink" Target="https://www.doingbusiness.org/content/dam/doingBusiness/country/n/new-zealand/NZL.pdf" TargetMode="External"/><Relationship Id="rId38" Type="http://schemas.openxmlformats.org/officeDocument/2006/relationships/hyperlink" Target="https://www.customs.govt.nz/covid-19/businesses/customs-duties" TargetMode="External"/><Relationship Id="rId59" Type="http://schemas.openxmlformats.org/officeDocument/2006/relationships/hyperlink" Target="https://www.mpi.govt.nz/funding-rural-support/primary-growth-partnerships-pgps/" TargetMode="External"/><Relationship Id="rId103" Type="http://schemas.openxmlformats.org/officeDocument/2006/relationships/hyperlink" Target="https://legislation.govt.nz/act/public/2019/0015/latest/LMS110236.html" TargetMode="External"/><Relationship Id="rId108" Type="http://schemas.openxmlformats.org/officeDocument/2006/relationships/hyperlink" Target="https://www.callaghaninnovation.govt.nz/access-experts/technology-incubators" TargetMode="External"/><Relationship Id="rId124" Type="http://schemas.openxmlformats.org/officeDocument/2006/relationships/hyperlink" Target="https://www.parliament.nz/en/pb/bills-and-laws/bills-proposed-laws/document/BILL_111271/plant-variety-rights-bill" TargetMode="External"/><Relationship Id="rId129" Type="http://schemas.openxmlformats.org/officeDocument/2006/relationships/hyperlink" Target="https://ustr.gov/sites/default/files/files/reports/2021/2021%20Special%20301%20Report%20(final).pdf" TargetMode="External"/><Relationship Id="rId54" Type="http://schemas.openxmlformats.org/officeDocument/2006/relationships/hyperlink" Target="https://www.customs.govt.nz/business/export/export-prohibitions-and-restrictions" TargetMode="External"/><Relationship Id="rId70" Type="http://schemas.openxmlformats.org/officeDocument/2006/relationships/hyperlink" Target="https://www.mpi.govt.nz/dmsdocument/10685/direct" TargetMode="External"/><Relationship Id="rId75" Type="http://schemas.openxmlformats.org/officeDocument/2006/relationships/hyperlink" Target="https://comcom.govt.nz/about-us/our-role/competition-studies" TargetMode="External"/><Relationship Id="rId91" Type="http://schemas.openxmlformats.org/officeDocument/2006/relationships/hyperlink" Target="https://www.procurement.govt.nz/assets/procurement-property/documents/government-procurement-rules.pdf" TargetMode="External"/><Relationship Id="rId96" Type="http://schemas.openxmlformats.org/officeDocument/2006/relationships/hyperlink" Target="https://www.mbie.govt.nz/about/news/mbie-opens-consultation-on-issues-facing-research-science-and-innovation-system/" TargetMode="External"/><Relationship Id="rId140" Type="http://schemas.openxmlformats.org/officeDocument/2006/relationships/hyperlink" Target="https://www.mbie.govt.nz/have-your-say/review-of-the-copyright-act-1994-issues-paper/" TargetMode="External"/><Relationship Id="rId145" Type="http://schemas.openxmlformats.org/officeDocument/2006/relationships/hyperlink" Target="https://www.legislation.govt.nz/regulation/public/2018/0034/latest/whole.html" TargetMode="External"/><Relationship Id="rId161" Type="http://schemas.openxmlformats.org/officeDocument/2006/relationships/hyperlink" Target="https://www.customs.govt.nz/business/export/export-prohibitions-and-restrictions/" TargetMode="External"/><Relationship Id="rId166" Type="http://schemas.openxmlformats.org/officeDocument/2006/relationships/hyperlink" Target="https://www.mpi.govt.nz/dmsdocument/5032/direct" TargetMode="External"/><Relationship Id="rId182" Type="http://schemas.openxmlformats.org/officeDocument/2006/relationships/hyperlink" Target="https://www.legislation.govt.nz/act/public/2009/0035/latest/DLM2140720.html" TargetMode="External"/><Relationship Id="rId187" Type="http://schemas.openxmlformats.org/officeDocument/2006/relationships/hyperlink" Target="https://www.rbnz.govt.nz/regulation-and-supervision/banks/consultations-and-policy-initiatives/active-policy-development/review-of-policy-for-branches-of-overseas-banks" TargetMode="External"/><Relationship Id="rId1" Type="http://schemas.openxmlformats.org/officeDocument/2006/relationships/hyperlink" Target="https://worldcompetitiveness.imd.org/countryprofile/NZ/wcy" TargetMode="External"/><Relationship Id="rId6" Type="http://schemas.openxmlformats.org/officeDocument/2006/relationships/hyperlink" Target="https://www.legislation.govt.nz/act/public/2018/0059/latest/LMS65426.html" TargetMode="External"/><Relationship Id="rId212" Type="http://schemas.openxmlformats.org/officeDocument/2006/relationships/hyperlink" Target="https://www.maritimenz.govt.nz/about/legislation-and-regulations/legislation-we-administer.asp" TargetMode="External"/><Relationship Id="rId23" Type="http://schemas.openxmlformats.org/officeDocument/2006/relationships/hyperlink" Target="https://www.apec.org/meeting-papers/leaders-declarations/2021/2021-leaders-declaration/annex-aotearoa-plan-of-action" TargetMode="External"/><Relationship Id="rId28" Type="http://schemas.openxmlformats.org/officeDocument/2006/relationships/hyperlink" Target="http://rtais.wto.org/UI/PublicMaintainRTAHome.aspx" TargetMode="External"/><Relationship Id="rId49" Type="http://schemas.openxmlformats.org/officeDocument/2006/relationships/hyperlink" Target="https://www.customs.govt.nz/business/import/import-prohibited-and-restricted-imports/prohibitions-and-restrictions/" TargetMode="External"/><Relationship Id="rId114" Type="http://schemas.openxmlformats.org/officeDocument/2006/relationships/hyperlink" Target="https://www.iponz.govt.nz/about-ip/overview/ip-business-management/" TargetMode="External"/><Relationship Id="rId119" Type="http://schemas.openxmlformats.org/officeDocument/2006/relationships/hyperlink" Target="https://www.iponz.govt.nz/about-ip/patents/gpph/" TargetMode="External"/><Relationship Id="rId44" Type="http://schemas.openxmlformats.org/officeDocument/2006/relationships/hyperlink" Target="https://www.customs.govt.nz/about-us/news/important-notices/new-health-promotion-agency-hpa-levy-rates-for-alcohol-from-1-july-2021/" TargetMode="External"/><Relationship Id="rId60" Type="http://schemas.openxmlformats.org/officeDocument/2006/relationships/hyperlink" Target="http://tbtims.wto.org/" TargetMode="External"/><Relationship Id="rId65" Type="http://schemas.openxmlformats.org/officeDocument/2006/relationships/hyperlink" Target="https://www.mpi.govt.nz/dmsdocument/9464-National-Policy-Direction-for-Pest-Management-2015" TargetMode="External"/><Relationship Id="rId81" Type="http://schemas.openxmlformats.org/officeDocument/2006/relationships/hyperlink" Target="https://www.ea.govt.nz/assets/dms-assets/26/26369Saves-and-Win-backs-Code-Amendment-Decision-Paper.PDF" TargetMode="External"/><Relationship Id="rId86" Type="http://schemas.openxmlformats.org/officeDocument/2006/relationships/hyperlink" Target="https://www.procurement.govt.nz/procurement/principles-charter-and-rules/government-procurement-principles/" TargetMode="External"/><Relationship Id="rId130" Type="http://schemas.openxmlformats.org/officeDocument/2006/relationships/hyperlink" Target="https://www.iponz.govt.nz/assets/pdf/about-iponz/5307-iponz-year-in-review-201819.pdf" TargetMode="External"/><Relationship Id="rId135" Type="http://schemas.openxmlformats.org/officeDocument/2006/relationships/hyperlink" Target="https://www.mbie.govt.nz/business-and-employment/business/intellectual-property/plant-variety-rights/plant-variety-rights-act-review/background-to-the-plant-variety-rights-act-review/" TargetMode="External"/><Relationship Id="rId151" Type="http://schemas.openxmlformats.org/officeDocument/2006/relationships/hyperlink" Target="https://www.legislation.govt.nz/act/public/1981/0118/latest/whole.html" TargetMode="External"/><Relationship Id="rId156" Type="http://schemas.openxmlformats.org/officeDocument/2006/relationships/hyperlink" Target="https://www.iponz.govt.nz/news/hearings-evidence-guidelines-and-status-of-hearings-by-attendance-under-covid-19/" TargetMode="External"/><Relationship Id="rId177" Type="http://schemas.openxmlformats.org/officeDocument/2006/relationships/hyperlink" Target="https://www.mbie.govt.nz/assets/nzpm-resource-strategy-multi-agency.pdf" TargetMode="External"/><Relationship Id="rId198" Type="http://schemas.openxmlformats.org/officeDocument/2006/relationships/hyperlink" Target="https://www.mbie.govt.nz/science-and-technology/it-communications-and-broadband/fast-broadband/policy-and-regulation/" TargetMode="External"/><Relationship Id="rId172" Type="http://schemas.openxmlformats.org/officeDocument/2006/relationships/hyperlink" Target="https://www4.unfccc.int/sites/ndcstaging/PublishedDocuments/New%20Zealand%20First/New%20Zealand%20NDC%20November%202021.pdf" TargetMode="External"/><Relationship Id="rId193" Type="http://schemas.openxmlformats.org/officeDocument/2006/relationships/hyperlink" Target="https://comcom.govt.nz/__data/assets/pdf_file/0030/247377/2020-Annual-Telecommunications-Monitoring-Report-Revised-version-16-March-2021.pdf" TargetMode="External"/><Relationship Id="rId202" Type="http://schemas.openxmlformats.org/officeDocument/2006/relationships/hyperlink" Target="https://www.digital.govt.nz/dmsdocument/113-digital-inclusion-blueprint-te-mahere-mo-te-whakaurunga-matihiko/html" TargetMode="External"/><Relationship Id="rId207" Type="http://schemas.openxmlformats.org/officeDocument/2006/relationships/hyperlink" Target="https://www.legislation.govt.nz/act/public/2020/0031/latest/LMS23223.html?search=ts_act%40bill%40regulation%40deemedreg_privacy_resel_25_a&amp;p=1" TargetMode="External"/><Relationship Id="rId13" Type="http://schemas.openxmlformats.org/officeDocument/2006/relationships/hyperlink" Target="https://dpmc.govt.nz/our-business-units/cabinet-office/supporting-work-cabinet/cabinet-manual/1-sovereign-governor-1" TargetMode="External"/><Relationship Id="rId18" Type="http://schemas.openxmlformats.org/officeDocument/2006/relationships/hyperlink" Target="https://www.wto.org/english/thewto_e/secre_e/current_chairs_e.htm" TargetMode="External"/><Relationship Id="rId39" Type="http://schemas.openxmlformats.org/officeDocument/2006/relationships/hyperlink" Target="https://www.customs.govt.nz/globalassets/documents/legal-documents/tariff-harmonised-system-amendment-order-2016.pdf" TargetMode="External"/><Relationship Id="rId109" Type="http://schemas.openxmlformats.org/officeDocument/2006/relationships/hyperlink" Target="https://www.callaghaninnovation.govt.nz/news-and-events/changes-boost-startup-incubation-and-networks" TargetMode="External"/><Relationship Id="rId34" Type="http://schemas.openxmlformats.org/officeDocument/2006/relationships/hyperlink" Target="http://www.wcoomd.org/en/topics/facilitation/resources/~/media/01713916ED2A4BD38DC119C5E64B890D.ashx" TargetMode="External"/><Relationship Id="rId50" Type="http://schemas.openxmlformats.org/officeDocument/2006/relationships/hyperlink" Target="https://www.legislation.govt.nz/act/public/1988/0158/latest/DLM137948.html" TargetMode="External"/><Relationship Id="rId55" Type="http://schemas.openxmlformats.org/officeDocument/2006/relationships/hyperlink" Target="https://exportcredit.treasury.govt.nz/about-us/nzec-two-minutes" TargetMode="External"/><Relationship Id="rId76" Type="http://schemas.openxmlformats.org/officeDocument/2006/relationships/hyperlink" Target="https://comcom.govt.nz/__data/assets/pdf_file/0020/91019/Mergers-and-acquisitions-Guidelines-July-2019.pdf" TargetMode="External"/><Relationship Id="rId97" Type="http://schemas.openxmlformats.org/officeDocument/2006/relationships/hyperlink" Target="https://www.mbie.govt.nz/science-and-technology/science-and-innovation/research-and-data/te-ara-paerangi-future-pathways/" TargetMode="External"/><Relationship Id="rId104" Type="http://schemas.openxmlformats.org/officeDocument/2006/relationships/hyperlink" Target="https://www.legislation.govt.nz/act/public/2020/0008/latest/whole.html" TargetMode="External"/><Relationship Id="rId120" Type="http://schemas.openxmlformats.org/officeDocument/2006/relationships/hyperlink" Target="https://www.apec.org/groups/committee-on-trade-and-investment/intellectual-property-rights-experts-group" TargetMode="External"/><Relationship Id="rId125" Type="http://schemas.openxmlformats.org/officeDocument/2006/relationships/hyperlink" Target="https://forms.justice.govt.nz/search/Documents/WT/wt_DOC_68356054/KoAotearoaTeneiTT1W.pdf" TargetMode="External"/><Relationship Id="rId141" Type="http://schemas.openxmlformats.org/officeDocument/2006/relationships/hyperlink" Target="https://www.mfat.govt.nz/en/trade/free-trade-agreements/free-trade-agreements-under-negotiation/new-zealand-united-kingdom-free-trade-agreement/" TargetMode="External"/><Relationship Id="rId146" Type="http://schemas.openxmlformats.org/officeDocument/2006/relationships/hyperlink" Target="https://www.legislation.govt.nz/regulation/public/2018/0035/latest/whole.html" TargetMode="External"/><Relationship Id="rId167" Type="http://schemas.openxmlformats.org/officeDocument/2006/relationships/hyperlink" Target="https://www.mpi.govt.nz/dmsdocument/15895-The-Governments-Aquaculture-Strategy-to-2025" TargetMode="External"/><Relationship Id="rId188" Type="http://schemas.openxmlformats.org/officeDocument/2006/relationships/hyperlink" Target="https://bankdashboard.rbnz.govt.nz/summary" TargetMode="External"/><Relationship Id="rId7" Type="http://schemas.openxmlformats.org/officeDocument/2006/relationships/hyperlink" Target="https://www.rbnz.govt.nz/monetary-policy/about-monetary-policy/monetary-policy-framework" TargetMode="External"/><Relationship Id="rId71" Type="http://schemas.openxmlformats.org/officeDocument/2006/relationships/hyperlink" Target="https://www.mpi.govt.nz/legal/compliance-requirements/ihs-import-health-standards" TargetMode="External"/><Relationship Id="rId92" Type="http://schemas.openxmlformats.org/officeDocument/2006/relationships/hyperlink" Target="https://ogp.org.nz/new-zealands-plan/third-national-action-plan-2018-2020" TargetMode="External"/><Relationship Id="rId162" Type="http://schemas.openxmlformats.org/officeDocument/2006/relationships/hyperlink" Target="https://www.hea.co.nz/images/J018774_-_HEA_Annual_Rpt_2020_FINAL_Emailable.pdf" TargetMode="External"/><Relationship Id="rId183" Type="http://schemas.openxmlformats.org/officeDocument/2006/relationships/hyperlink" Target="https://www.rbnz.govt.nz/-/media/ReserveBank/Files/Publications/Financial-stability/climate-change/climate-change-report-2021.pdf?revision=7402a2b1-533a-484e-a1a1-cdc06ba484a1" TargetMode="External"/><Relationship Id="rId213" Type="http://schemas.openxmlformats.org/officeDocument/2006/relationships/hyperlink" Target="https://oag.parliament.nz/2021/port-companies/part1.htm" TargetMode="External"/><Relationship Id="rId2" Type="http://schemas.openxmlformats.org/officeDocument/2006/relationships/hyperlink" Target="https://www.imf.org/en/News/Articles/2021/05/25/na052521-the-land-of-the-long-white-cloud-turning-new-zealands-recovery-into-sustained-growth" TargetMode="External"/><Relationship Id="rId29" Type="http://schemas.openxmlformats.org/officeDocument/2006/relationships/hyperlink" Target="http://taxpolicy.ird.govt.nz/tax-treaties" TargetMode="External"/><Relationship Id="rId24" Type="http://schemas.openxmlformats.org/officeDocument/2006/relationships/hyperlink" Target="https://www.linz.govt.nz/overseas-investment/discover/find-out-if-you-need-notify-us-your-transaction" TargetMode="External"/><Relationship Id="rId40" Type="http://schemas.openxmlformats.org/officeDocument/2006/relationships/hyperlink" Target="https://www.mbie.govt.nz/assets/5a90aac8bd/cabinet-paper-import-tariff-levels-after-2017.pdf" TargetMode="External"/><Relationship Id="rId45" Type="http://schemas.openxmlformats.org/officeDocument/2006/relationships/hyperlink" Target="http://www.legislation.govt.nz/regulation/public/2013/0046/latest/DLM5093414.html" TargetMode="External"/><Relationship Id="rId66" Type="http://schemas.openxmlformats.org/officeDocument/2006/relationships/hyperlink" Target="https://www.mpi.govt.nz/legal/legislation-standards-and-reviews/legislation-fees-and-charges/updated-fees-and-charges/" TargetMode="External"/><Relationship Id="rId87" Type="http://schemas.openxmlformats.org/officeDocument/2006/relationships/hyperlink" Target="https://www.procurement.govt.nz/procurement/principles-charter-and-rules/" TargetMode="External"/><Relationship Id="rId110" Type="http://schemas.openxmlformats.org/officeDocument/2006/relationships/hyperlink" Target="https://www.callaghaninnovation.govt.nz/access-experts/accelerators" TargetMode="External"/><Relationship Id="rId115" Type="http://schemas.openxmlformats.org/officeDocument/2006/relationships/hyperlink" Target="https://wipolex.wipo.int/en/treaties/ShowResults?country_id=134C" TargetMode="External"/><Relationship Id="rId131" Type="http://schemas.openxmlformats.org/officeDocument/2006/relationships/hyperlink" Target="https://www.legislation.govt.nz/act/public/1961/0043/latest/DLM327382.html" TargetMode="External"/><Relationship Id="rId136" Type="http://schemas.openxmlformats.org/officeDocument/2006/relationships/hyperlink" Target="https://www.parliament.nz/en/pb/bills-and-laws/bills-proposed-laws/document/BILL_111271/plant-variety-rights-bill" TargetMode="External"/><Relationship Id="rId157" Type="http://schemas.openxmlformats.org/officeDocument/2006/relationships/hyperlink" Target="https://www.iponz.govt.nz/news/trial-period-for-new-scheduling-initiative-for-hearings/" TargetMode="External"/><Relationship Id="rId178" Type="http://schemas.openxmlformats.org/officeDocument/2006/relationships/hyperlink" Target="https://www.stats.govt.nz/news/manufacturing-sales-shrink-during-covid-19-lockdown" TargetMode="External"/><Relationship Id="rId61" Type="http://schemas.openxmlformats.org/officeDocument/2006/relationships/hyperlink" Target="http://tbtims.wto.org/" TargetMode="External"/><Relationship Id="rId82" Type="http://schemas.openxmlformats.org/officeDocument/2006/relationships/hyperlink" Target="https://comcom.govt.nz/__data/assets/pdf_file/0028/89821/Competition-and-Consumer-Investigation-Guidelines-July-2018.pdf" TargetMode="External"/><Relationship Id="rId152" Type="http://schemas.openxmlformats.org/officeDocument/2006/relationships/hyperlink" Target="https://www.customs.govt.nz/business/import/import-prohibited-and-restricted-imports/copyright-and-trade-marks/" TargetMode="External"/><Relationship Id="rId173" Type="http://schemas.openxmlformats.org/officeDocument/2006/relationships/hyperlink" Target="https://www.mbie.govt.nz/building-and-energy/energy-and-natural-resources/energy-strategies-for-new-zealand" TargetMode="External"/><Relationship Id="rId194" Type="http://schemas.openxmlformats.org/officeDocument/2006/relationships/hyperlink" Target="https://comcom.govt.nz/regulated-industries/telecommunications/projects/copper-withdrawal-code" TargetMode="External"/><Relationship Id="rId199" Type="http://schemas.openxmlformats.org/officeDocument/2006/relationships/hyperlink" Target="https://www.mbie.govt.nz/science-and-technology/it-communications-and-broadband/our-role-in-the-ict-sector/fibre-regulatory-framework/" TargetMode="External"/><Relationship Id="rId203" Type="http://schemas.openxmlformats.org/officeDocument/2006/relationships/hyperlink" Target="https://www.cert.govt.nz/about/quarterly-report/2020-report-summary/" TargetMode="External"/><Relationship Id="rId208" Type="http://schemas.openxmlformats.org/officeDocument/2006/relationships/hyperlink" Target="https://www.mbie.govt.nz/assets/transport-factsheet.pdf" TargetMode="External"/><Relationship Id="rId19" Type="http://schemas.openxmlformats.org/officeDocument/2006/relationships/hyperlink" Target="https://www.wto.org/english/tratop_e/dispu_e/find_dispu_cases_e.htm" TargetMode="External"/><Relationship Id="rId14" Type="http://schemas.openxmlformats.org/officeDocument/2006/relationships/hyperlink" Target="https://www.mbie.govt.nz/assets/economic-plan.pdf" TargetMode="External"/><Relationship Id="rId30" Type="http://schemas.openxmlformats.org/officeDocument/2006/relationships/hyperlink" Target="https://www.legislation.govt.nz/act/public/2018/0004/latest/whole.html" TargetMode="External"/><Relationship Id="rId35" Type="http://schemas.openxmlformats.org/officeDocument/2006/relationships/hyperlink" Target="https://www.customs.govt.nz/globalassets/documents/guides/importer-guide-provisional-values-scheme.pdf" TargetMode="External"/><Relationship Id="rId56" Type="http://schemas.openxmlformats.org/officeDocument/2006/relationships/hyperlink" Target="https://exportcredit.treasury.govt.nz/about-us/nzec-two-minutes" TargetMode="External"/><Relationship Id="rId77" Type="http://schemas.openxmlformats.org/officeDocument/2006/relationships/hyperlink" Target="https://comcom.govt.nz/__data/assets/pdf_file/0014/222305/Statement-of-Intent-20202024.PDF" TargetMode="External"/><Relationship Id="rId100" Type="http://schemas.openxmlformats.org/officeDocument/2006/relationships/hyperlink" Target="https://www.oecd-ilibrary.org/docserver/eea67efc-en.pdf?expires=1635607066&amp;id=id&amp;accname=ocid195767&amp;checksum=4C13C1EB2473881A8686F8DFDEF83BAE" TargetMode="External"/><Relationship Id="rId105" Type="http://schemas.openxmlformats.org/officeDocument/2006/relationships/hyperlink" Target="https://www.iponz.govt.nz/assets/pdf/about-iponz/clarivate-report-survey-of-new-zealand-patent-activity.pdf" TargetMode="External"/><Relationship Id="rId126" Type="http://schemas.openxmlformats.org/officeDocument/2006/relationships/hyperlink" Target="https://www.mbie.govt.nz/business-and-employment/business/intellectual-property/matauranga-and-taonga-maori-and-the-intellectual-property-system/" TargetMode="External"/><Relationship Id="rId147" Type="http://schemas.openxmlformats.org/officeDocument/2006/relationships/hyperlink" Target="https://www.legislation.govt.nz/regulation/public/2018/0036/latest/LMS11771.html" TargetMode="External"/><Relationship Id="rId168" Type="http://schemas.openxmlformats.org/officeDocument/2006/relationships/hyperlink" Target="https://www.mpi.govt.nz/fishing-aquaculture/commercial-fishing/operating-as-a-commercial-fisher/requirements-for-nz-commercial-fishers/" TargetMode="External"/><Relationship Id="rId8" Type="http://schemas.openxmlformats.org/officeDocument/2006/relationships/hyperlink" Target="https://www.beehive.govt.nz/release/reserve-bank-take-account-housing-decision-making" TargetMode="External"/><Relationship Id="rId51" Type="http://schemas.openxmlformats.org/officeDocument/2006/relationships/hyperlink" Target="https://www.mbie.govt.nz/business-and-employment/business/trade-and-tariffs/trade-remedies/trade-remedy-investigations/" TargetMode="External"/><Relationship Id="rId72" Type="http://schemas.openxmlformats.org/officeDocument/2006/relationships/hyperlink" Target="https://www.mpi.govt.nz/import/plants-flowers-seeds-plant-growing-products/seeds-for-sowing/genetically-modified-seeds-and-nursery-stock/" TargetMode="External"/><Relationship Id="rId93" Type="http://schemas.openxmlformats.org/officeDocument/2006/relationships/hyperlink" Target="https://data.worldbank.org/indicator/BX.GSR.ROYL.CD?locations=NZ" TargetMode="External"/><Relationship Id="rId98" Type="http://schemas.openxmlformats.org/officeDocument/2006/relationships/hyperlink" Target="https://www.beehive.govt.nz/sites/default/files/Business%20Growth%20Agenda%20-%20Towards%202025.pdf" TargetMode="External"/><Relationship Id="rId121" Type="http://schemas.openxmlformats.org/officeDocument/2006/relationships/hyperlink" Target="https://www.legislation.govt.nz/act/public/2014/0018/latest/DLM5954403.html" TargetMode="External"/><Relationship Id="rId142" Type="http://schemas.openxmlformats.org/officeDocument/2006/relationships/hyperlink" Target="https://www.iponz.govt.nz/news/new-zealand-and-united-kingdom-reach-agreement-in-principle-on-comprehensive-free-trade-agreement/" TargetMode="External"/><Relationship Id="rId163" Type="http://schemas.openxmlformats.org/officeDocument/2006/relationships/hyperlink" Target="https://www.oecd.org/publications/agricultural-policy-monitoring-and-evaluation-22217371.htm" TargetMode="External"/><Relationship Id="rId184" Type="http://schemas.openxmlformats.org/officeDocument/2006/relationships/hyperlink" Target="https://www.xrb.govt.nz/extended-external-reporting/climate-related-disclosures/" TargetMode="External"/><Relationship Id="rId189" Type="http://schemas.openxmlformats.org/officeDocument/2006/relationships/hyperlink" Target="https://www.imf.org/en/Publications/CR/Issues/2017/05/08/New-Zealand-Financial-Sector-Assessment-Program-Financial-System-Stability-Assessment-44886" TargetMode="External"/><Relationship Id="rId3" Type="http://schemas.openxmlformats.org/officeDocument/2006/relationships/hyperlink" Target="https://www.wto.org/english/res_e/statis_e/daily_update_e/trade_profiles/NZ_e.pdf" TargetMode="External"/><Relationship Id="rId214" Type="http://schemas.openxmlformats.org/officeDocument/2006/relationships/hyperlink" Target="https://www.stats.govt.nz/information-releases/accommodation-survey-september-2019" TargetMode="External"/><Relationship Id="rId25" Type="http://schemas.openxmlformats.org/officeDocument/2006/relationships/hyperlink" Target="https://www.linz.govt.nz/overseas-investment-office-decision-statistics-202021" TargetMode="External"/><Relationship Id="rId46" Type="http://schemas.openxmlformats.org/officeDocument/2006/relationships/hyperlink" Target="https://taxpolicy.ird.govt.nz/publications" TargetMode="External"/><Relationship Id="rId67" Type="http://schemas.openxmlformats.org/officeDocument/2006/relationships/hyperlink" Target="https://www.gia.org.nz/" TargetMode="External"/><Relationship Id="rId116" Type="http://schemas.openxmlformats.org/officeDocument/2006/relationships/hyperlink" Target="https://www.mfat.govt.nz/en/trade/free-trade-agreements/" TargetMode="External"/><Relationship Id="rId137" Type="http://schemas.openxmlformats.org/officeDocument/2006/relationships/hyperlink" Target="https://www.mbie.govt.nz/assets/527e65d882/copyright-and-the-creative-sector-december-2016.pdf" TargetMode="External"/><Relationship Id="rId158" Type="http://schemas.openxmlformats.org/officeDocument/2006/relationships/hyperlink" Target="https://data.worldbank.org/indicator/SL.AGR.EMPL.ZS?locations=NZ" TargetMode="External"/><Relationship Id="rId20" Type="http://schemas.openxmlformats.org/officeDocument/2006/relationships/hyperlink" Target="https://www.mfat.govt.nz/en/trade/free-trade-agreements/free-trade-agreements-under-negotiation/" TargetMode="External"/><Relationship Id="rId41" Type="http://schemas.openxmlformats.org/officeDocument/2006/relationships/hyperlink" Target="https://www.customs.govt.nz/covid-19/businesses/customs-duties" TargetMode="External"/><Relationship Id="rId62" Type="http://schemas.openxmlformats.org/officeDocument/2006/relationships/hyperlink" Target="https://www.health.govt.nz/publication/proposals-smokefree-aotearoa-2025-action-plan" TargetMode="External"/><Relationship Id="rId83" Type="http://schemas.openxmlformats.org/officeDocument/2006/relationships/hyperlink" Target="https://comcom.govt.nz/__data/assets/pdf_file/0018/234027/Commerce-Commission-Annual-Report-2020.pdf" TargetMode="External"/><Relationship Id="rId88" Type="http://schemas.openxmlformats.org/officeDocument/2006/relationships/hyperlink" Target="https://www.procurement.govt.nz/about-us/mandate-and-eligibility/eligible-agencies-procurement/" TargetMode="External"/><Relationship Id="rId111" Type="http://schemas.openxmlformats.org/officeDocument/2006/relationships/hyperlink" Target="https://www.nzte.govt.nz/page/about-nzte" TargetMode="External"/><Relationship Id="rId132" Type="http://schemas.openxmlformats.org/officeDocument/2006/relationships/hyperlink" Target="https://www.legislation.govt.nz/act/public/1997/0087/latest/DLM414577.html" TargetMode="External"/><Relationship Id="rId153" Type="http://schemas.openxmlformats.org/officeDocument/2006/relationships/hyperlink" Target="https://www.legislation.govt.nz/act/public/1981/0118/latest/DLM53790.html" TargetMode="External"/><Relationship Id="rId174" Type="http://schemas.openxmlformats.org/officeDocument/2006/relationships/hyperlink" Target="https://www.mbie.govt.nz/assets/346278aab2/nzeecs-2017-2022.pdf" TargetMode="External"/><Relationship Id="rId179" Type="http://schemas.openxmlformats.org/officeDocument/2006/relationships/hyperlink" Target="https://www.stats.govt.nz/information-releases/productivity-statistics-19782020" TargetMode="External"/><Relationship Id="rId195" Type="http://schemas.openxmlformats.org/officeDocument/2006/relationships/hyperlink" Target="https://comcom.govt.nz/__data/assets/pdf_file/0030/247377/2020-Annual-Telecommunications-Monitoring-Report-Revised-version-16-March-2021.pdf" TargetMode="External"/><Relationship Id="rId209" Type="http://schemas.openxmlformats.org/officeDocument/2006/relationships/hyperlink" Target="https://www.transport.govt.nz//assets/Uploads/Policy/National-Airspace-Policy-of-New-Zealand-April-2012.pdf" TargetMode="External"/><Relationship Id="rId190" Type="http://schemas.openxmlformats.org/officeDocument/2006/relationships/hyperlink" Target="https://www.mbie.govt.nz/business-and-employment/business/financial-markets-regulation/regulation-of-financial-advice/regulations-to-support-the-financial-services-legislation-amendment-act/" TargetMode="External"/><Relationship Id="rId204" Type="http://schemas.openxmlformats.org/officeDocument/2006/relationships/hyperlink" Target="https://dpmc.govt.nz/sites/default/files/2019-07/Cyber%20Security%20Strategy.pdf" TargetMode="External"/><Relationship Id="rId15" Type="http://schemas.openxmlformats.org/officeDocument/2006/relationships/hyperlink" Target="https://www.beehive.govt.nz/release/pm-launches-ambitious-trade-agenda" TargetMode="External"/><Relationship Id="rId36" Type="http://schemas.openxmlformats.org/officeDocument/2006/relationships/hyperlink" Target="https://tfadatabase.org/members/new-zealand/pdf" TargetMode="External"/><Relationship Id="rId57" Type="http://schemas.openxmlformats.org/officeDocument/2006/relationships/hyperlink" Target="https://www.callaghaninnovation.govt.nz/innovation-skills" TargetMode="External"/><Relationship Id="rId106" Type="http://schemas.openxmlformats.org/officeDocument/2006/relationships/hyperlink" Target="https://www.mbie.govt.nz/science-and-technology/science-and-innovation/funding-information-and-opportunities/funding-agencies/" TargetMode="External"/><Relationship Id="rId127" Type="http://schemas.openxmlformats.org/officeDocument/2006/relationships/hyperlink" Target="https://www.iponz.govt.nz/news/amendment-to-the-patents-act-2013/" TargetMode="External"/><Relationship Id="rId10" Type="http://schemas.openxmlformats.org/officeDocument/2006/relationships/hyperlink" Target="https://www.rbnz.govt.nz/monetary-policy/history-of-policy-targets-agreements" TargetMode="External"/><Relationship Id="rId31" Type="http://schemas.openxmlformats.org/officeDocument/2006/relationships/hyperlink" Target="https://www.customs.govt.nz/business/import/" TargetMode="External"/><Relationship Id="rId52" Type="http://schemas.openxmlformats.org/officeDocument/2006/relationships/hyperlink" Target="https://www.customs.govt.nz/search/?query=export+clearance" TargetMode="External"/><Relationship Id="rId73" Type="http://schemas.openxmlformats.org/officeDocument/2006/relationships/hyperlink" Target="https://www.legislation.govt.nz/act/public/1986/0005/latest/versions.aspx?av=True" TargetMode="External"/><Relationship Id="rId78" Type="http://schemas.openxmlformats.org/officeDocument/2006/relationships/hyperlink" Target="https://comcom.govt.nz/__data/assets/pdf_file/0019/215812/Business-collaboration-under-COVID-19-guidelines-May-2020.pdf" TargetMode="External"/><Relationship Id="rId94" Type="http://schemas.openxmlformats.org/officeDocument/2006/relationships/hyperlink" Target="https://www.mbie.govt.nz/business-and-employment/business/intellectual-property/proposed-intellectual-property-laws-amendment-bill/" TargetMode="External"/><Relationship Id="rId99" Type="http://schemas.openxmlformats.org/officeDocument/2006/relationships/hyperlink" Target="https://www.mbie.govt.nz/assets/2eaba48268/national-statement-science-investment-2015-2025.pdf" TargetMode="External"/><Relationship Id="rId101" Type="http://schemas.openxmlformats.org/officeDocument/2006/relationships/hyperlink" Target="https://www.beehive.govt.nz/sites/default/files/2020-12/RSI.pdf" TargetMode="External"/><Relationship Id="rId122" Type="http://schemas.openxmlformats.org/officeDocument/2006/relationships/hyperlink" Target="https://www.waitangitribunal.govt.nz/news/ko-aotearoa-tenei-report-on-the-wai-262-claim-released/" TargetMode="External"/><Relationship Id="rId143" Type="http://schemas.openxmlformats.org/officeDocument/2006/relationships/hyperlink" Target="https://www.legislation.govt.nz/act/public/1986/0121/latest/DLM96439.html" TargetMode="External"/><Relationship Id="rId148" Type="http://schemas.openxmlformats.org/officeDocument/2006/relationships/hyperlink" Target="https://www.oecd-ilibrary.org/docserver/g2g9f533-en.pdf?expires=1605787902&amp;id=id&amp;accname=ocid195767&amp;checksum=3A346901A2AC2570117C0E3D2921899A" TargetMode="External"/><Relationship Id="rId164" Type="http://schemas.openxmlformats.org/officeDocument/2006/relationships/hyperlink" Target="https://www.fao.org/fishery/en/facp/nzl?lang=en" TargetMode="External"/><Relationship Id="rId169" Type="http://schemas.openxmlformats.org/officeDocument/2006/relationships/hyperlink" Target="https://www.mpi.govt.nz/fishing-aquaculture/fishing-aquaculture-funding-support/aquaculture-planning-fund/" TargetMode="External"/><Relationship Id="rId185" Type="http://schemas.openxmlformats.org/officeDocument/2006/relationships/hyperlink" Target="https://www.rbnz.govt.nz/-/media/ReserveBank/Files/Publications/Financial%20stability%20reports/2021/fsr-nov-21.pdf?revision=98c2c2c6-c838-4a59-9297-9d2df221b618" TargetMode="External"/><Relationship Id="rId4" Type="http://schemas.openxmlformats.org/officeDocument/2006/relationships/hyperlink" Target="https://www.mfat.govt.nz/en/trade/trade-recovery-strategy/trade-recovery-strategy-overview" TargetMode="External"/><Relationship Id="rId9" Type="http://schemas.openxmlformats.org/officeDocument/2006/relationships/hyperlink" Target="https://www.rbnz.govt.nz/monetary-policy/about-monetary-policy/monetary-policy-framework" TargetMode="External"/><Relationship Id="rId180" Type="http://schemas.openxmlformats.org/officeDocument/2006/relationships/hyperlink" Target="https://www.mbie.govt.nz/assets/advanced-manufacturing-itp-scope.pdf" TargetMode="External"/><Relationship Id="rId210" Type="http://schemas.openxmlformats.org/officeDocument/2006/relationships/hyperlink" Target="https://www.mbie.govt.nz/business-and-employment/business/competition-regulation-and-policy/economic-regulation-of-goods-or-services/airport-regulation/" TargetMode="External"/><Relationship Id="rId215" Type="http://schemas.openxmlformats.org/officeDocument/2006/relationships/hyperlink" Target="https://freshinfo.shinyapps.io/ADPReporting/" TargetMode="External"/><Relationship Id="rId26" Type="http://schemas.openxmlformats.org/officeDocument/2006/relationships/hyperlink" Target="https://www.linz.govt.nz/overseas-investment/discover/our-assessment-process/assessment-timeframes" TargetMode="External"/><Relationship Id="rId47" Type="http://schemas.openxmlformats.org/officeDocument/2006/relationships/hyperlink" Target="https://www.customs.govt.nz/business/tariffs/working-tariff-document/working-tariff-document/" TargetMode="External"/><Relationship Id="rId68" Type="http://schemas.openxmlformats.org/officeDocument/2006/relationships/hyperlink" Target="https://www.mpi.govt.nz/food-business/food-safety-codes-standards/australia-new-zealand-co-operation/food-standards-australia-new-zealand-fsanz/" TargetMode="External"/><Relationship Id="rId89" Type="http://schemas.openxmlformats.org/officeDocument/2006/relationships/hyperlink" Target="https://www.procurement.govt.nz/assets/procurement-property/documents/broader-outcomes/removing-barriers-for-new-zealand-businesses.pdf" TargetMode="External"/><Relationship Id="rId112" Type="http://schemas.openxmlformats.org/officeDocument/2006/relationships/hyperlink" Target="https://www.mbie.govt.nz/dmsdocument/2270-evaluation-nzte-international-growth-fund-pdf" TargetMode="External"/><Relationship Id="rId133" Type="http://schemas.openxmlformats.org/officeDocument/2006/relationships/hyperlink" Target="https://www.legislation.govt.nz/act/public/2016/0082/latest/DLM6554412.html" TargetMode="External"/><Relationship Id="rId154" Type="http://schemas.openxmlformats.org/officeDocument/2006/relationships/hyperlink" Target="https://www.legislation.govt.nz/act/public/1975/0116/latest/DLM436101.html" TargetMode="External"/><Relationship Id="rId175" Type="http://schemas.openxmlformats.org/officeDocument/2006/relationships/hyperlink" Target="https://www.mbie.govt.nz/assets/electricity-price-review-final-report.pdf" TargetMode="External"/><Relationship Id="rId196" Type="http://schemas.openxmlformats.org/officeDocument/2006/relationships/hyperlink" Target="https://www.rsm.govt.nz/projects-and-auctions/consultations/five-year-spectrum-outlook-2022-2026/" TargetMode="External"/><Relationship Id="rId200" Type="http://schemas.openxmlformats.org/officeDocument/2006/relationships/hyperlink" Target="https://www.crowninfrastructure.govt.nz/blackspots/what/" TargetMode="External"/><Relationship Id="rId16" Type="http://schemas.openxmlformats.org/officeDocument/2006/relationships/hyperlink" Target="https://www.mfat.govt.nz/en/trade/trade-recovery-strategy/trade-recovery-strategy-overvie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ros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C92A-BB1A-4257-AD6D-60E2763A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220</TotalTime>
  <Pages>139</Pages>
  <Words>68989</Words>
  <Characters>379441</Characters>
  <Application>Microsoft Office Word</Application>
  <DocSecurity>0</DocSecurity>
  <Lines>3162</Lines>
  <Paragraphs>895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dcterms:created xsi:type="dcterms:W3CDTF">2022-04-06T06:47:00Z</dcterms:created>
  <dcterms:modified xsi:type="dcterms:W3CDTF">2022-04-06T14:32:00Z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WT/TPR/S/</vt:lpwstr>
  </property>
  <property fmtid="{D5CDD505-2E9C-101B-9397-08002B2CF9AE}" pid="3" name="Symbol2">
    <vt:lpwstr>New Zealand</vt:lpwstr>
  </property>
  <property fmtid="{D5CDD505-2E9C-101B-9397-08002B2CF9AE}" pid="4" name="TitusGUID">
    <vt:lpwstr>beafeeeb-7060-45ed-baa9-cb973359e31d</vt:lpwstr>
  </property>
  <property fmtid="{D5CDD505-2E9C-101B-9397-08002B2CF9AE}" pid="5" name="WTOCLASSIFICATION">
    <vt:lpwstr>WTO OFFICIAL</vt:lpwstr>
  </property>
</Properties>
</file>